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p>
    <w:p>
      <w:pPr>
        <w:pStyle w:val="6"/>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竞争性磋商文件</w:t>
      </w:r>
    </w:p>
    <w:p>
      <w:pPr>
        <w:rPr>
          <w:rFonts w:hint="eastAsia" w:ascii="宋体" w:hAnsi="宋体" w:eastAsia="宋体" w:cs="宋体"/>
          <w:b/>
          <w:bCs/>
          <w:sz w:val="36"/>
          <w:szCs w:val="36"/>
          <w:lang w:val="en-US" w:eastAsia="zh-CN"/>
        </w:rPr>
      </w:pPr>
    </w:p>
    <w:p>
      <w:pPr>
        <w:pStyle w:val="6"/>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606" w:hangingChars="500"/>
        <w:textAlignment w:val="auto"/>
        <w:rPr>
          <w:rFonts w:hint="default" w:ascii="宋体" w:hAnsi="宋体" w:eastAsia="宋体" w:cs="宋体"/>
          <w:b/>
          <w:bCs/>
          <w:sz w:val="32"/>
          <w:szCs w:val="32"/>
          <w:u w:val="single"/>
          <w:lang w:val="en-US" w:eastAsia="zh-CN"/>
        </w:rPr>
      </w:pPr>
      <w:r>
        <w:rPr>
          <w:rFonts w:hint="eastAsia" w:ascii="宋体" w:hAnsi="宋体" w:eastAsia="宋体" w:cs="宋体"/>
          <w:b/>
          <w:bCs/>
          <w:sz w:val="32"/>
          <w:szCs w:val="32"/>
          <w:lang w:val="en-US" w:eastAsia="zh-CN"/>
        </w:rPr>
        <w:t>项目名称：</w:t>
      </w:r>
      <w:r>
        <w:rPr>
          <w:rFonts w:hint="eastAsia" w:ascii="宋体" w:hAnsi="宋体" w:eastAsia="宋体" w:cs="宋体"/>
          <w:b/>
          <w:bCs/>
          <w:sz w:val="32"/>
          <w:szCs w:val="32"/>
          <w:u w:val="single"/>
          <w:lang w:val="en-US" w:eastAsia="zh-CN"/>
        </w:rPr>
        <w:t>数字化运营项目</w:t>
      </w:r>
    </w:p>
    <w:p>
      <w:pPr>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val="en-US" w:eastAsia="zh-CN"/>
        </w:rPr>
        <w:t>采购人：</w:t>
      </w:r>
      <w:r>
        <w:rPr>
          <w:rFonts w:hint="eastAsia" w:ascii="宋体" w:hAnsi="宋体" w:eastAsia="宋体" w:cs="宋体"/>
          <w:b/>
          <w:bCs/>
          <w:sz w:val="32"/>
          <w:szCs w:val="32"/>
          <w:u w:val="single"/>
          <w:lang w:val="en-US" w:eastAsia="zh-CN"/>
        </w:rPr>
        <w:t>广西自贸区钦州港片区开发投资集团有限责任公司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2024年6月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41"/>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b/>
          <w:bCs w:val="0"/>
          <w:kern w:val="2"/>
          <w:sz w:val="32"/>
          <w:szCs w:val="32"/>
          <w:u w:val="none"/>
          <w:lang w:val="en-US" w:eastAsia="zh-CN" w:bidi="ar-SA"/>
        </w:rPr>
        <w:t>竞争性磋商</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数字化运营项目</w:t>
      </w:r>
      <w:r>
        <w:rPr>
          <w:rFonts w:hint="eastAsia" w:ascii="宋体" w:hAnsi="宋体" w:eastAsia="宋体" w:cs="宋体"/>
          <w:b w:val="0"/>
          <w:bCs/>
          <w:sz w:val="24"/>
          <w:szCs w:val="24"/>
          <w:u w:val="single"/>
          <w:lang w:val="zh-TW" w:eastAsia="zh-TW"/>
        </w:rPr>
        <w:t>服务</w:t>
      </w:r>
      <w:r>
        <w:rPr>
          <w:rFonts w:hint="eastAsia" w:ascii="宋体" w:hAnsi="宋体" w:eastAsia="宋体" w:cs="宋体"/>
          <w:b w:val="0"/>
          <w:bCs/>
          <w:sz w:val="24"/>
          <w:szCs w:val="24"/>
          <w:u w:val="none"/>
          <w:lang w:val="en-US" w:eastAsia="zh-CN"/>
        </w:rPr>
        <w:t>潜在供应商应在</w:t>
      </w:r>
      <w:r>
        <w:rPr>
          <w:rFonts w:hint="eastAsia" w:ascii="宋体" w:hAnsi="宋体" w:eastAsia="宋体" w:cs="宋体"/>
          <w:b w:val="0"/>
          <w:bCs/>
          <w:sz w:val="24"/>
          <w:szCs w:val="24"/>
          <w:u w:val="single"/>
          <w:lang w:val="en-US" w:eastAsia="zh-CN"/>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6"/>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b w:val="0"/>
          <w:bCs/>
          <w:sz w:val="24"/>
          <w:szCs w:val="24"/>
          <w:u w:val="none"/>
          <w:lang w:val="en-US" w:eastAsia="zh-CN"/>
        </w:rPr>
        <w:t>获取（下载）</w:t>
      </w:r>
      <w:r>
        <w:rPr>
          <w:rFonts w:hint="eastAsia" w:ascii="宋体" w:hAnsi="宋体" w:eastAsia="宋体" w:cs="宋体"/>
          <w:b w:val="0"/>
          <w:bCs/>
          <w:sz w:val="24"/>
          <w:szCs w:val="24"/>
          <w:lang w:val="en-US" w:eastAsia="zh-CN"/>
        </w:rPr>
        <w:t>竞争性磋商文件，并于截止日期</w:t>
      </w:r>
      <w:r>
        <w:rPr>
          <w:rFonts w:hint="eastAsia" w:ascii="宋体" w:hAnsi="宋体" w:eastAsia="宋体" w:cs="宋体"/>
          <w:b w:val="0"/>
          <w:bCs/>
          <w:color w:val="FF0000"/>
          <w:sz w:val="24"/>
          <w:szCs w:val="24"/>
          <w:u w:val="single"/>
          <w:lang w:val="en-US" w:eastAsia="zh-CN"/>
        </w:rPr>
        <w:t>2024年7月1日9时30分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项目名称：数字化运营项目服务采购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预算金额：培训+陪跑，人民币叁拾捌万元（￥：</w:t>
      </w:r>
      <w:r>
        <w:rPr>
          <w:rFonts w:hint="eastAsia" w:ascii="Tahoma" w:hAnsi="Tahoma" w:eastAsia="宋体" w:cs="Tahoma"/>
          <w:i w:val="0"/>
          <w:iCs w:val="0"/>
          <w:caps w:val="0"/>
          <w:spacing w:val="0"/>
          <w:sz w:val="22"/>
          <w:szCs w:val="22"/>
          <w:shd w:val="clear" w:fill="F2F2F7"/>
          <w:lang w:val="en-US" w:eastAsia="zh-CN"/>
        </w:rPr>
        <w:t>380000</w:t>
      </w:r>
      <w:r>
        <w:rPr>
          <w:rFonts w:hint="eastAsia" w:ascii="宋体" w:hAnsi="宋体" w:eastAsia="宋体" w:cs="宋体"/>
          <w:b w:val="0"/>
          <w:bCs/>
          <w:sz w:val="24"/>
          <w:szCs w:val="24"/>
          <w:lang w:val="en-US" w:eastAsia="zh-CN"/>
        </w:rPr>
        <w:t>元），运营指导咨询费用另计（按线上交易和线上引流线下产生交易总额来提点，最高不能超过3%）。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最高限价：培训+陪跑，人民币叁拾捌万元（￥：</w:t>
      </w:r>
      <w:r>
        <w:rPr>
          <w:rFonts w:hint="eastAsia" w:ascii="Tahoma" w:hAnsi="Tahoma" w:eastAsia="宋体" w:cs="Tahoma"/>
          <w:i w:val="0"/>
          <w:iCs w:val="0"/>
          <w:caps w:val="0"/>
          <w:spacing w:val="0"/>
          <w:sz w:val="22"/>
          <w:szCs w:val="22"/>
          <w:shd w:val="clear" w:fill="F2F2F7"/>
          <w:lang w:val="en-US" w:eastAsia="zh-CN"/>
        </w:rPr>
        <w:t>380000</w:t>
      </w:r>
      <w:r>
        <w:rPr>
          <w:rFonts w:hint="eastAsia" w:ascii="宋体" w:hAnsi="宋体" w:eastAsia="宋体" w:cs="宋体"/>
          <w:b w:val="0"/>
          <w:bCs/>
          <w:sz w:val="24"/>
          <w:szCs w:val="24"/>
          <w:lang w:val="en-US" w:eastAsia="zh-CN"/>
        </w:rPr>
        <w:t>元），运营指导咨询费用另计（按线上交易和线上引流线下产生交易总额来提点，最高不能超过3%）。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lang w:val="en-US" w:eastAsia="zh-CN"/>
        </w:rPr>
        <w:t>采购需求：提供系统、专业的直播账号运营管理培训，陪跑实操。指导完成数字化运营体系搭建，进行</w:t>
      </w:r>
      <w:r>
        <w:rPr>
          <w:rFonts w:hint="eastAsia" w:ascii="宋体" w:hAnsi="宋体" w:eastAsia="宋体" w:cs="宋体"/>
          <w:b w:val="0"/>
          <w:bCs/>
          <w:sz w:val="24"/>
          <w:szCs w:val="24"/>
          <w:lang w:val="zh-TW" w:eastAsia="zh-TW"/>
        </w:rPr>
        <w:t>数字</w:t>
      </w:r>
      <w:r>
        <w:rPr>
          <w:rFonts w:hint="eastAsia" w:ascii="宋体" w:hAnsi="宋体" w:eastAsia="宋体" w:cs="宋体"/>
          <w:b w:val="0"/>
          <w:bCs/>
          <w:sz w:val="24"/>
          <w:szCs w:val="24"/>
          <w:lang w:val="en-US" w:eastAsia="zh-CN"/>
        </w:rPr>
        <w:t>化</w:t>
      </w:r>
      <w:r>
        <w:rPr>
          <w:rFonts w:hint="eastAsia" w:ascii="宋体" w:hAnsi="宋体" w:eastAsia="宋体" w:cs="宋体"/>
          <w:b w:val="0"/>
          <w:bCs/>
          <w:sz w:val="24"/>
          <w:szCs w:val="24"/>
          <w:lang w:val="zh-TW" w:eastAsia="zh-TW"/>
        </w:rPr>
        <w:t>运营技术指导和运营诊断咨询服务</w:t>
      </w:r>
      <w:r>
        <w:rPr>
          <w:rFonts w:hint="eastAsia" w:ascii="宋体" w:hAnsi="宋体" w:eastAsia="宋体" w:cs="宋体"/>
          <w:b w:val="0"/>
          <w:bCs/>
          <w:sz w:val="24"/>
          <w:szCs w:val="24"/>
          <w:lang w:val="en-US" w:eastAsia="zh-CN"/>
        </w:rPr>
        <w:t>，需开具增值税专用发票。</w:t>
      </w:r>
      <w:r>
        <w:rPr>
          <w:rFonts w:hint="eastAsia" w:ascii="宋体" w:hAnsi="宋体" w:eastAsia="宋体" w:cs="宋体"/>
          <w:b w:val="0"/>
          <w:bCs/>
          <w:sz w:val="24"/>
          <w:szCs w:val="24"/>
          <w:highlight w:val="none"/>
          <w:lang w:val="en-US" w:eastAsia="zh-CN"/>
        </w:rPr>
        <w:t>（详见附件《自贸开投集团数字化运营项目采购需求表》及第二章采购需求）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合同履行期限：3年，自签订合同之日起7日内开始执行。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2024年6月21日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2024年6月30日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26"/>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2024年6月30日17时30分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2024年7月1日9时30分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逾期送达的或者未送达指定地点的，采购人不予受理。</w:t>
      </w:r>
    </w:p>
    <w:p>
      <w:pPr>
        <w:keepNext w:val="0"/>
        <w:keepLines w:val="0"/>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2024年7月1日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5个工作日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07775881968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w:t>
      </w:r>
    </w:p>
    <w:p>
      <w:pPr>
        <w:jc w:val="left"/>
        <w:rPr>
          <w:rFonts w:hint="eastAsia" w:ascii="宋体" w:hAnsi="宋体" w:eastAsia="宋体" w:cs="宋体"/>
          <w:b/>
          <w:bCs/>
          <w:sz w:val="36"/>
          <w:szCs w:val="36"/>
          <w:lang w:val="en-US" w:eastAsia="zh-CN"/>
        </w:rPr>
        <w:sectPr>
          <w:pgSz w:w="11906" w:h="16838"/>
          <w:pgMar w:top="1418" w:right="1418" w:bottom="1418" w:left="1418" w:header="851" w:footer="992" w:gutter="0"/>
          <w:cols w:space="720" w:num="1"/>
          <w:titlePg/>
          <w:docGrid w:linePitch="312" w:charSpace="0"/>
        </w:sectPr>
      </w:pPr>
    </w:p>
    <w:p>
      <w:pPr>
        <w:pStyle w:val="2"/>
        <w:rPr>
          <w:rFonts w:hint="eastAsia"/>
          <w:lang w:val="en-US" w:eastAsia="zh-CN"/>
        </w:rPr>
      </w:pPr>
    </w:p>
    <w:p>
      <w:pPr>
        <w:pStyle w:val="41"/>
        <w:rPr>
          <w:rFonts w:hint="eastAsia" w:ascii="宋体" w:hAnsi="宋体" w:eastAsia="宋体" w:cs="宋体"/>
        </w:rPr>
      </w:pPr>
      <w:r>
        <w:rPr>
          <w:rFonts w:hint="eastAsia" w:ascii="宋体" w:hAnsi="宋体" w:eastAsia="宋体" w:cs="宋体"/>
          <w:lang w:val="en-US" w:eastAsia="zh-CN"/>
        </w:rPr>
        <w:t>第二章</w:t>
      </w:r>
      <w:r>
        <w:rPr>
          <w:rFonts w:hint="eastAsia" w:cs="宋体"/>
          <w:lang w:val="en-US" w:eastAsia="zh-CN"/>
        </w:rPr>
        <w:t xml:space="preserve">  </w:t>
      </w:r>
      <w:r>
        <w:rPr>
          <w:rFonts w:hint="eastAsia" w:ascii="宋体" w:hAnsi="宋体" w:eastAsia="宋体" w:cs="宋体"/>
          <w:lang w:val="en-US"/>
        </w:rPr>
        <w:t>采购</w:t>
      </w:r>
      <w:r>
        <w:rPr>
          <w:rFonts w:hint="eastAsia" w:ascii="宋体" w:hAnsi="宋体" w:eastAsia="宋体" w:cs="宋体"/>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tbl>
      <w:tblPr>
        <w:tblStyle w:val="21"/>
        <w:tblW w:w="13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2"/>
        <w:gridCol w:w="1388"/>
        <w:gridCol w:w="3582"/>
        <w:gridCol w:w="2688"/>
        <w:gridCol w:w="4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366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培训地点：钦州港片区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培训场地、设备设施满足培训需求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592" w:type="dxa"/>
            <w:tcBorders>
              <w:top w:val="nil"/>
              <w:left w:val="single" w:color="auto" w:sz="4" w:space="0"/>
              <w:bottom w:val="single" w:color="auto" w:sz="4" w:space="0"/>
              <w:right w:val="single" w:color="auto" w:sz="4" w:space="0"/>
            </w:tcBorders>
            <w:shd w:val="clear" w:color="000000" w:fill="B5C6EA"/>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项目阶段</w:t>
            </w:r>
          </w:p>
        </w:tc>
        <w:tc>
          <w:tcPr>
            <w:tcW w:w="1388" w:type="dxa"/>
            <w:tcBorders>
              <w:top w:val="nil"/>
              <w:left w:val="nil"/>
              <w:bottom w:val="single" w:color="auto" w:sz="4" w:space="0"/>
              <w:right w:val="single" w:color="auto" w:sz="4" w:space="0"/>
            </w:tcBorders>
            <w:shd w:val="clear" w:color="000000" w:fill="B5C6EA"/>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时间</w:t>
            </w:r>
          </w:p>
        </w:tc>
        <w:tc>
          <w:tcPr>
            <w:tcW w:w="3582" w:type="dxa"/>
            <w:tcBorders>
              <w:top w:val="nil"/>
              <w:left w:val="nil"/>
              <w:bottom w:val="single" w:color="auto" w:sz="4" w:space="0"/>
              <w:right w:val="single" w:color="auto" w:sz="4" w:space="0"/>
            </w:tcBorders>
            <w:shd w:val="clear" w:color="000000" w:fill="B5C6EA"/>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项目内容</w:t>
            </w:r>
          </w:p>
        </w:tc>
        <w:tc>
          <w:tcPr>
            <w:tcW w:w="2688" w:type="dxa"/>
            <w:tcBorders>
              <w:top w:val="nil"/>
              <w:left w:val="nil"/>
              <w:bottom w:val="single" w:color="auto" w:sz="4" w:space="0"/>
              <w:right w:val="single" w:color="auto" w:sz="4" w:space="0"/>
            </w:tcBorders>
            <w:shd w:val="clear" w:color="000000" w:fill="B5C6EA"/>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目标</w:t>
            </w:r>
          </w:p>
        </w:tc>
        <w:tc>
          <w:tcPr>
            <w:tcW w:w="4410" w:type="dxa"/>
            <w:tcBorders>
              <w:top w:val="nil"/>
              <w:left w:val="nil"/>
              <w:bottom w:val="single" w:color="auto" w:sz="4" w:space="0"/>
              <w:right w:val="single" w:color="auto" w:sz="4" w:space="0"/>
            </w:tcBorders>
            <w:shd w:val="clear" w:color="000000" w:fill="B5C6EA"/>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3" w:hRule="atLeast"/>
        </w:trPr>
        <w:tc>
          <w:tcPr>
            <w:tcW w:w="159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培训阶段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参训人数（12-16人）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（2个月）</w:t>
            </w:r>
          </w:p>
        </w:tc>
        <w:tc>
          <w:tcPr>
            <w:tcW w:w="13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第1阶段</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（3天）</w:t>
            </w:r>
          </w:p>
        </w:tc>
        <w:tc>
          <w:tcPr>
            <w:tcW w:w="3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1.系统性专业性学习直播账号运营管理；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2.短视频拍摄制作运营；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3.高质量直播间打造+话术撰写及讲解训练；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4.账号开播违禁词及直播法律法规掌握；</w:t>
            </w:r>
          </w:p>
        </w:tc>
        <w:tc>
          <w:tcPr>
            <w:tcW w:w="2688"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1.学习期间1-2月，预计实现视频直播平台短视频内容品牌曝光20万人次；用户实现2000人，带货出单100-200单；</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2.第3-4个月，每月实现50-100万品牌曝光人次，获取用户每月3000-1万人，定品后，带货出单每月实现300-5000单，每月50-500万交易量；</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3.第5-12个月，每月实现100-500万品牌曝光人次，获取用户每月达到5000-1万人，稳定及成熟产品带货，预计实现每月100-1000万交易量。</w:t>
            </w:r>
          </w:p>
        </w:tc>
        <w:tc>
          <w:tcPr>
            <w:tcW w:w="4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专业性系统性知识技能学习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2" w:hRule="atLeast"/>
        </w:trPr>
        <w:tc>
          <w:tcPr>
            <w:tcW w:w="159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第2阶段</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（7天）</w:t>
            </w:r>
          </w:p>
        </w:tc>
        <w:tc>
          <w:tcPr>
            <w:tcW w:w="3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1.直播账号功能开通认证审核；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2.账号IP人设定位及界面设计；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3.短视频外拍、创作、数据分析实操；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4.完成直播带货选品（服务或产品）策略和产品的对接；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5.供应链合作协议撰写及签订；</w:t>
            </w:r>
          </w:p>
        </w:tc>
        <w:tc>
          <w:tcPr>
            <w:tcW w:w="2688" w:type="dxa"/>
            <w:vMerge w:val="continue"/>
            <w:tcBorders>
              <w:top w:val="nil"/>
              <w:left w:val="single" w:color="auto" w:sz="4" w:space="0"/>
              <w:bottom w:val="single" w:color="000000" w:sz="4" w:space="0"/>
              <w:right w:val="single" w:color="auto" w:sz="4" w:space="0"/>
            </w:tcBorders>
            <w:shd w:val="clear" w:color="000000" w:fill="FFFFFF"/>
            <w:vAlign w:val="center"/>
          </w:tcPr>
          <w:p>
            <w:pPr>
              <w:jc w:val="both"/>
              <w:rPr>
                <w:rFonts w:hint="eastAsia" w:ascii="宋体" w:hAnsi="宋体" w:eastAsia="宋体" w:cs="宋体"/>
                <w:i w:val="0"/>
                <w:iCs w:val="0"/>
                <w:color w:val="000000"/>
                <w:sz w:val="22"/>
                <w:szCs w:val="22"/>
                <w:u w:val="none"/>
              </w:rPr>
            </w:pPr>
          </w:p>
        </w:tc>
        <w:tc>
          <w:tcPr>
            <w:tcW w:w="4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实战实操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3" w:hRule="atLeast"/>
        </w:trPr>
        <w:tc>
          <w:tcPr>
            <w:tcW w:w="159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第3阶段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（5天）</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实战陪跑</w:t>
            </w:r>
          </w:p>
        </w:tc>
        <w:tc>
          <w:tcPr>
            <w:tcW w:w="3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1.直播带货话术撰写及上播带货实训实战；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2.公域流量引入及产品上架下架；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3.促销方案的设计实施，团队配合运营；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4.公域流量及短视频爆单策略实施；</w:t>
            </w:r>
          </w:p>
        </w:tc>
        <w:tc>
          <w:tcPr>
            <w:tcW w:w="2688" w:type="dxa"/>
            <w:vMerge w:val="continue"/>
            <w:tcBorders>
              <w:top w:val="nil"/>
              <w:left w:val="single" w:color="auto" w:sz="4" w:space="0"/>
              <w:bottom w:val="single" w:color="000000" w:sz="4" w:space="0"/>
              <w:right w:val="single" w:color="auto" w:sz="4" w:space="0"/>
            </w:tcBorders>
            <w:shd w:val="clear" w:color="000000" w:fill="FFFFFF"/>
            <w:vAlign w:val="center"/>
          </w:tcPr>
          <w:p>
            <w:pPr>
              <w:jc w:val="both"/>
              <w:rPr>
                <w:rFonts w:hint="eastAsia" w:ascii="宋体" w:hAnsi="宋体" w:eastAsia="宋体" w:cs="宋体"/>
                <w:i w:val="0"/>
                <w:iCs w:val="0"/>
                <w:color w:val="000000"/>
                <w:sz w:val="22"/>
                <w:szCs w:val="22"/>
                <w:u w:val="none"/>
              </w:rPr>
            </w:pPr>
          </w:p>
        </w:tc>
        <w:tc>
          <w:tcPr>
            <w:tcW w:w="4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实战实操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2" w:hRule="atLeast"/>
        </w:trPr>
        <w:tc>
          <w:tcPr>
            <w:tcW w:w="159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第4阶段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（10天）</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实战陪跑</w:t>
            </w:r>
          </w:p>
        </w:tc>
        <w:tc>
          <w:tcPr>
            <w:tcW w:w="3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1.直播间高质量持续运营开播；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2.公域流量持续引入策略；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3.商家产品品牌快速形成；</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4.平台矩阵裂变传播效应显现；</w:t>
            </w:r>
          </w:p>
        </w:tc>
        <w:tc>
          <w:tcPr>
            <w:tcW w:w="2688" w:type="dxa"/>
            <w:vMerge w:val="continue"/>
            <w:tcBorders>
              <w:top w:val="nil"/>
              <w:left w:val="single" w:color="auto" w:sz="4" w:space="0"/>
              <w:bottom w:val="single" w:color="000000" w:sz="4" w:space="0"/>
              <w:right w:val="single" w:color="auto" w:sz="4" w:space="0"/>
            </w:tcBorders>
            <w:shd w:val="clear" w:color="000000" w:fill="FFFFFF"/>
            <w:vAlign w:val="center"/>
          </w:tcPr>
          <w:p>
            <w:pPr>
              <w:jc w:val="both"/>
              <w:rPr>
                <w:rFonts w:hint="eastAsia" w:ascii="宋体" w:hAnsi="宋体" w:eastAsia="宋体" w:cs="宋体"/>
                <w:i w:val="0"/>
                <w:iCs w:val="0"/>
                <w:color w:val="000000"/>
                <w:sz w:val="22"/>
                <w:szCs w:val="22"/>
                <w:u w:val="none"/>
              </w:rPr>
            </w:pPr>
          </w:p>
        </w:tc>
        <w:tc>
          <w:tcPr>
            <w:tcW w:w="4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实战实操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2" w:hRule="atLeast"/>
        </w:trPr>
        <w:tc>
          <w:tcPr>
            <w:tcW w:w="159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第5阶段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（20天）</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实战陪跑</w:t>
            </w:r>
          </w:p>
        </w:tc>
        <w:tc>
          <w:tcPr>
            <w:tcW w:w="3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1.直播间良性发展，健康持续开播；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2.爆款短视频持续引流直播，单品GMV增长；</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3.直播账号画像、模型。小店高评分、达到理想峰值；</w:t>
            </w:r>
          </w:p>
        </w:tc>
        <w:tc>
          <w:tcPr>
            <w:tcW w:w="2688" w:type="dxa"/>
            <w:vMerge w:val="continue"/>
            <w:tcBorders>
              <w:top w:val="nil"/>
              <w:left w:val="single" w:color="auto" w:sz="4" w:space="0"/>
              <w:bottom w:val="single" w:color="000000" w:sz="4" w:space="0"/>
              <w:right w:val="single" w:color="auto" w:sz="4" w:space="0"/>
            </w:tcBorders>
            <w:shd w:val="clear" w:color="000000" w:fill="FFFFFF"/>
            <w:vAlign w:val="center"/>
          </w:tcPr>
          <w:p>
            <w:pPr>
              <w:jc w:val="both"/>
              <w:rPr>
                <w:rFonts w:hint="eastAsia" w:ascii="宋体" w:hAnsi="宋体" w:eastAsia="宋体" w:cs="宋体"/>
                <w:i w:val="0"/>
                <w:iCs w:val="0"/>
                <w:color w:val="000000"/>
                <w:sz w:val="22"/>
                <w:szCs w:val="22"/>
                <w:u w:val="none"/>
              </w:rPr>
            </w:pPr>
          </w:p>
        </w:tc>
        <w:tc>
          <w:tcPr>
            <w:tcW w:w="44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实战实操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59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运营指导阶段</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（子公司运营团队，3年）</w:t>
            </w:r>
          </w:p>
        </w:tc>
        <w:tc>
          <w:tcPr>
            <w:tcW w:w="1388"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培训结束后三年</w:t>
            </w:r>
          </w:p>
        </w:tc>
        <w:tc>
          <w:tcPr>
            <w:tcW w:w="3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线上指导：工作联系群沟通指导</w:t>
            </w:r>
          </w:p>
        </w:tc>
        <w:tc>
          <w:tcPr>
            <w:tcW w:w="2688" w:type="dxa"/>
            <w:vMerge w:val="continue"/>
            <w:tcBorders>
              <w:top w:val="nil"/>
              <w:left w:val="single" w:color="auto" w:sz="4" w:space="0"/>
              <w:bottom w:val="single" w:color="000000" w:sz="4" w:space="0"/>
              <w:right w:val="single" w:color="auto" w:sz="4" w:space="0"/>
            </w:tcBorders>
            <w:shd w:val="clear" w:color="000000" w:fill="FFFFFF"/>
            <w:vAlign w:val="center"/>
          </w:tcPr>
          <w:p>
            <w:pPr>
              <w:jc w:val="both"/>
              <w:rPr>
                <w:rFonts w:hint="eastAsia" w:ascii="宋体" w:hAnsi="宋体" w:eastAsia="宋体" w:cs="宋体"/>
                <w:i w:val="0"/>
                <w:iCs w:val="0"/>
                <w:color w:val="000000"/>
                <w:sz w:val="22"/>
                <w:szCs w:val="22"/>
                <w:u w:val="none"/>
              </w:rPr>
            </w:pPr>
          </w:p>
        </w:tc>
        <w:tc>
          <w:tcPr>
            <w:tcW w:w="441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一、线上指导：工作中涉及的问题，随时解决（工作时间段）</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线下指导：培训机构派实战导师分别到4个子公司现场指导完成企业数字运营中心直播场景搭建+运营方案落地监督指导+现场技能指导+人员专业分工+话术打磨+直播模式指导操作。并根据直播运营中碰到的技术平台直播规则要求以及其他相关的新技术，每月至少1次到直播团队所在地纠错和帮助解决遇到的疑难问题。在直播新技术或新的知识体系升级时，及时指导进行提升学习。</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三、不定期安排服务企业团队学习，技术更新</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子公司地址：南宁、钦州港片区</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运营指导费用：合作的方式收取服务费用，根据运营交易额总额收取提成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1" w:hRule="atLeast"/>
        </w:trPr>
        <w:tc>
          <w:tcPr>
            <w:tcW w:w="159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8"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线下指导：</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各子公司种子选手回到原公司组建数字运营团队，承担电商直播任务。由培训机构负责到各子公司经营场所指导直播间搭建及人员岗位分工工作，并指导团队出台数字营销运营计划，线上指导直播团队的运营工作。</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二、不定期安排服务企业团队学习，技术更新</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三、免费参加培训机构组织的与数字经济有关的大型活动</w:t>
            </w:r>
          </w:p>
        </w:tc>
        <w:tc>
          <w:tcPr>
            <w:tcW w:w="2688" w:type="dxa"/>
            <w:vMerge w:val="continue"/>
            <w:tcBorders>
              <w:top w:val="nil"/>
              <w:left w:val="single" w:color="auto" w:sz="4" w:space="0"/>
              <w:bottom w:val="single" w:color="000000" w:sz="4" w:space="0"/>
              <w:right w:val="single" w:color="auto" w:sz="4" w:space="0"/>
            </w:tcBorders>
            <w:shd w:val="clear" w:color="000000" w:fill="FFFFFF"/>
            <w:vAlign w:val="center"/>
          </w:tcPr>
          <w:p>
            <w:pPr>
              <w:jc w:val="both"/>
              <w:rPr>
                <w:rFonts w:hint="eastAsia" w:ascii="宋体" w:hAnsi="宋体" w:eastAsia="宋体" w:cs="宋体"/>
                <w:i w:val="0"/>
                <w:iCs w:val="0"/>
                <w:color w:val="000000"/>
                <w:sz w:val="22"/>
                <w:szCs w:val="22"/>
                <w:u w:val="none"/>
              </w:rPr>
            </w:pPr>
          </w:p>
        </w:tc>
        <w:tc>
          <w:tcPr>
            <w:tcW w:w="4410" w:type="dxa"/>
            <w:vMerge w:val="continue"/>
            <w:tcBorders>
              <w:top w:val="nil"/>
              <w:left w:val="single" w:color="auto" w:sz="4" w:space="0"/>
              <w:bottom w:val="single" w:color="000000" w:sz="4" w:space="0"/>
              <w:right w:val="single" w:color="auto"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bl>
    <w:p>
      <w:pPr>
        <w:rPr>
          <w:rFonts w:hint="eastAsia"/>
          <w:lang w:val="en-US" w:eastAsia="zh-CN"/>
        </w:rPr>
        <w:sectPr>
          <w:pgSz w:w="16838" w:h="11906" w:orient="landscape"/>
          <w:pgMar w:top="1418" w:right="1418" w:bottom="1418" w:left="1418" w:header="851" w:footer="992" w:gutter="0"/>
          <w:cols w:space="720" w:num="1"/>
          <w:titlePg/>
          <w:docGrid w:linePitch="312" w:charSpace="0"/>
        </w:sectPr>
      </w:pPr>
      <w:r>
        <w:rPr>
          <w:rFonts w:hint="eastAsia"/>
          <w:lang w:val="en-US" w:eastAsia="zh-CN"/>
        </w:rPr>
        <w:br w:type="page"/>
      </w:r>
    </w:p>
    <w:p>
      <w:pPr>
        <w:pStyle w:val="2"/>
        <w:rPr>
          <w:rFonts w:hint="eastAsia"/>
          <w:lang w:val="en-US" w:eastAsia="zh-CN"/>
        </w:rPr>
      </w:pPr>
    </w:p>
    <w:p>
      <w:pPr>
        <w:pStyle w:val="41"/>
        <w:rPr>
          <w:rFonts w:hint="eastAsia"/>
          <w:lang w:val="en-US" w:eastAsia="zh-CN"/>
        </w:rPr>
      </w:pPr>
      <w:r>
        <w:rPr>
          <w:rFonts w:hint="eastAsia"/>
          <w:lang w:val="en-US" w:eastAsia="zh-CN"/>
        </w:rPr>
        <w:t>第三章  供应商须知</w:t>
      </w:r>
    </w:p>
    <w:p>
      <w:pPr>
        <w:pStyle w:val="42"/>
        <w:rPr>
          <w:rFonts w:hint="eastAsia"/>
        </w:rPr>
      </w:pPr>
      <w:r>
        <w:rPr>
          <w:rFonts w:hint="eastAsia"/>
          <w:lang w:val="en-US" w:eastAsia="zh-CN"/>
        </w:rPr>
        <w:t>供应商</w:t>
      </w:r>
      <w:r>
        <w:rPr>
          <w:rFonts w:hint="eastAsia"/>
        </w:rPr>
        <w:t>须知前附表</w:t>
      </w:r>
    </w:p>
    <w:tbl>
      <w:tblPr>
        <w:tblStyle w:val="2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vAlign w:val="center"/>
          </w:tcPr>
          <w:p>
            <w:pPr>
              <w:pStyle w:val="14"/>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vAlign w:val="top"/>
          </w:tcPr>
          <w:p>
            <w:pPr>
              <w:pStyle w:val="14"/>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vAlign w:val="center"/>
          </w:tcPr>
          <w:p>
            <w:pPr>
              <w:pStyle w:val="14"/>
              <w:spacing w:line="360" w:lineRule="exact"/>
              <w:rPr>
                <w:rFonts w:hint="eastAsia" w:ascii="宋体" w:hAnsi="宋体" w:eastAsia="宋体" w:cs="宋体"/>
                <w:bCs/>
                <w:u w:val="none"/>
                <w:lang w:val="en-US" w:eastAsia="zh-CN"/>
              </w:rPr>
            </w:pPr>
            <w:r>
              <w:rPr>
                <w:rFonts w:hint="eastAsia" w:ascii="宋体" w:hAnsi="宋体" w:eastAsia="宋体" w:cs="宋体"/>
                <w:bCs/>
                <w:u w:val="none"/>
              </w:rPr>
              <w:t>采购人：</w:t>
            </w:r>
            <w:r>
              <w:rPr>
                <w:rFonts w:hint="eastAsia" w:ascii="宋体" w:hAnsi="宋体" w:eastAsia="宋体" w:cs="宋体"/>
                <w:b w:val="0"/>
                <w:bCs/>
                <w:sz w:val="21"/>
                <w:szCs w:val="21"/>
                <w:u w:val="none"/>
                <w:lang w:val="en-US" w:eastAsia="zh-CN"/>
              </w:rPr>
              <w:t>广西自贸区钦州港片区开发投资集团有限责任公司</w:t>
            </w:r>
          </w:p>
          <w:p>
            <w:pPr>
              <w:pStyle w:val="14"/>
              <w:spacing w:line="360" w:lineRule="exact"/>
              <w:rPr>
                <w:rFonts w:hint="eastAsia" w:ascii="宋体" w:hAnsi="宋体" w:eastAsia="宋体" w:cs="宋体"/>
                <w:bCs/>
                <w:u w:val="none"/>
                <w:lang w:val="en-US" w:eastAsia="zh-CN"/>
              </w:rPr>
            </w:pPr>
            <w:r>
              <w:rPr>
                <w:rFonts w:hint="eastAsia" w:ascii="宋体" w:hAnsi="宋体" w:eastAsia="宋体" w:cs="宋体"/>
                <w:bCs/>
                <w:u w:val="none"/>
              </w:rPr>
              <w:t>项目联系人：</w:t>
            </w:r>
            <w:r>
              <w:rPr>
                <w:rFonts w:hint="eastAsia" w:hAnsi="宋体" w:cs="宋体"/>
                <w:bCs/>
                <w:u w:val="none"/>
                <w:lang w:val="en-US" w:eastAsia="zh-CN"/>
              </w:rPr>
              <w:t>卞志会</w:t>
            </w:r>
          </w:p>
          <w:p>
            <w:pPr>
              <w:pStyle w:val="14"/>
              <w:spacing w:line="360" w:lineRule="exact"/>
              <w:rPr>
                <w:rFonts w:hint="eastAsia" w:ascii="宋体" w:hAnsi="宋体" w:eastAsia="宋体" w:cs="宋体"/>
                <w:bCs/>
                <w:u w:val="none"/>
                <w:lang w:val="en-US" w:eastAsia="zh-CN"/>
              </w:rPr>
            </w:pPr>
            <w:r>
              <w:rPr>
                <w:rFonts w:hint="eastAsia" w:ascii="宋体" w:hAnsi="宋体" w:eastAsia="宋体" w:cs="宋体"/>
                <w:bCs/>
                <w:u w:val="none"/>
              </w:rPr>
              <w:t>电话：</w:t>
            </w:r>
            <w:r>
              <w:rPr>
                <w:rFonts w:hint="eastAsia" w:ascii="宋体" w:hAnsi="宋体" w:eastAsia="宋体" w:cs="宋体"/>
                <w:b w:val="0"/>
                <w:bCs/>
                <w:sz w:val="21"/>
                <w:szCs w:val="21"/>
                <w:u w:val="none"/>
                <w:lang w:val="en-US" w:eastAsia="zh-CN"/>
              </w:rPr>
              <w:t>07775881968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ascii="宋体" w:hAnsi="宋体" w:eastAsia="宋体" w:cs="宋体"/>
              </w:rPr>
            </w:pPr>
            <w:r>
              <w:rPr>
                <w:rFonts w:hint="eastAsia" w:ascii="宋体" w:hAnsi="宋体" w:eastAsia="宋体" w:cs="宋体"/>
                <w:lang w:val="en-US" w:eastAsia="zh-CN"/>
              </w:rPr>
              <w:t>1.2</w:t>
            </w: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vAlign w:val="center"/>
          </w:tcPr>
          <w:p>
            <w:pPr>
              <w:pStyle w:val="14"/>
              <w:spacing w:line="360" w:lineRule="exact"/>
              <w:rPr>
                <w:rFonts w:hint="eastAsia" w:ascii="宋体" w:hAnsi="宋体" w:eastAsia="宋体" w:cs="宋体"/>
                <w:bCs/>
                <w:szCs w:val="21"/>
                <w:u w:val="none"/>
              </w:rPr>
            </w:pPr>
            <w:r>
              <w:rPr>
                <w:rFonts w:hint="eastAsia" w:ascii="宋体" w:hAnsi="宋体" w:eastAsia="宋体" w:cs="宋体"/>
                <w:b w:val="0"/>
                <w:bCs/>
                <w:sz w:val="21"/>
                <w:szCs w:val="21"/>
                <w:u w:val="none"/>
                <w:lang w:val="en-US" w:eastAsia="zh-CN"/>
              </w:rPr>
              <w:t>数字化运营项目服务采购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pStyle w:val="14"/>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w:t>
            </w: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采购预算</w:t>
            </w:r>
          </w:p>
        </w:tc>
        <w:tc>
          <w:tcPr>
            <w:tcW w:w="6418" w:type="dxa"/>
            <w:vAlign w:val="center"/>
          </w:tcPr>
          <w:p>
            <w:pPr>
              <w:spacing w:line="400" w:lineRule="exact"/>
              <w:ind w:firstLine="0" w:firstLineChars="0"/>
              <w:rPr>
                <w:rFonts w:hint="eastAsia" w:ascii="宋体" w:hAnsi="宋体" w:eastAsia="宋体" w:cs="宋体"/>
                <w:bCs/>
                <w:szCs w:val="21"/>
                <w:u w:val="none"/>
              </w:rPr>
            </w:pPr>
            <w:r>
              <w:rPr>
                <w:rFonts w:hint="eastAsia" w:ascii="宋体" w:hAnsi="宋体" w:eastAsia="宋体" w:cs="宋体"/>
                <w:b w:val="0"/>
                <w:bCs/>
                <w:sz w:val="21"/>
                <w:szCs w:val="21"/>
                <w:u w:val="none"/>
                <w:lang w:val="en-US" w:eastAsia="zh-CN"/>
              </w:rPr>
              <w:t>培训+陪跑，人民币叁拾捌万元（￥：</w:t>
            </w:r>
            <w:r>
              <w:rPr>
                <w:rFonts w:hint="eastAsia" w:ascii="宋体" w:hAnsi="宋体" w:eastAsia="宋体" w:cs="宋体"/>
                <w:bCs/>
                <w:i w:val="0"/>
                <w:iCs w:val="0"/>
                <w:caps w:val="0"/>
                <w:spacing w:val="0"/>
                <w:sz w:val="21"/>
                <w:szCs w:val="21"/>
                <w:u w:val="none"/>
                <w:shd w:val="clear"/>
                <w:lang w:val="en-US" w:eastAsia="zh-CN"/>
              </w:rPr>
              <w:t>380000</w:t>
            </w:r>
            <w:r>
              <w:rPr>
                <w:rFonts w:hint="eastAsia" w:ascii="宋体" w:hAnsi="宋体" w:eastAsia="宋体" w:cs="宋体"/>
                <w:b w:val="0"/>
                <w:bCs/>
                <w:sz w:val="21"/>
                <w:szCs w:val="21"/>
                <w:u w:val="none"/>
                <w:lang w:val="en-US" w:eastAsia="zh-CN"/>
              </w:rPr>
              <w:t>元），运营指导咨询费用另计（按线上交易和线上引流线下产生交易总额来提点，最高不能超过3%）。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4</w:t>
            </w:r>
          </w:p>
        </w:tc>
        <w:tc>
          <w:tcPr>
            <w:tcW w:w="1711" w:type="dxa"/>
            <w:vAlign w:val="center"/>
          </w:tcPr>
          <w:p>
            <w:pPr>
              <w:pStyle w:val="14"/>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tc>
        <w:tc>
          <w:tcPr>
            <w:tcW w:w="6418" w:type="dxa"/>
            <w:vAlign w:val="center"/>
          </w:tcPr>
          <w:p>
            <w:pPr>
              <w:spacing w:line="400" w:lineRule="exact"/>
              <w:rPr>
                <w:rFonts w:hint="eastAsia" w:ascii="宋体" w:hAnsi="宋体" w:eastAsia="宋体" w:cs="宋体"/>
                <w:bCs/>
                <w:szCs w:val="21"/>
                <w:u w:val="none"/>
              </w:rPr>
            </w:pPr>
            <w:r>
              <w:rPr>
                <w:rFonts w:hint="eastAsia" w:ascii="宋体" w:hAnsi="宋体" w:eastAsia="宋体" w:cs="宋体"/>
                <w:b w:val="0"/>
                <w:bCs/>
                <w:sz w:val="21"/>
                <w:szCs w:val="21"/>
                <w:u w:val="none"/>
                <w:lang w:val="en-US" w:eastAsia="zh-CN"/>
              </w:rPr>
              <w:t>培训+陪跑，人民币叁拾捌万元（￥：</w:t>
            </w:r>
            <w:r>
              <w:rPr>
                <w:rFonts w:hint="eastAsia" w:ascii="宋体" w:hAnsi="宋体" w:eastAsia="宋体" w:cs="宋体"/>
                <w:bCs/>
                <w:i w:val="0"/>
                <w:iCs w:val="0"/>
                <w:caps w:val="0"/>
                <w:spacing w:val="0"/>
                <w:sz w:val="21"/>
                <w:szCs w:val="21"/>
                <w:u w:val="none"/>
                <w:shd w:val="clear"/>
                <w:lang w:val="en-US" w:eastAsia="zh-CN"/>
              </w:rPr>
              <w:t>380000</w:t>
            </w:r>
            <w:r>
              <w:rPr>
                <w:rFonts w:hint="eastAsia" w:ascii="宋体" w:hAnsi="宋体" w:eastAsia="宋体" w:cs="宋体"/>
                <w:b w:val="0"/>
                <w:bCs/>
                <w:sz w:val="21"/>
                <w:szCs w:val="21"/>
                <w:u w:val="none"/>
                <w:lang w:val="en-US" w:eastAsia="zh-CN"/>
              </w:rPr>
              <w:t>元），运营指导咨询费用另计（按线上交易和线上引流线下产生交易总额来提点，最高不能超过3%）。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711" w:type="dxa"/>
            <w:vAlign w:val="center"/>
          </w:tcPr>
          <w:p>
            <w:pPr>
              <w:pStyle w:val="14"/>
              <w:spacing w:line="360" w:lineRule="exact"/>
              <w:jc w:val="center"/>
              <w:rPr>
                <w:rFonts w:hint="eastAsia" w:ascii="宋体" w:hAnsi="宋体" w:eastAsia="宋体" w:cs="宋体"/>
              </w:rPr>
            </w:pPr>
            <w:r>
              <w:rPr>
                <w:rFonts w:hint="eastAsia" w:hAnsi="宋体" w:cs="宋体"/>
                <w:szCs w:val="21"/>
                <w:lang w:eastAsia="zh-CN"/>
              </w:rPr>
              <w:t>招标</w:t>
            </w:r>
            <w:r>
              <w:rPr>
                <w:rFonts w:hint="eastAsia" w:ascii="宋体" w:hAnsi="宋体" w:eastAsia="宋体" w:cs="宋体"/>
                <w:szCs w:val="21"/>
              </w:rPr>
              <w:t>文件的获取</w:t>
            </w:r>
          </w:p>
        </w:tc>
        <w:tc>
          <w:tcPr>
            <w:tcW w:w="6418" w:type="dxa"/>
            <w:vAlign w:val="center"/>
          </w:tcPr>
          <w:p>
            <w:pPr>
              <w:pStyle w:val="14"/>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供应商在广西自贸区钦州港片区开发投资集团有限责任公司网站http://www.qzmktjt.com/获取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711" w:type="dxa"/>
            <w:vAlign w:val="center"/>
          </w:tcPr>
          <w:p>
            <w:pPr>
              <w:pStyle w:val="14"/>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vAlign w:val="center"/>
          </w:tcPr>
          <w:p>
            <w:pPr>
              <w:pStyle w:val="14"/>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1.供应商应当具备下列条件</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1</w:t>
            </w:r>
            <w:r>
              <w:rPr>
                <w:rFonts w:hint="eastAsia" w:hAnsi="宋体" w:cs="宋体"/>
                <w:spacing w:val="6"/>
                <w:kern w:val="48"/>
                <w:lang w:eastAsia="zh-CN"/>
              </w:rPr>
              <w:t>）</w:t>
            </w:r>
            <w:r>
              <w:rPr>
                <w:rFonts w:hint="eastAsia" w:ascii="宋体" w:hAnsi="宋体" w:eastAsia="宋体" w:cs="宋体"/>
                <w:spacing w:val="6"/>
                <w:kern w:val="48"/>
              </w:rPr>
              <w:t>国内注册</w:t>
            </w:r>
            <w:r>
              <w:rPr>
                <w:rFonts w:hint="eastAsia" w:hAnsi="宋体" w:cs="宋体"/>
                <w:spacing w:val="6"/>
                <w:kern w:val="48"/>
                <w:lang w:eastAsia="zh-CN"/>
              </w:rPr>
              <w:t>（</w:t>
            </w:r>
            <w:r>
              <w:rPr>
                <w:rFonts w:hint="eastAsia" w:ascii="宋体" w:hAnsi="宋体" w:eastAsia="宋体" w:cs="宋体"/>
                <w:spacing w:val="6"/>
                <w:kern w:val="48"/>
              </w:rPr>
              <w:t>指按国家有关规定要求注册</w:t>
            </w:r>
            <w:r>
              <w:rPr>
                <w:rFonts w:hint="eastAsia" w:hAnsi="宋体" w:cs="宋体"/>
                <w:spacing w:val="6"/>
                <w:kern w:val="48"/>
                <w:lang w:eastAsia="zh-CN"/>
              </w:rPr>
              <w:t>），</w:t>
            </w:r>
            <w:r>
              <w:rPr>
                <w:rFonts w:hint="eastAsia" w:ascii="宋体" w:hAnsi="宋体" w:eastAsia="宋体" w:cs="宋体"/>
                <w:spacing w:val="6"/>
                <w:kern w:val="48"/>
              </w:rPr>
              <w:t>依法能提供本次采购</w:t>
            </w:r>
            <w:r>
              <w:rPr>
                <w:rFonts w:hint="eastAsia" w:ascii="宋体" w:hAnsi="宋体" w:eastAsia="宋体" w:cs="宋体"/>
                <w:b/>
                <w:bCs/>
                <w:color w:val="FF0000"/>
                <w:spacing w:val="6"/>
                <w:kern w:val="48"/>
              </w:rPr>
              <w:t>服务</w:t>
            </w:r>
            <w:r>
              <w:rPr>
                <w:rFonts w:hint="eastAsia" w:ascii="宋体" w:hAnsi="宋体" w:eastAsia="宋体" w:cs="宋体"/>
                <w:spacing w:val="6"/>
                <w:kern w:val="48"/>
              </w:rPr>
              <w:t>的供应商</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2</w:t>
            </w:r>
            <w:r>
              <w:rPr>
                <w:rFonts w:hint="eastAsia" w:hAnsi="宋体" w:cs="宋体"/>
                <w:spacing w:val="6"/>
                <w:kern w:val="48"/>
                <w:lang w:eastAsia="zh-CN"/>
              </w:rPr>
              <w:t>）</w:t>
            </w:r>
            <w:r>
              <w:rPr>
                <w:rFonts w:hint="eastAsia" w:ascii="宋体" w:hAnsi="宋体" w:eastAsia="宋体" w:cs="宋体"/>
                <w:spacing w:val="6"/>
                <w:kern w:val="48"/>
              </w:rPr>
              <w:t>具有独立承担民事责任的能力</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3</w:t>
            </w:r>
            <w:r>
              <w:rPr>
                <w:rFonts w:hint="eastAsia" w:hAnsi="宋体" w:cs="宋体"/>
                <w:spacing w:val="6"/>
                <w:kern w:val="48"/>
                <w:lang w:eastAsia="zh-CN"/>
              </w:rPr>
              <w:t>）</w:t>
            </w:r>
            <w:r>
              <w:rPr>
                <w:rFonts w:hint="eastAsia" w:ascii="宋体" w:hAnsi="宋体" w:eastAsia="宋体" w:cs="宋体"/>
                <w:spacing w:val="6"/>
                <w:kern w:val="48"/>
              </w:rPr>
              <w:t>具有良好的商业信誉和健全的财务会计制度</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4</w:t>
            </w:r>
            <w:r>
              <w:rPr>
                <w:rFonts w:hint="eastAsia" w:hAnsi="宋体" w:cs="宋体"/>
                <w:spacing w:val="6"/>
                <w:kern w:val="48"/>
                <w:lang w:eastAsia="zh-CN"/>
              </w:rPr>
              <w:t>）</w:t>
            </w:r>
            <w:r>
              <w:rPr>
                <w:rFonts w:hint="eastAsia" w:ascii="宋体" w:hAnsi="宋体" w:eastAsia="宋体" w:cs="宋体"/>
                <w:spacing w:val="6"/>
                <w:kern w:val="48"/>
              </w:rPr>
              <w:t>具有履行合同所必需的设备和专业技术能力</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5</w:t>
            </w:r>
            <w:r>
              <w:rPr>
                <w:rFonts w:hint="eastAsia" w:hAnsi="宋体" w:cs="宋体"/>
                <w:spacing w:val="6"/>
                <w:kern w:val="48"/>
                <w:lang w:eastAsia="zh-CN"/>
              </w:rPr>
              <w:t>）</w:t>
            </w:r>
            <w:r>
              <w:rPr>
                <w:rFonts w:hint="eastAsia" w:ascii="宋体" w:hAnsi="宋体" w:eastAsia="宋体" w:cs="宋体"/>
                <w:spacing w:val="6"/>
                <w:kern w:val="48"/>
              </w:rPr>
              <w:t>有依法缴纳税收和社会保障资金的良好记录</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6</w:t>
            </w:r>
            <w:r>
              <w:rPr>
                <w:rFonts w:hint="eastAsia" w:hAnsi="宋体" w:cs="宋体"/>
                <w:spacing w:val="6"/>
                <w:kern w:val="48"/>
                <w:lang w:eastAsia="zh-CN"/>
              </w:rPr>
              <w:t>）</w:t>
            </w:r>
            <w:r>
              <w:rPr>
                <w:rFonts w:hint="eastAsia" w:ascii="宋体" w:hAnsi="宋体" w:eastAsia="宋体" w:cs="宋体"/>
                <w:spacing w:val="6"/>
                <w:kern w:val="48"/>
              </w:rPr>
              <w:t>法律、行政法规规定的其他条件</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2.单位负责人为同一人或者存在直接控股、管理关系的不同供应商</w:t>
            </w:r>
            <w:r>
              <w:rPr>
                <w:rFonts w:hint="eastAsia" w:hAnsi="宋体" w:cs="宋体"/>
                <w:spacing w:val="6"/>
                <w:kern w:val="48"/>
                <w:lang w:eastAsia="zh-CN"/>
              </w:rPr>
              <w:t>，</w:t>
            </w:r>
            <w:r>
              <w:rPr>
                <w:rFonts w:hint="eastAsia" w:ascii="宋体" w:hAnsi="宋体" w:eastAsia="宋体" w:cs="宋体"/>
                <w:spacing w:val="6"/>
                <w:kern w:val="48"/>
              </w:rPr>
              <w:t>不得参加同一合同项下的采购活动。</w:t>
            </w:r>
          </w:p>
          <w:p>
            <w:pPr>
              <w:pStyle w:val="14"/>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3.参加采购活动前三年内</w:t>
            </w:r>
            <w:r>
              <w:rPr>
                <w:rFonts w:hint="eastAsia" w:hAnsi="宋体" w:cs="宋体"/>
                <w:spacing w:val="6"/>
                <w:kern w:val="48"/>
                <w:lang w:eastAsia="zh-CN"/>
              </w:rPr>
              <w:t>，</w:t>
            </w:r>
            <w:r>
              <w:rPr>
                <w:rFonts w:hint="eastAsia" w:ascii="宋体" w:hAnsi="宋体" w:eastAsia="宋体" w:cs="宋体"/>
                <w:spacing w:val="6"/>
                <w:kern w:val="48"/>
              </w:rPr>
              <w:t>在经营活动中没有重大违法记录和不良信用记录</w:t>
            </w:r>
            <w:r>
              <w:rPr>
                <w:rFonts w:hint="eastAsia" w:hAnsi="宋体" w:cs="宋体"/>
                <w:spacing w:val="6"/>
                <w:kern w:val="48"/>
                <w:lang w:eastAsia="zh-CN"/>
              </w:rPr>
              <w:t>（</w:t>
            </w:r>
            <w:r>
              <w:rPr>
                <w:rFonts w:hint="eastAsia" w:ascii="宋体" w:hAnsi="宋体" w:eastAsia="宋体" w:cs="宋体"/>
                <w:spacing w:val="6"/>
                <w:kern w:val="48"/>
              </w:rPr>
              <w:t>在</w:t>
            </w:r>
            <w:r>
              <w:rPr>
                <w:rFonts w:hint="eastAsia" w:hAnsi="宋体" w:cs="宋体"/>
                <w:spacing w:val="6"/>
                <w:kern w:val="48"/>
                <w:lang w:eastAsia="zh-CN"/>
              </w:rPr>
              <w:t>“</w:t>
            </w:r>
            <w:r>
              <w:rPr>
                <w:rFonts w:hint="eastAsia" w:ascii="宋体" w:hAnsi="宋体" w:eastAsia="宋体" w:cs="宋体"/>
                <w:spacing w:val="6"/>
                <w:kern w:val="48"/>
              </w:rPr>
              <w:t>信用中国</w:t>
            </w:r>
            <w:r>
              <w:rPr>
                <w:rFonts w:hint="eastAsia" w:hAnsi="宋体" w:cs="宋体"/>
                <w:spacing w:val="6"/>
                <w:kern w:val="48"/>
                <w:lang w:eastAsia="zh-CN"/>
              </w:rPr>
              <w:t>”</w:t>
            </w:r>
            <w:r>
              <w:rPr>
                <w:rFonts w:hint="eastAsia" w:ascii="宋体" w:hAnsi="宋体" w:eastAsia="宋体" w:cs="宋体"/>
                <w:spacing w:val="6"/>
                <w:kern w:val="48"/>
              </w:rPr>
              <w:t>网站www.creditchina.gov.cn</w:t>
            </w:r>
            <w:r>
              <w:rPr>
                <w:rFonts w:hint="eastAsia" w:hAnsi="宋体" w:cs="宋体"/>
                <w:spacing w:val="6"/>
                <w:kern w:val="48"/>
                <w:lang w:eastAsia="zh-CN"/>
              </w:rPr>
              <w:t>，</w:t>
            </w:r>
            <w:r>
              <w:rPr>
                <w:rFonts w:hint="eastAsia" w:ascii="宋体" w:hAnsi="宋体" w:eastAsia="宋体" w:cs="宋体"/>
                <w:spacing w:val="6"/>
                <w:kern w:val="48"/>
              </w:rPr>
              <w:t>被列入失信被执行人、重大税收违法失信主体、政府采购严重违法失信行为记录名单的供应商或被广西自贸区钦州港片区开发投资集团有限责任公司及其下属子公司、控股公司列入黑名单的供应商</w:t>
            </w:r>
            <w:r>
              <w:rPr>
                <w:rFonts w:hint="eastAsia" w:hAnsi="宋体" w:cs="宋体"/>
                <w:spacing w:val="6"/>
                <w:kern w:val="48"/>
                <w:lang w:eastAsia="zh-CN"/>
              </w:rPr>
              <w:t>，</w:t>
            </w:r>
            <w:r>
              <w:rPr>
                <w:rFonts w:hint="eastAsia" w:ascii="宋体" w:hAnsi="宋体" w:eastAsia="宋体" w:cs="宋体"/>
                <w:spacing w:val="6"/>
                <w:kern w:val="48"/>
              </w:rPr>
              <w:t>将被拒绝参与本次采购活动</w:t>
            </w:r>
            <w:r>
              <w:rPr>
                <w:rFonts w:hint="eastAsia" w:hAnsi="宋体" w:cs="宋体"/>
                <w:spacing w:val="6"/>
                <w:kern w:val="48"/>
                <w:lang w:eastAsia="zh-CN"/>
              </w:rPr>
              <w:t>）</w:t>
            </w:r>
            <w:r>
              <w:rPr>
                <w:rFonts w:hint="eastAsia" w:ascii="宋体" w:hAnsi="宋体" w:eastAsia="宋体" w:cs="宋体"/>
                <w:spacing w:val="6"/>
                <w:kern w:val="48"/>
              </w:rPr>
              <w:t>。</w:t>
            </w:r>
          </w:p>
          <w:p>
            <w:pPr>
              <w:pStyle w:val="14"/>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4.本项目的特定资格要求</w:t>
            </w:r>
            <w:r>
              <w:rPr>
                <w:rFonts w:hint="eastAsia" w:hAnsi="宋体" w:cs="宋体"/>
                <w:spacing w:val="6"/>
                <w:kern w:val="48"/>
                <w:lang w:eastAsia="zh-CN"/>
              </w:rPr>
              <w:t>：</w:t>
            </w: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vAlign w:val="center"/>
          </w:tcPr>
          <w:p>
            <w:pPr>
              <w:pStyle w:val="14"/>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rPr>
            </w:pPr>
            <w:r>
              <w:rPr>
                <w:rFonts w:hint="eastAsia" w:hAnsi="宋体" w:cs="宋体"/>
                <w:lang w:val="en-US" w:eastAsia="zh-CN"/>
              </w:rPr>
              <w:t>13</w:t>
            </w: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vAlign w:val="center"/>
          </w:tcPr>
          <w:p>
            <w:pPr>
              <w:pStyle w:val="14"/>
              <w:spacing w:line="360" w:lineRule="exact"/>
              <w:rPr>
                <w:rFonts w:hint="default" w:eastAsia="宋体"/>
                <w:lang w:val="en-US" w:eastAsia="zh-CN"/>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lang w:val="en-US" w:eastAsia="zh-CN"/>
              </w:rPr>
              <w:t>副本2份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eastAsia="zh-CN"/>
              </w:rPr>
            </w:pPr>
            <w:r>
              <w:rPr>
                <w:rFonts w:hint="eastAsia" w:hAnsi="宋体" w:cs="宋体"/>
                <w:lang w:val="en-US" w:eastAsia="zh-CN"/>
              </w:rPr>
              <w:t>18</w:t>
            </w:r>
          </w:p>
        </w:tc>
        <w:tc>
          <w:tcPr>
            <w:tcW w:w="1711" w:type="dxa"/>
            <w:vAlign w:val="center"/>
          </w:tcPr>
          <w:p>
            <w:pPr>
              <w:pStyle w:val="14"/>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vAlign w:val="center"/>
          </w:tcPr>
          <w:p>
            <w:pPr>
              <w:pStyle w:val="14"/>
              <w:spacing w:line="360" w:lineRule="exact"/>
              <w:rPr>
                <w:rFonts w:hint="default" w:ascii="宋体" w:hAnsi="宋体" w:eastAsia="宋体" w:cs="宋体"/>
                <w:lang w:val="en-US" w:eastAsia="zh-CN"/>
              </w:rPr>
            </w:pPr>
            <w:r>
              <w:rPr>
                <w:rFonts w:hint="eastAsia" w:ascii="宋体" w:hAnsi="宋体" w:eastAsia="宋体" w:cs="宋体"/>
                <w:b w:val="0"/>
                <w:bCs w:val="0"/>
                <w:color w:val="FF0000"/>
                <w:kern w:val="2"/>
                <w:sz w:val="24"/>
                <w:szCs w:val="24"/>
                <w:lang w:val="en-US" w:eastAsia="zh-CN" w:bidi="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rPr>
            </w:pP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vAlign w:val="center"/>
          </w:tcPr>
          <w:p>
            <w:pPr>
              <w:pStyle w:val="14"/>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rPr>
            </w:pP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vAlign w:val="center"/>
          </w:tcPr>
          <w:p>
            <w:pPr>
              <w:pStyle w:val="14"/>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rPr>
            </w:pP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vAlign w:val="center"/>
          </w:tcPr>
          <w:p>
            <w:pPr>
              <w:pStyle w:val="14"/>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eastAsia="zh-CN"/>
              </w:rPr>
            </w:pP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响应文件提交</w:t>
            </w:r>
          </w:p>
          <w:p>
            <w:pPr>
              <w:pStyle w:val="14"/>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vAlign w:val="center"/>
          </w:tcPr>
          <w:p>
            <w:pPr>
              <w:pStyle w:val="14"/>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eastAsia="zh-CN"/>
              </w:rPr>
            </w:pPr>
          </w:p>
        </w:tc>
        <w:tc>
          <w:tcPr>
            <w:tcW w:w="1711" w:type="dxa"/>
            <w:vAlign w:val="center"/>
          </w:tcPr>
          <w:p>
            <w:pPr>
              <w:pStyle w:val="14"/>
              <w:spacing w:line="360" w:lineRule="exact"/>
              <w:jc w:val="center"/>
              <w:rPr>
                <w:rFonts w:hint="eastAsia" w:ascii="宋体" w:hAnsi="宋体" w:eastAsia="宋体" w:cs="宋体"/>
              </w:rPr>
            </w:pPr>
            <w:r>
              <w:rPr>
                <w:rFonts w:hint="eastAsia" w:hAnsi="宋体" w:cs="宋体"/>
                <w:szCs w:val="21"/>
                <w:lang w:eastAsia="zh-CN"/>
              </w:rPr>
              <w:t>磋商</w:t>
            </w:r>
            <w:r>
              <w:rPr>
                <w:rFonts w:hint="eastAsia" w:ascii="宋体" w:hAnsi="宋体" w:eastAsia="宋体" w:cs="宋体"/>
              </w:rPr>
              <w:t>时间和地点</w:t>
            </w:r>
          </w:p>
        </w:tc>
        <w:tc>
          <w:tcPr>
            <w:tcW w:w="6418" w:type="dxa"/>
            <w:vAlign w:val="center"/>
          </w:tcPr>
          <w:p>
            <w:pPr>
              <w:pStyle w:val="14"/>
              <w:spacing w:line="360" w:lineRule="exact"/>
              <w:rPr>
                <w:rFonts w:hint="default" w:ascii="宋体" w:hAnsi="宋体" w:eastAsia="宋体" w:cs="宋体"/>
                <w:lang w:val="en-US" w:eastAsia="zh-CN"/>
              </w:rPr>
            </w:pPr>
            <w:r>
              <w:rPr>
                <w:rFonts w:hint="default" w:ascii="宋体" w:hAnsi="宋体" w:eastAsia="宋体" w:cs="宋体"/>
                <w:lang w:val="en-US" w:eastAsia="zh-CN"/>
              </w:rPr>
              <w:t>供应商不需要到达开标现场。采购人要求多次报价的，由采购人另行通知所有</w:t>
            </w:r>
            <w:r>
              <w:rPr>
                <w:rFonts w:hint="eastAsia" w:hAnsi="宋体" w:cs="宋体"/>
                <w:lang w:val="en-US" w:eastAsia="zh-CN"/>
              </w:rPr>
              <w:t>通过资格评审、形式评审、响应性评审</w:t>
            </w:r>
            <w:r>
              <w:rPr>
                <w:rFonts w:hint="default" w:ascii="宋体" w:hAnsi="宋体" w:eastAsia="宋体" w:cs="宋体"/>
                <w:lang w:val="en-US" w:eastAsia="zh-CN"/>
              </w:rPr>
              <w:t>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adjustRightInd w:val="0"/>
              <w:spacing w:line="360" w:lineRule="exact"/>
              <w:jc w:val="center"/>
              <w:rPr>
                <w:rFonts w:hint="default" w:ascii="宋体" w:hAnsi="宋体" w:eastAsia="宋体" w:cs="宋体"/>
                <w:szCs w:val="21"/>
                <w:lang w:val="en-US" w:eastAsia="zh-CN"/>
              </w:rPr>
            </w:pPr>
          </w:p>
        </w:tc>
        <w:tc>
          <w:tcPr>
            <w:tcW w:w="1711" w:type="dxa"/>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4"/>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2"/>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3"/>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w:t>
      </w:r>
      <w:r>
        <w:rPr>
          <w:rFonts w:hint="eastAsia" w:ascii="宋体" w:hAnsi="宋体" w:eastAsia="宋体" w:cs="宋体"/>
          <w:sz w:val="24"/>
          <w:szCs w:val="24"/>
          <w:lang w:val="en-US" w:bidi="zh-CN"/>
        </w:rPr>
        <w:t>人</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采购预算：见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bidi="zh-CN"/>
        </w:rPr>
      </w:pPr>
      <w:r>
        <w:rPr>
          <w:rFonts w:hint="eastAsia" w:ascii="宋体" w:hAnsi="宋体" w:eastAsia="宋体" w:cs="宋体"/>
          <w:sz w:val="24"/>
          <w:szCs w:val="24"/>
          <w:lang w:val="en-US" w:bidi="zh-CN"/>
        </w:rPr>
        <w:t>1.4最高限价：</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5</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6</w:t>
      </w:r>
      <w:r>
        <w:rPr>
          <w:rFonts w:hint="default" w:ascii="宋体" w:hAnsi="宋体" w:eastAsia="宋体" w:cs="宋体"/>
          <w:sz w:val="24"/>
          <w:szCs w:val="24"/>
          <w:lang w:bidi="zh-CN"/>
        </w:rPr>
        <w:t>获取竞争性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1.7采购文件：是指采购人为完成采购活动所制定的文件，包括商务性文件内容和技术性文件内容（包括但不限于竞争性磋商文件、澄清或者更正公告等）。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1.8供应商：是指有能力向采购人提供符合本项目技术规格要求的货物、工程、服务的法人、其他组织和自然人。</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公告、竞争性</w:t>
      </w:r>
      <w:r>
        <w:rPr>
          <w:rFonts w:hint="eastAsia" w:ascii="宋体" w:hAnsi="宋体" w:eastAsia="宋体" w:cs="宋体"/>
          <w:sz w:val="24"/>
          <w:szCs w:val="24"/>
          <w:lang w:bidi="zh-CN"/>
        </w:rPr>
        <w:t>磋商</w:t>
      </w:r>
      <w:r>
        <w:rPr>
          <w:rFonts w:hint="eastAsia" w:ascii="宋体" w:hAnsi="宋体" w:eastAsia="宋体" w:cs="宋体"/>
          <w:sz w:val="24"/>
          <w:szCs w:val="24"/>
          <w:lang w:val="en-US" w:bidi="zh-CN"/>
        </w:rPr>
        <w:t>文件、</w:t>
      </w:r>
      <w:r>
        <w:rPr>
          <w:rFonts w:hint="default" w:ascii="宋体" w:hAnsi="宋体" w:eastAsia="宋体" w:cs="宋体"/>
          <w:sz w:val="24"/>
          <w:szCs w:val="24"/>
          <w:lang w:bidi="zh-CN"/>
        </w:rPr>
        <w:t>成交公告及其更正事项等）将在以下媒体上发布：广西自贸区钦州港片区开发投资集团有限责任公司网站http://www.qzmktjt.com/</w:t>
      </w:r>
      <w:r>
        <w:rPr>
          <w:rFonts w:hint="eastAsia" w:ascii="宋体" w:hAnsi="宋体" w:eastAsia="宋体" w:cs="宋体"/>
          <w:sz w:val="24"/>
          <w:szCs w:val="24"/>
          <w:lang w:bidi="zh-CN"/>
        </w:rPr>
        <w:t>。</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3"/>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3"/>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3"/>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3"/>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9.3.6供应商不按谈判（或磋商）小组要求澄清、说明或补正的；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3"/>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2"/>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3"/>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竞争性磋商</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文件作出实质性响应。</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3"/>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3"/>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3"/>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3"/>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41"/>
        <w:rPr>
          <w:rFonts w:hint="eastAsia"/>
          <w:lang w:val="en-US" w:eastAsia="zh-CN"/>
        </w:rPr>
      </w:pPr>
      <w:r>
        <w:rPr>
          <w:rFonts w:hint="eastAsia"/>
          <w:lang w:val="en-US" w:eastAsia="zh-CN"/>
        </w:rPr>
        <w:t>第四章  评审办法</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磋商</w:t>
      </w:r>
      <w:r>
        <w:rPr>
          <w:rFonts w:hint="eastAsia" w:ascii="宋体" w:hAnsi="宋体" w:eastAsia="宋体" w:cs="宋体"/>
          <w:lang w:val="en-US" w:eastAsia="zh-CN" w:bidi="zh-CN"/>
        </w:rPr>
        <w:t>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本采购项目的磋商小组由采购人组建，其成员数为三人及以上单数组成。</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本次评审采用综合评分法。磋商小组对资格和符合性审查合格的响应文件，采用综</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合评分法法进行评审。磋商小组将以采购文件、响应文件为评审依据，以满足采购文件全部实质性要求且最终得分最高的原则确定成交供应商。</w:t>
      </w:r>
    </w:p>
    <w:p>
      <w:pPr>
        <w:pStyle w:val="43"/>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满足采购文件全部实质性响应要求的前提下，磋商小组将按得分由高到低顺序推荐3名成交候选供应商，并编写评审报告。评审得分相同的，按照最后报价由低到高的顺序推荐。评审得分且最后报价相同的，则按照按实施方案得分高低顺序推荐。采购人应当确定磋商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43"/>
        <w:numPr>
          <w:ilvl w:val="0"/>
          <w:numId w:val="0"/>
        </w:numPr>
        <w:spacing w:line="380" w:lineRule="exact"/>
        <w:rPr>
          <w:color w:val="000000"/>
        </w:rPr>
      </w:pPr>
      <w:bookmarkStart w:id="0" w:name="_Toc369951719"/>
      <w:bookmarkStart w:id="1" w:name="_Toc10873"/>
      <w:bookmarkStart w:id="2" w:name="_Toc152042369"/>
      <w:bookmarkStart w:id="3" w:name="_Toc152045592"/>
      <w:bookmarkStart w:id="4" w:name="_Toc144974559"/>
      <w:bookmarkStart w:id="5" w:name="_Toc179632610"/>
      <w:r>
        <w:rPr>
          <w:rFonts w:hint="eastAsia"/>
          <w:lang w:eastAsia="zh-CN"/>
        </w:rPr>
        <w:t>2</w:t>
      </w:r>
      <w:r>
        <w:rPr>
          <w:rFonts w:hint="eastAsia"/>
          <w:lang w:val="en-US" w:eastAsia="zh-CN"/>
        </w:rPr>
        <w:t>0</w:t>
      </w:r>
      <w:r>
        <w:rPr>
          <w:rFonts w:hint="eastAsia"/>
          <w:color w:val="000000"/>
        </w:rPr>
        <w:t xml:space="preserve"> 评审标准</w:t>
      </w:r>
      <w:bookmarkEnd w:id="0"/>
      <w:bookmarkEnd w:id="1"/>
      <w:bookmarkEnd w:id="2"/>
      <w:bookmarkEnd w:id="3"/>
      <w:bookmarkEnd w:id="4"/>
      <w:bookmarkEnd w:id="5"/>
    </w:p>
    <w:p>
      <w:pPr>
        <w:tabs>
          <w:tab w:val="left" w:pos="1080"/>
        </w:tabs>
        <w:spacing w:line="360" w:lineRule="exact"/>
        <w:jc w:val="center"/>
        <w:rPr>
          <w:rFonts w:hint="eastAsia" w:ascii="宋体" w:hAnsi="宋体" w:eastAsia="宋体" w:cs="宋体"/>
          <w:b/>
          <w:color w:val="000000"/>
          <w:sz w:val="24"/>
          <w:lang w:val="en-US" w:eastAsia="zh-CN"/>
        </w:rPr>
      </w:pPr>
      <w:r>
        <w:rPr>
          <w:rFonts w:hint="eastAsia" w:ascii="宋体" w:hAnsi="宋体" w:eastAsia="宋体" w:cs="宋体"/>
          <w:b/>
          <w:color w:val="000000"/>
          <w:sz w:val="24"/>
        </w:rPr>
        <w:t>评</w:t>
      </w:r>
      <w:r>
        <w:rPr>
          <w:rFonts w:hint="eastAsia" w:ascii="宋体" w:hAnsi="宋体" w:eastAsia="宋体" w:cs="宋体"/>
          <w:b/>
          <w:color w:val="000000"/>
          <w:sz w:val="24"/>
          <w:lang w:val="en-US" w:eastAsia="zh-CN"/>
        </w:rPr>
        <w:t>审标准表</w:t>
      </w:r>
    </w:p>
    <w:tbl>
      <w:tblPr>
        <w:tblStyle w:val="21"/>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309"/>
        <w:gridCol w:w="1899"/>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Align w:val="center"/>
          </w:tcPr>
          <w:p>
            <w:pPr>
              <w:widowControl w:val="0"/>
              <w:spacing w:line="400" w:lineRule="exact"/>
              <w:ind w:firstLine="0" w:firstLineChars="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条款号</w:t>
            </w:r>
          </w:p>
        </w:tc>
        <w:tc>
          <w:tcPr>
            <w:tcW w:w="1309" w:type="dxa"/>
            <w:vAlign w:val="center"/>
          </w:tcPr>
          <w:p>
            <w:pPr>
              <w:widowControl w:val="0"/>
              <w:spacing w:line="400" w:lineRule="exact"/>
              <w:ind w:firstLine="0" w:firstLineChars="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评审因素</w:t>
            </w:r>
          </w:p>
        </w:tc>
        <w:tc>
          <w:tcPr>
            <w:tcW w:w="6602" w:type="dxa"/>
            <w:gridSpan w:val="2"/>
            <w:vAlign w:val="center"/>
          </w:tcPr>
          <w:p>
            <w:pPr>
              <w:spacing w:line="400" w:lineRule="exact"/>
              <w:ind w:firstLine="0" w:firstLineChars="0"/>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27"/>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20.1</w:t>
            </w:r>
          </w:p>
        </w:tc>
        <w:tc>
          <w:tcPr>
            <w:tcW w:w="1309" w:type="dxa"/>
            <w:vMerge w:val="restart"/>
            <w:vAlign w:val="center"/>
          </w:tcPr>
          <w:p>
            <w:pPr>
              <w:pStyle w:val="27"/>
              <w:ind w:left="0" w:leftChars="0" w:firstLine="0" w:firstLineChars="0"/>
              <w:jc w:val="center"/>
              <w:rPr>
                <w:rFonts w:hint="eastAsia" w:ascii="宋体" w:hAnsi="宋体"/>
                <w:b/>
                <w:color w:val="000000"/>
                <w:lang w:val="en-US" w:eastAsia="zh-CN"/>
              </w:rPr>
            </w:pPr>
            <w:r>
              <w:rPr>
                <w:rFonts w:ascii="宋体" w:hAnsi="宋体" w:eastAsia="宋体" w:cs="宋体"/>
                <w:color w:val="000000"/>
                <w:sz w:val="21"/>
                <w:szCs w:val="24"/>
                <w:lang w:val="en-US" w:eastAsia="zh-CN"/>
              </w:rPr>
              <w:t>资格评审标准</w:t>
            </w:r>
          </w:p>
        </w:tc>
        <w:tc>
          <w:tcPr>
            <w:tcW w:w="1899" w:type="dxa"/>
            <w:vAlign w:val="center"/>
          </w:tcPr>
          <w:p>
            <w:pPr>
              <w:pStyle w:val="44"/>
              <w:jc w:val="center"/>
              <w:rPr>
                <w:rFonts w:hint="eastAsia" w:ascii="宋体" w:hAnsi="宋体"/>
                <w:b/>
                <w:color w:val="000000"/>
              </w:rPr>
            </w:pPr>
            <w:r>
              <w:rPr>
                <w:rFonts w:ascii="宋体" w:hAnsi="宋体" w:eastAsia="宋体" w:cs="宋体"/>
                <w:color w:val="000000"/>
                <w:sz w:val="21"/>
              </w:rPr>
              <w:t>营业执照</w:t>
            </w:r>
          </w:p>
        </w:tc>
        <w:tc>
          <w:tcPr>
            <w:tcW w:w="4703" w:type="dxa"/>
            <w:vAlign w:val="center"/>
          </w:tcPr>
          <w:p>
            <w:pPr>
              <w:pStyle w:val="44"/>
              <w:rPr>
                <w:rFonts w:hint="eastAsia" w:ascii="宋体" w:hAnsi="宋体"/>
                <w:b/>
                <w:color w:val="000000"/>
              </w:rPr>
            </w:pPr>
            <w:r>
              <w:rPr>
                <w:rFonts w:ascii="宋体" w:hAnsi="宋体" w:eastAsia="宋体" w:cs="宋体"/>
                <w:color w:val="000000"/>
                <w:sz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center"/>
          </w:tcPr>
          <w:p>
            <w:pPr>
              <w:pStyle w:val="27"/>
              <w:ind w:firstLine="810"/>
              <w:jc w:val="center"/>
              <w:rPr>
                <w:rFonts w:hint="eastAsia" w:ascii="宋体" w:hAnsi="宋体" w:eastAsia="宋体" w:cs="宋体"/>
                <w:bCs w:val="0"/>
                <w:color w:val="000000"/>
                <w:sz w:val="21"/>
                <w:szCs w:val="24"/>
                <w:lang w:val="en-US" w:eastAsia="zh-CN"/>
              </w:rPr>
            </w:pPr>
          </w:p>
        </w:tc>
        <w:tc>
          <w:tcPr>
            <w:tcW w:w="1309" w:type="dxa"/>
            <w:vMerge w:val="continue"/>
            <w:vAlign w:val="center"/>
          </w:tcPr>
          <w:p>
            <w:pPr>
              <w:pStyle w:val="27"/>
              <w:ind w:firstLine="918"/>
              <w:jc w:val="center"/>
              <w:rPr>
                <w:rFonts w:hint="eastAsia" w:ascii="宋体" w:hAnsi="宋体"/>
                <w:b/>
                <w:color w:val="000000"/>
                <w:lang w:val="en-US" w:eastAsia="zh-CN"/>
              </w:rPr>
            </w:pPr>
          </w:p>
        </w:tc>
        <w:tc>
          <w:tcPr>
            <w:tcW w:w="1899" w:type="dxa"/>
            <w:vAlign w:val="center"/>
          </w:tcPr>
          <w:p>
            <w:pPr>
              <w:pStyle w:val="44"/>
              <w:jc w:val="center"/>
              <w:rPr>
                <w:rFonts w:ascii="宋体" w:hAnsi="宋体" w:eastAsia="宋体" w:cs="宋体"/>
                <w:color w:val="auto"/>
                <w:sz w:val="21"/>
              </w:rPr>
            </w:pPr>
            <w:r>
              <w:rPr>
                <w:rFonts w:hint="eastAsia" w:ascii="宋体" w:hAnsi="宋体" w:eastAsia="宋体" w:cs="宋体"/>
                <w:color w:val="000000"/>
                <w:sz w:val="21"/>
              </w:rPr>
              <w:t>法定代表人身份证明及授权</w:t>
            </w:r>
          </w:p>
        </w:tc>
        <w:tc>
          <w:tcPr>
            <w:tcW w:w="4703" w:type="dxa"/>
            <w:vAlign w:val="center"/>
          </w:tcPr>
          <w:p>
            <w:pPr>
              <w:pStyle w:val="44"/>
              <w:rPr>
                <w:rFonts w:hint="eastAsia" w:ascii="宋体" w:hAnsi="宋体" w:eastAsia="宋体" w:cs="宋体"/>
                <w:color w:val="auto"/>
                <w:sz w:val="21"/>
              </w:rPr>
            </w:pPr>
            <w:r>
              <w:rPr>
                <w:rFonts w:hint="eastAsia" w:ascii="宋体" w:hAnsi="宋体" w:eastAsia="宋体" w:cs="宋体"/>
                <w:color w:val="000000"/>
                <w:sz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center"/>
          </w:tcPr>
          <w:p>
            <w:pPr>
              <w:pStyle w:val="27"/>
              <w:ind w:firstLine="810"/>
              <w:jc w:val="center"/>
              <w:rPr>
                <w:rFonts w:hint="eastAsia" w:ascii="宋体" w:hAnsi="宋体" w:eastAsia="宋体" w:cs="宋体"/>
                <w:bCs w:val="0"/>
                <w:color w:val="000000"/>
                <w:sz w:val="21"/>
                <w:szCs w:val="24"/>
                <w:lang w:val="en-US" w:eastAsia="zh-CN"/>
              </w:rPr>
            </w:pPr>
          </w:p>
        </w:tc>
        <w:tc>
          <w:tcPr>
            <w:tcW w:w="1309" w:type="dxa"/>
            <w:vMerge w:val="continue"/>
            <w:vAlign w:val="center"/>
          </w:tcPr>
          <w:p>
            <w:pPr>
              <w:pStyle w:val="27"/>
              <w:ind w:firstLine="918"/>
              <w:jc w:val="center"/>
              <w:rPr>
                <w:rFonts w:hint="eastAsia" w:ascii="宋体" w:hAnsi="宋体"/>
                <w:b/>
                <w:color w:val="000000"/>
                <w:lang w:val="en-US" w:eastAsia="zh-CN"/>
              </w:rPr>
            </w:pPr>
          </w:p>
        </w:tc>
        <w:tc>
          <w:tcPr>
            <w:tcW w:w="1899" w:type="dxa"/>
            <w:vAlign w:val="center"/>
          </w:tcPr>
          <w:p>
            <w:pPr>
              <w:pStyle w:val="44"/>
              <w:jc w:val="center"/>
              <w:rPr>
                <w:rFonts w:ascii="宋体" w:hAnsi="宋体" w:eastAsia="宋体" w:cs="宋体"/>
                <w:color w:val="000000"/>
                <w:sz w:val="21"/>
                <w:highlight w:val="none"/>
              </w:rPr>
            </w:pPr>
            <w:r>
              <w:rPr>
                <w:rFonts w:ascii="宋体" w:hAnsi="宋体" w:eastAsia="宋体" w:cs="宋体"/>
                <w:color w:val="000000"/>
                <w:sz w:val="21"/>
                <w:highlight w:val="none"/>
              </w:rPr>
              <w:t>诚信</w:t>
            </w:r>
          </w:p>
        </w:tc>
        <w:tc>
          <w:tcPr>
            <w:tcW w:w="4703" w:type="dxa"/>
            <w:vAlign w:val="center"/>
          </w:tcPr>
          <w:p>
            <w:pPr>
              <w:pStyle w:val="44"/>
              <w:rPr>
                <w:rFonts w:hint="eastAsia" w:ascii="宋体" w:hAnsi="宋体" w:eastAsia="宋体" w:cs="宋体"/>
                <w:color w:val="000000"/>
                <w:sz w:val="21"/>
                <w:highlight w:val="none"/>
              </w:rPr>
            </w:pPr>
            <w:r>
              <w:rPr>
                <w:rFonts w:hint="eastAsia" w:ascii="宋体" w:hAnsi="宋体" w:eastAsia="宋体" w:cs="宋体"/>
                <w:color w:val="000000"/>
                <w:sz w:val="21"/>
                <w:highlight w:val="none"/>
              </w:rPr>
              <w:t>未被“信用中国”（www.creditchina.gov.cn）、中国政府采购网（www.ccgp.gov.cn）列入失信被执行人、重大税收违法案件当事人名单、政府采购严重违法失信行为记录名单。</w:t>
            </w:r>
          </w:p>
          <w:p>
            <w:pPr>
              <w:pStyle w:val="44"/>
              <w:rPr>
                <w:rFonts w:ascii="宋体" w:hAnsi="宋体" w:eastAsia="宋体" w:cs="宋体"/>
                <w:color w:val="000000"/>
                <w:sz w:val="21"/>
                <w:highlight w:val="none"/>
              </w:rPr>
            </w:pPr>
            <w:r>
              <w:rPr>
                <w:rFonts w:hint="eastAsia" w:ascii="宋体" w:hAnsi="宋体" w:eastAsia="宋体" w:cs="宋体"/>
                <w:b/>
                <w:bCs/>
                <w:color w:val="000000"/>
                <w:sz w:val="21"/>
                <w:highlight w:val="none"/>
              </w:rPr>
              <w:t>[供应商参加政府采购活动前三年内在经营活动中没有重大违法记录或不良信用记录的书面声明</w:t>
            </w:r>
            <w:r>
              <w:rPr>
                <w:rFonts w:hint="eastAsia" w:ascii="宋体" w:hAnsi="宋体" w:eastAsia="宋体" w:cs="宋体"/>
                <w:color w:val="000000"/>
                <w:sz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27"/>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20.2</w:t>
            </w:r>
          </w:p>
        </w:tc>
        <w:tc>
          <w:tcPr>
            <w:tcW w:w="1309" w:type="dxa"/>
            <w:vMerge w:val="restart"/>
            <w:vAlign w:val="center"/>
          </w:tcPr>
          <w:p>
            <w:pPr>
              <w:pStyle w:val="27"/>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形式评审标准</w:t>
            </w:r>
          </w:p>
        </w:tc>
        <w:tc>
          <w:tcPr>
            <w:tcW w:w="1899" w:type="dxa"/>
            <w:vAlign w:val="center"/>
          </w:tcPr>
          <w:p>
            <w:pPr>
              <w:pStyle w:val="44"/>
              <w:jc w:val="center"/>
              <w:rPr>
                <w:rFonts w:hint="eastAsia" w:ascii="宋体" w:hAnsi="宋体" w:eastAsia="宋体" w:cs="宋体"/>
                <w:color w:val="000000"/>
                <w:sz w:val="21"/>
              </w:rPr>
            </w:pPr>
            <w:r>
              <w:rPr>
                <w:rFonts w:hint="eastAsia" w:ascii="宋体" w:hAnsi="宋体" w:eastAsia="宋体" w:cs="宋体"/>
                <w:color w:val="000000"/>
                <w:sz w:val="21"/>
              </w:rPr>
              <w:t>供应商</w:t>
            </w:r>
            <w:r>
              <w:rPr>
                <w:rFonts w:ascii="宋体" w:hAnsi="宋体" w:eastAsia="宋体" w:cs="宋体"/>
                <w:color w:val="000000"/>
                <w:sz w:val="21"/>
              </w:rPr>
              <w:t>名称</w:t>
            </w:r>
          </w:p>
        </w:tc>
        <w:tc>
          <w:tcPr>
            <w:tcW w:w="4703" w:type="dxa"/>
            <w:vAlign w:val="center"/>
          </w:tcPr>
          <w:p>
            <w:pPr>
              <w:pStyle w:val="44"/>
              <w:rPr>
                <w:rFonts w:hint="eastAsia" w:ascii="宋体" w:hAnsi="宋体" w:eastAsia="宋体" w:cs="宋体"/>
                <w:color w:val="000000"/>
                <w:sz w:val="21"/>
              </w:rPr>
            </w:pPr>
            <w:r>
              <w:rPr>
                <w:rFonts w:hint="eastAsia" w:ascii="宋体" w:hAnsi="宋体" w:eastAsia="宋体" w:cs="宋体"/>
                <w:color w:val="000000"/>
                <w:sz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810"/>
              <w:jc w:val="center"/>
              <w:rPr>
                <w:rFonts w:hint="eastAsia" w:ascii="宋体" w:hAnsi="宋体" w:eastAsia="宋体" w:cs="宋体"/>
                <w:bCs w:val="0"/>
                <w:color w:val="000000"/>
                <w:sz w:val="21"/>
                <w:szCs w:val="24"/>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rPr>
            </w:pPr>
            <w:r>
              <w:rPr>
                <w:rFonts w:hint="eastAsia" w:ascii="宋体" w:hAnsi="宋体" w:eastAsia="宋体" w:cs="宋体"/>
                <w:color w:val="000000"/>
                <w:sz w:val="21"/>
              </w:rPr>
              <w:t>磋商</w:t>
            </w:r>
            <w:r>
              <w:rPr>
                <w:rFonts w:ascii="宋体" w:hAnsi="宋体" w:eastAsia="宋体" w:cs="宋体"/>
                <w:color w:val="000000"/>
                <w:sz w:val="21"/>
              </w:rPr>
              <w:t>函签字盖章</w:t>
            </w:r>
          </w:p>
        </w:tc>
        <w:tc>
          <w:tcPr>
            <w:tcW w:w="4703" w:type="dxa"/>
            <w:vAlign w:val="center"/>
          </w:tcPr>
          <w:p>
            <w:pPr>
              <w:pStyle w:val="44"/>
              <w:rPr>
                <w:rFonts w:hint="eastAsia" w:ascii="宋体" w:hAnsi="宋体" w:eastAsia="宋体" w:cs="宋体"/>
                <w:color w:val="000000"/>
                <w:sz w:val="21"/>
              </w:rPr>
            </w:pPr>
            <w:r>
              <w:rPr>
                <w:rFonts w:hint="eastAsia" w:ascii="宋体" w:hAnsi="宋体" w:eastAsia="宋体" w:cs="宋体"/>
                <w:color w:val="000000"/>
                <w:sz w:val="21"/>
              </w:rPr>
              <w:t>法定代表人</w:t>
            </w:r>
            <w:r>
              <w:rPr>
                <w:rFonts w:hint="eastAsia" w:ascii="宋体" w:hAnsi="宋体" w:eastAsia="宋体" w:cs="宋体"/>
                <w:color w:val="000000"/>
                <w:sz w:val="21"/>
                <w:lang w:val="en-US" w:eastAsia="zh-CN"/>
              </w:rPr>
              <w:t>签字、或委托代理人签字</w:t>
            </w:r>
            <w:r>
              <w:rPr>
                <w:rFonts w:hint="eastAsia" w:ascii="宋体" w:hAnsi="宋体" w:eastAsia="宋体" w:cs="宋体"/>
                <w:color w:val="000000"/>
                <w:sz w:val="21"/>
              </w:rPr>
              <w:t>及单位公章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810"/>
              <w:jc w:val="center"/>
              <w:rPr>
                <w:rFonts w:hint="eastAsia" w:ascii="宋体" w:hAnsi="宋体" w:eastAsia="宋体" w:cs="宋体"/>
                <w:bCs w:val="0"/>
                <w:color w:val="000000"/>
                <w:sz w:val="21"/>
                <w:szCs w:val="24"/>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rPr>
            </w:pPr>
            <w:r>
              <w:rPr>
                <w:rFonts w:ascii="宋体" w:hAnsi="宋体" w:eastAsia="宋体" w:cs="宋体"/>
                <w:color w:val="000000"/>
                <w:sz w:val="21"/>
              </w:rPr>
              <w:t>报价唯一</w:t>
            </w:r>
          </w:p>
        </w:tc>
        <w:tc>
          <w:tcPr>
            <w:tcW w:w="4703" w:type="dxa"/>
            <w:vAlign w:val="center"/>
          </w:tcPr>
          <w:p>
            <w:pPr>
              <w:pStyle w:val="44"/>
              <w:rPr>
                <w:rFonts w:hint="eastAsia" w:ascii="宋体" w:hAnsi="宋体" w:eastAsia="宋体" w:cs="宋体"/>
                <w:color w:val="000000"/>
                <w:sz w:val="21"/>
              </w:rPr>
            </w:pPr>
            <w:r>
              <w:rPr>
                <w:rFonts w:hint="eastAsia" w:ascii="宋体" w:hAnsi="宋体" w:eastAsia="宋体" w:cs="宋体"/>
                <w:color w:val="000000"/>
                <w:sz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27"/>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20.3</w:t>
            </w:r>
          </w:p>
        </w:tc>
        <w:tc>
          <w:tcPr>
            <w:tcW w:w="1309" w:type="dxa"/>
            <w:vMerge w:val="restart"/>
            <w:vAlign w:val="center"/>
          </w:tcPr>
          <w:p>
            <w:pPr>
              <w:pStyle w:val="27"/>
              <w:ind w:left="0" w:leftChars="0" w:firstLine="0" w:firstLineChars="0"/>
              <w:jc w:val="both"/>
              <w:rPr>
                <w:rFonts w:ascii="宋体" w:hAnsi="宋体" w:eastAsia="宋体" w:cs="宋体"/>
                <w:bCs w:val="0"/>
                <w:color w:val="000000"/>
                <w:sz w:val="21"/>
                <w:szCs w:val="24"/>
                <w:lang w:val="en-US" w:eastAsia="zh-CN"/>
              </w:rPr>
            </w:pPr>
            <w:r>
              <w:rPr>
                <w:rFonts w:ascii="宋体" w:hAnsi="宋体" w:eastAsia="宋体" w:cs="宋体"/>
                <w:bCs w:val="0"/>
                <w:color w:val="000000"/>
                <w:sz w:val="21"/>
                <w:szCs w:val="24"/>
                <w:lang w:val="en-US" w:eastAsia="zh-CN"/>
              </w:rPr>
              <w:t>响应性评审标准</w:t>
            </w:r>
          </w:p>
        </w:tc>
        <w:tc>
          <w:tcPr>
            <w:tcW w:w="1899" w:type="dxa"/>
            <w:vAlign w:val="center"/>
          </w:tcPr>
          <w:p>
            <w:pPr>
              <w:pStyle w:val="44"/>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竞</w:t>
            </w:r>
            <w:r>
              <w:rPr>
                <w:rFonts w:ascii="宋体" w:hAnsi="宋体" w:eastAsia="宋体" w:cs="宋体"/>
                <w:color w:val="000000"/>
                <w:sz w:val="21"/>
              </w:rPr>
              <w:t>标内容</w:t>
            </w:r>
          </w:p>
        </w:tc>
        <w:tc>
          <w:tcPr>
            <w:tcW w:w="4703" w:type="dxa"/>
            <w:vAlign w:val="center"/>
          </w:tcPr>
          <w:p>
            <w:pPr>
              <w:pStyle w:val="44"/>
              <w:rPr>
                <w:rFonts w:hint="eastAsia" w:ascii="宋体" w:hAnsi="宋体" w:eastAsia="宋体" w:cs="宋体"/>
                <w:color w:val="000000"/>
                <w:sz w:val="21"/>
                <w:lang w:eastAsia="zh-CN"/>
              </w:rPr>
            </w:pPr>
            <w:r>
              <w:rPr>
                <w:rFonts w:hint="eastAsia" w:ascii="宋体" w:hAnsi="宋体" w:eastAsia="宋体" w:cs="宋体"/>
                <w:color w:val="000000"/>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项目周</w:t>
            </w:r>
            <w:r>
              <w:rPr>
                <w:rFonts w:ascii="宋体" w:hAnsi="宋体" w:eastAsia="宋体" w:cs="宋体"/>
                <w:color w:val="000000"/>
                <w:sz w:val="21"/>
              </w:rPr>
              <w:t>期</w:t>
            </w:r>
          </w:p>
        </w:tc>
        <w:tc>
          <w:tcPr>
            <w:tcW w:w="4703" w:type="dxa"/>
            <w:vAlign w:val="center"/>
          </w:tcPr>
          <w:p>
            <w:pPr>
              <w:pStyle w:val="44"/>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竞</w:t>
            </w:r>
            <w:r>
              <w:rPr>
                <w:rFonts w:ascii="宋体" w:hAnsi="宋体" w:eastAsia="宋体" w:cs="宋体"/>
                <w:color w:val="000000"/>
                <w:sz w:val="21"/>
              </w:rPr>
              <w:t>标有效期</w:t>
            </w:r>
          </w:p>
        </w:tc>
        <w:tc>
          <w:tcPr>
            <w:tcW w:w="4703" w:type="dxa"/>
            <w:vAlign w:val="center"/>
          </w:tcPr>
          <w:p>
            <w:pPr>
              <w:pStyle w:val="44"/>
              <w:rPr>
                <w:rFonts w:hint="eastAsia" w:ascii="宋体" w:hAnsi="宋体" w:eastAsia="宋体" w:cs="宋体"/>
                <w:color w:val="000000"/>
                <w:sz w:val="21"/>
              </w:rPr>
            </w:pPr>
            <w:r>
              <w:rPr>
                <w:rFonts w:hint="eastAsia" w:ascii="宋体" w:hAnsi="宋体" w:eastAsia="宋体" w:cs="宋体"/>
                <w:color w:val="000000"/>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磋商报价</w:t>
            </w:r>
          </w:p>
        </w:tc>
        <w:tc>
          <w:tcPr>
            <w:tcW w:w="4703" w:type="dxa"/>
            <w:vAlign w:val="center"/>
          </w:tcPr>
          <w:p>
            <w:pPr>
              <w:pStyle w:val="44"/>
              <w:rPr>
                <w:rFonts w:hint="eastAsia" w:ascii="宋体" w:hAnsi="宋体" w:eastAsia="宋体" w:cs="宋体"/>
                <w:color w:val="000000"/>
                <w:sz w:val="21"/>
              </w:rPr>
            </w:pPr>
            <w:r>
              <w:rPr>
                <w:rFonts w:ascii="宋体" w:hAnsi="宋体" w:eastAsia="宋体" w:cs="宋体"/>
                <w:color w:val="000000"/>
                <w:sz w:val="21"/>
              </w:rPr>
              <w:t>低于（含等于）</w:t>
            </w:r>
            <w:r>
              <w:rPr>
                <w:rFonts w:hint="eastAsia" w:ascii="宋体" w:hAnsi="宋体" w:eastAsia="宋体" w:cs="宋体"/>
                <w:color w:val="000000"/>
                <w:sz w:val="21"/>
                <w:lang w:val="en-US" w:eastAsia="zh-CN"/>
              </w:rPr>
              <w:t>采购</w:t>
            </w:r>
            <w:r>
              <w:rPr>
                <w:rFonts w:ascii="宋体" w:hAnsi="宋体" w:eastAsia="宋体" w:cs="宋体"/>
                <w:color w:val="000000"/>
                <w:sz w:val="21"/>
              </w:rPr>
              <w:t>人公布的</w:t>
            </w:r>
            <w:r>
              <w:rPr>
                <w:rFonts w:hint="eastAsia" w:ascii="宋体" w:hAnsi="宋体" w:eastAsia="宋体" w:cs="宋体"/>
                <w:color w:val="000000"/>
                <w:sz w:val="21"/>
                <w:lang w:val="en-US" w:eastAsia="zh-CN"/>
              </w:rPr>
              <w:t>最高上限</w:t>
            </w:r>
            <w:r>
              <w:rPr>
                <w:rFonts w:ascii="宋体" w:hAnsi="宋体" w:eastAsia="宋体" w:cs="宋体"/>
                <w:color w:val="000000"/>
                <w:sz w:val="21"/>
              </w:rPr>
              <w:t>价且无否决投标条件的相应情况。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6" w:type="dxa"/>
            <w:gridSpan w:val="4"/>
            <w:vAlign w:val="center"/>
          </w:tcPr>
          <w:p>
            <w:pPr>
              <w:pStyle w:val="44"/>
              <w:jc w:val="both"/>
              <w:rPr>
                <w:rFonts w:ascii="宋体" w:hAnsi="宋体" w:eastAsia="宋体" w:cs="宋体"/>
                <w:color w:val="000000"/>
                <w:spacing w:val="89"/>
                <w:sz w:val="21"/>
              </w:rPr>
            </w:pPr>
            <w:r>
              <w:rPr>
                <w:rFonts w:ascii="宋体" w:hAnsi="宋体" w:eastAsia="宋体" w:cs="宋体"/>
                <w:b/>
                <w:color w:val="000000"/>
                <w:sz w:val="21"/>
              </w:rPr>
              <w:t>合格标准：</w:t>
            </w:r>
            <w:r>
              <w:rPr>
                <w:rFonts w:hint="eastAsia" w:ascii="宋体" w:hAnsi="宋体" w:eastAsia="宋体" w:cs="宋体"/>
                <w:b/>
                <w:color w:val="000000"/>
                <w:sz w:val="21"/>
              </w:rPr>
              <w:t>以上</w:t>
            </w:r>
            <w:r>
              <w:rPr>
                <w:rFonts w:ascii="宋体" w:hAnsi="宋体" w:eastAsia="宋体" w:cs="宋体"/>
                <w:b/>
                <w:color w:val="000000"/>
                <w:sz w:val="21"/>
              </w:rPr>
              <w:t>缺少任何一项或有任何一项不合格者，其评审</w:t>
            </w:r>
            <w:r>
              <w:rPr>
                <w:rFonts w:hint="eastAsia" w:ascii="宋体" w:hAnsi="宋体" w:eastAsia="宋体" w:cs="宋体"/>
                <w:b/>
                <w:color w:val="000000"/>
                <w:sz w:val="21"/>
              </w:rPr>
              <w:t>结果</w:t>
            </w:r>
            <w:r>
              <w:rPr>
                <w:rFonts w:ascii="宋体" w:hAnsi="宋体" w:eastAsia="宋体" w:cs="宋体"/>
                <w:b/>
                <w:color w:val="000000"/>
                <w:sz w:val="21"/>
              </w:rPr>
              <w:t>视为不合格</w:t>
            </w:r>
            <w:r>
              <w:rPr>
                <w:rFonts w:hint="eastAsia" w:ascii="宋体" w:hAnsi="宋体" w:eastAsia="宋体" w:cs="宋体"/>
                <w:b/>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Align w:val="center"/>
          </w:tcPr>
          <w:p>
            <w:pPr>
              <w:pStyle w:val="44"/>
              <w:jc w:val="center"/>
              <w:rPr>
                <w:rFonts w:hint="default" w:ascii="宋体" w:hAnsi="宋体" w:eastAsia="宋体" w:cs="宋体"/>
                <w:color w:val="000000"/>
                <w:sz w:val="21"/>
                <w:lang w:val="en-US" w:eastAsia="zh-CN"/>
              </w:rPr>
            </w:pPr>
            <w:r>
              <w:rPr>
                <w:rFonts w:ascii="宋体" w:hAnsi="宋体" w:eastAsia="宋体" w:cs="宋体"/>
                <w:color w:val="000000"/>
                <w:sz w:val="21"/>
              </w:rPr>
              <w:t>2</w:t>
            </w:r>
            <w:r>
              <w:rPr>
                <w:rFonts w:hint="eastAsia" w:ascii="宋体" w:hAnsi="宋体" w:eastAsia="宋体" w:cs="宋体"/>
                <w:color w:val="000000"/>
                <w:sz w:val="21"/>
                <w:lang w:val="en-US" w:eastAsia="zh-CN"/>
              </w:rPr>
              <w:t>0.4</w:t>
            </w:r>
          </w:p>
        </w:tc>
        <w:tc>
          <w:tcPr>
            <w:tcW w:w="1309" w:type="dxa"/>
            <w:vAlign w:val="center"/>
          </w:tcPr>
          <w:p>
            <w:pPr>
              <w:pStyle w:val="44"/>
              <w:jc w:val="center"/>
              <w:rPr>
                <w:rFonts w:ascii="宋体" w:hAnsi="宋体" w:eastAsia="宋体" w:cs="宋体"/>
                <w:color w:val="000000"/>
                <w:sz w:val="21"/>
              </w:rPr>
            </w:pPr>
            <w:r>
              <w:rPr>
                <w:rFonts w:ascii="宋体" w:hAnsi="宋体" w:eastAsia="宋体" w:cs="宋体"/>
                <w:color w:val="000000"/>
                <w:sz w:val="21"/>
              </w:rPr>
              <w:t>详细评审</w:t>
            </w:r>
          </w:p>
        </w:tc>
        <w:tc>
          <w:tcPr>
            <w:tcW w:w="6602" w:type="dxa"/>
            <w:gridSpan w:val="2"/>
            <w:vAlign w:val="center"/>
          </w:tcPr>
          <w:p>
            <w:pPr>
              <w:pStyle w:val="44"/>
              <w:rPr>
                <w:rFonts w:ascii="宋体" w:hAnsi="宋体" w:eastAsia="宋体" w:cs="宋体"/>
                <w:b/>
                <w:color w:val="000000"/>
                <w:sz w:val="21"/>
              </w:rPr>
            </w:pPr>
            <w:r>
              <w:rPr>
                <w:rFonts w:ascii="宋体" w:hAnsi="宋体" w:eastAsia="宋体" w:cs="宋体"/>
                <w:b/>
                <w:color w:val="000000"/>
                <w:sz w:val="21"/>
              </w:rPr>
              <w:t>通过资格审查的合格</w:t>
            </w:r>
            <w:r>
              <w:rPr>
                <w:rFonts w:hint="eastAsia" w:ascii="宋体" w:hAnsi="宋体" w:eastAsia="宋体" w:cs="宋体"/>
                <w:b/>
                <w:color w:val="000000"/>
                <w:sz w:val="21"/>
              </w:rPr>
              <w:t>供应商</w:t>
            </w:r>
            <w:r>
              <w:rPr>
                <w:rFonts w:ascii="宋体" w:hAnsi="宋体" w:eastAsia="宋体" w:cs="宋体"/>
                <w:b/>
                <w:color w:val="000000"/>
                <w:sz w:val="21"/>
              </w:rPr>
              <w:t>，只有通过了形式评审和响应性评审，才能进入详细评审程序。</w:t>
            </w:r>
          </w:p>
          <w:p>
            <w:pPr>
              <w:pStyle w:val="44"/>
              <w:jc w:val="left"/>
              <w:rPr>
                <w:rFonts w:hint="default" w:ascii="宋体" w:hAnsi="宋体" w:eastAsia="宋体" w:cs="宋体"/>
                <w:color w:val="000000"/>
                <w:sz w:val="21"/>
              </w:rPr>
            </w:pPr>
            <w:r>
              <w:rPr>
                <w:rFonts w:hint="default" w:ascii="宋体" w:hAnsi="宋体" w:eastAsia="宋体" w:cs="宋体"/>
                <w:color w:val="000000"/>
                <w:sz w:val="21"/>
                <w:szCs w:val="24"/>
              </w:rPr>
              <w:t>分值构成（总分100分）其中：</w:t>
            </w:r>
          </w:p>
          <w:p>
            <w:pPr>
              <w:pStyle w:val="44"/>
              <w:jc w:val="left"/>
              <w:rPr>
                <w:rFonts w:ascii="宋体" w:hAnsi="宋体" w:eastAsia="宋体" w:cs="宋体"/>
                <w:color w:val="000000"/>
                <w:sz w:val="21"/>
              </w:rPr>
            </w:pPr>
            <w:r>
              <w:rPr>
                <w:rFonts w:hint="default" w:ascii="宋体" w:hAnsi="宋体" w:eastAsia="宋体" w:cs="宋体"/>
                <w:color w:val="000000"/>
                <w:kern w:val="0"/>
                <w:sz w:val="21"/>
                <w:szCs w:val="24"/>
                <w:lang w:bidi="ar"/>
              </w:rPr>
              <w:t>（1）</w:t>
            </w:r>
            <w:r>
              <w:rPr>
                <w:rFonts w:hint="eastAsia" w:ascii="宋体" w:hAnsi="宋体" w:eastAsia="宋体" w:cs="宋体"/>
                <w:color w:val="000000"/>
                <w:kern w:val="0"/>
                <w:sz w:val="21"/>
                <w:szCs w:val="24"/>
                <w:lang w:val="en-US" w:eastAsia="zh-CN" w:bidi="ar"/>
              </w:rPr>
              <w:t>实施方案</w:t>
            </w:r>
            <w:r>
              <w:rPr>
                <w:rFonts w:hint="default" w:ascii="宋体" w:hAnsi="宋体" w:eastAsia="宋体" w:cs="宋体"/>
                <w:color w:val="000000"/>
                <w:kern w:val="0"/>
                <w:sz w:val="21"/>
                <w:szCs w:val="24"/>
                <w:lang w:bidi="ar"/>
              </w:rPr>
              <w:t>分：</w:t>
            </w:r>
            <w:r>
              <w:rPr>
                <w:rFonts w:hint="eastAsia" w:ascii="宋体" w:hAnsi="宋体" w:eastAsia="宋体" w:cs="宋体"/>
                <w:color w:val="000000"/>
                <w:kern w:val="0"/>
                <w:sz w:val="21"/>
                <w:szCs w:val="24"/>
                <w:lang w:val="en-US" w:eastAsia="zh-CN" w:bidi="ar"/>
              </w:rPr>
              <w:t>6</w:t>
            </w:r>
            <w:r>
              <w:rPr>
                <w:rFonts w:hint="default" w:ascii="宋体" w:hAnsi="宋体" w:eastAsia="宋体" w:cs="宋体"/>
                <w:color w:val="000000"/>
                <w:kern w:val="0"/>
                <w:sz w:val="21"/>
                <w:szCs w:val="24"/>
                <w:lang w:bidi="ar"/>
              </w:rPr>
              <w:t xml:space="preserve">0分 </w:t>
            </w:r>
          </w:p>
          <w:p>
            <w:pPr>
              <w:pStyle w:val="44"/>
              <w:jc w:val="left"/>
              <w:rPr>
                <w:rFonts w:ascii="宋体" w:hAnsi="宋体" w:cs="宋体"/>
                <w:b/>
                <w:color w:val="000000"/>
              </w:rPr>
            </w:pPr>
            <w:r>
              <w:rPr>
                <w:rFonts w:hint="default" w:ascii="宋体" w:hAnsi="宋体" w:eastAsia="宋体" w:cs="宋体"/>
                <w:color w:val="000000"/>
                <w:kern w:val="0"/>
                <w:sz w:val="21"/>
                <w:szCs w:val="24"/>
                <w:lang w:bidi="ar"/>
              </w:rPr>
              <w:t>（2）商务分：</w:t>
            </w:r>
            <w:r>
              <w:rPr>
                <w:rFonts w:hint="eastAsia" w:ascii="宋体" w:hAnsi="宋体" w:eastAsia="宋体" w:cs="宋体"/>
                <w:color w:val="000000"/>
                <w:kern w:val="0"/>
                <w:sz w:val="21"/>
                <w:szCs w:val="24"/>
                <w:lang w:val="en-US" w:eastAsia="zh-CN" w:bidi="ar"/>
              </w:rPr>
              <w:t>4</w:t>
            </w:r>
            <w:r>
              <w:rPr>
                <w:rFonts w:hint="default" w:ascii="宋体" w:hAnsi="宋体" w:eastAsia="宋体" w:cs="宋体"/>
                <w:color w:val="000000"/>
                <w:kern w:val="0"/>
                <w:sz w:val="21"/>
                <w:szCs w:val="24"/>
                <w:lang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44"/>
              <w:jc w:val="center"/>
              <w:rPr>
                <w:rFonts w:ascii="宋体" w:hAnsi="宋体" w:eastAsia="宋体" w:cs="宋体"/>
                <w:color w:val="000000"/>
                <w:sz w:val="21"/>
              </w:rPr>
            </w:pPr>
            <w:r>
              <w:rPr>
                <w:rFonts w:hint="eastAsia" w:ascii="宋体" w:hAnsi="宋体" w:eastAsia="宋体" w:cs="宋体"/>
                <w:color w:val="000000"/>
                <w:sz w:val="21"/>
              </w:rPr>
              <w:t>2</w:t>
            </w:r>
            <w:r>
              <w:rPr>
                <w:rFonts w:hint="eastAsia" w:ascii="宋体" w:hAnsi="宋体" w:eastAsia="宋体" w:cs="宋体"/>
                <w:color w:val="000000"/>
                <w:sz w:val="21"/>
                <w:lang w:val="en-US" w:eastAsia="zh-CN"/>
              </w:rPr>
              <w:t>0</w:t>
            </w:r>
            <w:r>
              <w:rPr>
                <w:rFonts w:hint="eastAsia" w:ascii="宋体" w:hAnsi="宋体" w:eastAsia="宋体" w:cs="宋体"/>
                <w:color w:val="000000"/>
                <w:sz w:val="21"/>
              </w:rPr>
              <w:t>.</w:t>
            </w:r>
            <w:r>
              <w:rPr>
                <w:rFonts w:hint="eastAsia" w:ascii="宋体" w:hAnsi="宋体" w:eastAsia="宋体" w:cs="宋体"/>
                <w:color w:val="000000"/>
                <w:sz w:val="21"/>
                <w:lang w:val="en-US" w:eastAsia="zh-CN"/>
              </w:rPr>
              <w:t>4</w:t>
            </w:r>
            <w:r>
              <w:rPr>
                <w:rFonts w:hint="eastAsia" w:ascii="宋体" w:hAnsi="宋体" w:eastAsia="宋体" w:cs="宋体"/>
                <w:color w:val="000000"/>
                <w:sz w:val="21"/>
              </w:rPr>
              <w:t>.1</w:t>
            </w:r>
          </w:p>
        </w:tc>
        <w:tc>
          <w:tcPr>
            <w:tcW w:w="1309" w:type="dxa"/>
            <w:vMerge w:val="restart"/>
            <w:vAlign w:val="center"/>
          </w:tcPr>
          <w:p>
            <w:pPr>
              <w:pStyle w:val="44"/>
              <w:jc w:val="center"/>
              <w:rPr>
                <w:rFonts w:ascii="宋体" w:hAnsi="宋体" w:eastAsia="宋体" w:cs="宋体"/>
                <w:color w:val="000000"/>
                <w:sz w:val="21"/>
              </w:rPr>
            </w:pPr>
            <w:r>
              <w:rPr>
                <w:rFonts w:hint="eastAsia" w:ascii="宋体" w:hAnsi="宋体" w:eastAsia="宋体" w:cs="宋体"/>
                <w:color w:val="000000"/>
                <w:kern w:val="0"/>
                <w:sz w:val="21"/>
                <w:szCs w:val="24"/>
                <w:lang w:val="en-US" w:eastAsia="zh-CN" w:bidi="ar"/>
              </w:rPr>
              <w:t>实施方案</w:t>
            </w:r>
            <w:r>
              <w:rPr>
                <w:rFonts w:ascii="宋体" w:hAnsi="宋体" w:eastAsia="宋体" w:cs="宋体"/>
                <w:color w:val="000000"/>
                <w:sz w:val="21"/>
              </w:rPr>
              <w:t>分</w:t>
            </w:r>
            <w:r>
              <w:rPr>
                <w:rFonts w:hint="default" w:ascii="宋体" w:hAnsi="宋体" w:eastAsia="宋体" w:cs="宋体"/>
                <w:color w:val="000000"/>
                <w:sz w:val="21"/>
                <w:szCs w:val="24"/>
              </w:rPr>
              <w:t>（满分</w:t>
            </w:r>
            <w:r>
              <w:rPr>
                <w:rFonts w:hint="eastAsia" w:ascii="宋体" w:hAnsi="宋体" w:eastAsia="宋体" w:cs="宋体"/>
                <w:color w:val="000000"/>
                <w:sz w:val="21"/>
                <w:szCs w:val="24"/>
                <w:lang w:val="en-US" w:eastAsia="zh-CN"/>
              </w:rPr>
              <w:t>6</w:t>
            </w:r>
            <w:r>
              <w:rPr>
                <w:rFonts w:hint="default" w:ascii="宋体" w:hAnsi="宋体" w:eastAsia="宋体" w:cs="宋体"/>
                <w:color w:val="000000"/>
                <w:sz w:val="21"/>
                <w:szCs w:val="24"/>
              </w:rPr>
              <w:t>0分）</w:t>
            </w:r>
          </w:p>
        </w:tc>
        <w:tc>
          <w:tcPr>
            <w:tcW w:w="1899" w:type="dxa"/>
            <w:vAlign w:val="center"/>
          </w:tcPr>
          <w:p>
            <w:pPr>
              <w:pStyle w:val="44"/>
              <w:jc w:val="center"/>
              <w:rPr>
                <w:rFonts w:ascii="宋体" w:hAnsi="宋体" w:cs="宋体"/>
                <w:color w:val="auto"/>
              </w:rPr>
            </w:pPr>
            <w:r>
              <w:rPr>
                <w:rFonts w:hint="eastAsia" w:ascii="宋体" w:hAnsi="宋体" w:eastAsia="宋体" w:cs="宋体"/>
                <w:color w:val="auto"/>
                <w:sz w:val="21"/>
                <w:highlight w:val="none"/>
              </w:rPr>
              <w:t>1、总体概述（</w:t>
            </w:r>
            <w:r>
              <w:rPr>
                <w:rFonts w:hint="eastAsia" w:ascii="宋体" w:hAnsi="宋体" w:eastAsia="宋体" w:cs="宋体"/>
                <w:color w:val="auto"/>
                <w:sz w:val="21"/>
                <w:highlight w:val="none"/>
                <w:lang w:val="en-US" w:eastAsia="zh-CN"/>
              </w:rPr>
              <w:t>数字化运营</w:t>
            </w:r>
            <w:r>
              <w:rPr>
                <w:rFonts w:hint="eastAsia" w:ascii="宋体" w:hAnsi="宋体" w:eastAsia="宋体" w:cs="宋体"/>
                <w:color w:val="auto"/>
                <w:sz w:val="21"/>
                <w:highlight w:val="none"/>
              </w:rPr>
              <w:t>总体设想及</w:t>
            </w:r>
            <w:r>
              <w:rPr>
                <w:rFonts w:hint="eastAsia" w:ascii="宋体" w:hAnsi="宋体" w:eastAsia="宋体" w:cs="宋体"/>
                <w:color w:val="auto"/>
                <w:sz w:val="21"/>
                <w:highlight w:val="none"/>
                <w:lang w:val="en-US" w:eastAsia="zh-CN"/>
              </w:rPr>
              <w:t>项目实施安排</w:t>
            </w:r>
            <w:r>
              <w:rPr>
                <w:rFonts w:hint="eastAsia" w:ascii="宋体" w:hAnsi="宋体" w:eastAsia="宋体" w:cs="宋体"/>
                <w:color w:val="auto"/>
                <w:sz w:val="21"/>
                <w:highlight w:val="none"/>
              </w:rPr>
              <w:t>）（满分10分）</w:t>
            </w:r>
          </w:p>
        </w:tc>
        <w:tc>
          <w:tcPr>
            <w:tcW w:w="4703" w:type="dxa"/>
            <w:vAlign w:val="top"/>
          </w:tcPr>
          <w:p>
            <w:pPr>
              <w:pStyle w:val="44"/>
              <w:jc w:val="both"/>
              <w:rPr>
                <w:rFonts w:ascii="宋体" w:hAnsi="宋体" w:eastAsia="宋体" w:cs="宋体"/>
                <w:color w:val="auto"/>
                <w:sz w:val="21"/>
                <w:highlight w:val="none"/>
              </w:rPr>
            </w:pPr>
            <w:r>
              <w:rPr>
                <w:rFonts w:hint="eastAsia" w:ascii="宋体" w:hAnsi="宋体" w:eastAsia="宋体" w:cs="宋体"/>
                <w:color w:val="auto"/>
                <w:sz w:val="21"/>
                <w:highlight w:val="none"/>
              </w:rPr>
              <w:t>差(3.0分)：对项目认识不足，表述不清晰，措施不具体；</w:t>
            </w:r>
            <w:r>
              <w:rPr>
                <w:rFonts w:hint="eastAsia" w:ascii="宋体" w:hAnsi="宋体" w:eastAsia="宋体" w:cs="宋体"/>
                <w:color w:val="auto"/>
                <w:sz w:val="21"/>
                <w:highlight w:val="none"/>
                <w:lang w:val="en-US" w:eastAsia="zh-CN"/>
              </w:rPr>
              <w:t>实施安排</w:t>
            </w:r>
            <w:r>
              <w:rPr>
                <w:rFonts w:hint="eastAsia" w:ascii="宋体" w:hAnsi="宋体" w:eastAsia="宋体" w:cs="宋体"/>
                <w:color w:val="auto"/>
                <w:sz w:val="21"/>
                <w:highlight w:val="none"/>
              </w:rPr>
              <w:t>不合理</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可操作性不足</w:t>
            </w:r>
            <w:r>
              <w:rPr>
                <w:rFonts w:hint="eastAsia" w:ascii="宋体" w:hAnsi="宋体" w:eastAsia="宋体" w:cs="宋体"/>
                <w:color w:val="auto"/>
                <w:sz w:val="21"/>
                <w:highlight w:val="none"/>
              </w:rPr>
              <w:t>。</w:t>
            </w:r>
          </w:p>
          <w:p>
            <w:pPr>
              <w:pStyle w:val="44"/>
              <w:jc w:val="both"/>
              <w:rPr>
                <w:rFonts w:ascii="宋体" w:hAnsi="宋体" w:eastAsia="宋体" w:cs="宋体"/>
                <w:color w:val="auto"/>
                <w:sz w:val="21"/>
                <w:highlight w:val="none"/>
              </w:rPr>
            </w:pPr>
            <w:r>
              <w:rPr>
                <w:rFonts w:hint="eastAsia" w:ascii="宋体" w:hAnsi="宋体" w:eastAsia="宋体" w:cs="宋体"/>
                <w:color w:val="auto"/>
                <w:sz w:val="21"/>
                <w:highlight w:val="none"/>
              </w:rPr>
              <w:t>良(6.0分)：对项目总体有认识，措施一般但部分不具体：</w:t>
            </w:r>
            <w:r>
              <w:rPr>
                <w:rFonts w:hint="eastAsia" w:ascii="宋体" w:hAnsi="宋体" w:eastAsia="宋体" w:cs="宋体"/>
                <w:color w:val="auto"/>
                <w:sz w:val="21"/>
                <w:highlight w:val="none"/>
                <w:lang w:val="en-US" w:eastAsia="zh-CN"/>
              </w:rPr>
              <w:t>项目实施安排</w:t>
            </w:r>
            <w:r>
              <w:rPr>
                <w:rFonts w:hint="eastAsia" w:ascii="宋体" w:hAnsi="宋体" w:eastAsia="宋体" w:cs="宋体"/>
                <w:color w:val="auto"/>
                <w:sz w:val="21"/>
                <w:highlight w:val="none"/>
              </w:rPr>
              <w:t>较合理，</w:t>
            </w:r>
            <w:r>
              <w:rPr>
                <w:rFonts w:hint="eastAsia" w:ascii="宋体" w:hAnsi="宋体" w:eastAsia="宋体" w:cs="宋体"/>
                <w:color w:val="auto"/>
                <w:sz w:val="21"/>
                <w:highlight w:val="none"/>
                <w:lang w:val="en-US" w:eastAsia="zh-CN"/>
              </w:rPr>
              <w:t>具有可操作性、可执行性，满足项目</w:t>
            </w:r>
            <w:r>
              <w:rPr>
                <w:rFonts w:hint="eastAsia" w:ascii="宋体" w:hAnsi="宋体" w:eastAsia="宋体" w:cs="宋体"/>
                <w:color w:val="auto"/>
                <w:sz w:val="21"/>
                <w:highlight w:val="none"/>
              </w:rPr>
              <w:t>要求。</w:t>
            </w:r>
          </w:p>
          <w:p>
            <w:pPr>
              <w:pStyle w:val="44"/>
              <w:jc w:val="both"/>
              <w:rPr>
                <w:rFonts w:ascii="宋体" w:hAnsi="宋体" w:cs="宋体"/>
                <w:color w:val="auto"/>
                <w:spacing w:val="89"/>
              </w:rPr>
            </w:pPr>
            <w:r>
              <w:rPr>
                <w:rFonts w:hint="eastAsia" w:ascii="宋体" w:hAnsi="宋体" w:eastAsia="宋体" w:cs="宋体"/>
                <w:color w:val="auto"/>
                <w:sz w:val="21"/>
                <w:highlight w:val="none"/>
              </w:rPr>
              <w:t>优(10.0分)：对项目总体有深刻认识，表述清晰、完整、严谨、合理，措施先进、具体、有效、成熟，</w:t>
            </w:r>
            <w:r>
              <w:rPr>
                <w:rFonts w:hint="eastAsia" w:ascii="宋体" w:hAnsi="宋体" w:eastAsia="宋体" w:cs="宋体"/>
                <w:color w:val="auto"/>
                <w:sz w:val="21"/>
                <w:highlight w:val="none"/>
                <w:lang w:val="en-US" w:eastAsia="zh-CN"/>
              </w:rPr>
              <w:t>从专业角度系统阐述数字化项目实施安排，有较好预期，</w:t>
            </w:r>
            <w:r>
              <w:rPr>
                <w:rFonts w:hint="eastAsia" w:ascii="宋体" w:hAnsi="宋体" w:eastAsia="宋体" w:cs="宋体"/>
                <w:color w:val="auto"/>
                <w:sz w:val="21"/>
                <w:highlight w:val="none"/>
              </w:rPr>
              <w:t>总体表述，划分清晰、合理，符合规范要求。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tabs>
                <w:tab w:val="left" w:pos="1080"/>
              </w:tabs>
              <w:spacing w:line="360" w:lineRule="exact"/>
              <w:jc w:val="center"/>
              <w:rPr>
                <w:rFonts w:ascii="宋体" w:hAnsi="宋体" w:cs="宋体"/>
                <w:color w:val="auto"/>
              </w:rPr>
            </w:pPr>
            <w:r>
              <w:rPr>
                <w:rFonts w:hint="eastAsia" w:ascii="宋体" w:hAnsi="宋体" w:eastAsia="宋体" w:cs="宋体"/>
                <w:color w:val="auto"/>
                <w:spacing w:val="0"/>
                <w:kern w:val="0"/>
                <w:sz w:val="21"/>
                <w:szCs w:val="24"/>
                <w:highlight w:val="none"/>
                <w:lang w:val="en-US" w:eastAsia="zh-CN" w:bidi="ar-SA"/>
              </w:rPr>
              <w:t>2、主要项目的实施方案、方法及技术措施（10分）</w:t>
            </w:r>
          </w:p>
        </w:tc>
        <w:tc>
          <w:tcPr>
            <w:tcW w:w="4703" w:type="dxa"/>
            <w:vAlign w:val="top"/>
          </w:tcPr>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差(3.0分)：对项目关键部分表述不清，解决方案不可行。</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良(6.0分)：对项目关键部分有深入的表述，对重点、难点有合理的建议，解决方案经济、安全、基本可行。</w:t>
            </w:r>
          </w:p>
          <w:p>
            <w:pPr>
              <w:tabs>
                <w:tab w:val="left" w:pos="1080"/>
              </w:tabs>
              <w:spacing w:line="400" w:lineRule="exact"/>
              <w:rPr>
                <w:rFonts w:ascii="宋体" w:hAnsi="宋体" w:cs="宋体"/>
                <w:color w:val="auto"/>
                <w:spacing w:val="89"/>
              </w:rPr>
            </w:pPr>
            <w:r>
              <w:rPr>
                <w:rFonts w:hint="eastAsia" w:ascii="宋体" w:hAnsi="宋体" w:eastAsia="宋体" w:cs="宋体"/>
                <w:color w:val="auto"/>
                <w:spacing w:val="0"/>
                <w:kern w:val="0"/>
                <w:sz w:val="21"/>
                <w:szCs w:val="24"/>
                <w:highlight w:val="none"/>
                <w:lang w:val="en-US" w:eastAsia="zh-CN" w:bidi="ar-SA"/>
              </w:rPr>
              <w:t>优(10.0分)：对项目关键部分有深入的表述，对重点、难点有先进合理的落地措施并有可行的解决方案完整、经济、安全、切实可行，措施得力。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tabs>
                <w:tab w:val="left" w:pos="1080"/>
              </w:tabs>
              <w:spacing w:line="360" w:lineRule="exact"/>
              <w:jc w:val="center"/>
              <w:rPr>
                <w:rFonts w:ascii="宋体" w:hAnsi="宋体" w:cs="宋体"/>
                <w:color w:val="auto"/>
              </w:rPr>
            </w:pPr>
            <w:r>
              <w:rPr>
                <w:rFonts w:hint="eastAsia" w:ascii="宋体" w:hAnsi="宋体" w:eastAsia="宋体" w:cs="宋体"/>
                <w:color w:val="auto"/>
                <w:spacing w:val="0"/>
                <w:kern w:val="0"/>
                <w:sz w:val="21"/>
                <w:szCs w:val="24"/>
                <w:highlight w:val="none"/>
                <w:lang w:val="en-US" w:eastAsia="zh-CN" w:bidi="ar-SA"/>
              </w:rPr>
              <w:t>3、项目各阶段进度的保证措施及违约责任承诺（满分10分）</w:t>
            </w:r>
          </w:p>
        </w:tc>
        <w:tc>
          <w:tcPr>
            <w:tcW w:w="4703" w:type="dxa"/>
            <w:vAlign w:val="top"/>
          </w:tcPr>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差(3.0分)：计划编制不合理，关键节点的控制不可行，培训效果不明显，没有违约责任承诺。</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良(6.0分)：计划编制基本合理，关键节点的控制措施基本可行，培训效果初显，进度违约责任承诺具体。</w:t>
            </w:r>
          </w:p>
          <w:p>
            <w:pPr>
              <w:tabs>
                <w:tab w:val="left" w:pos="1080"/>
              </w:tabs>
              <w:spacing w:line="400" w:lineRule="exact"/>
              <w:rPr>
                <w:rFonts w:ascii="宋体" w:hAnsi="宋体" w:cs="宋体"/>
                <w:color w:val="auto"/>
                <w:spacing w:val="89"/>
              </w:rPr>
            </w:pPr>
            <w:r>
              <w:rPr>
                <w:rFonts w:hint="eastAsia" w:ascii="宋体" w:hAnsi="宋体" w:eastAsia="宋体" w:cs="宋体"/>
                <w:color w:val="auto"/>
                <w:spacing w:val="0"/>
                <w:kern w:val="0"/>
                <w:sz w:val="21"/>
                <w:szCs w:val="24"/>
                <w:highlight w:val="none"/>
                <w:lang w:val="en-US" w:eastAsia="zh-CN" w:bidi="ar-SA"/>
              </w:rPr>
              <w:t>优(10.0分)：计划编制合理、可行，关键节点的控制措施有力、合理、可行，培训效果显著，进度违约责任承诺具体。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autoSpaceDE w:val="0"/>
              <w:autoSpaceDN w:val="0"/>
              <w:adjustRightInd w:val="0"/>
              <w:spacing w:line="280" w:lineRule="exact"/>
              <w:ind w:right="-20" w:rightChars="0"/>
              <w:jc w:val="center"/>
              <w:rPr>
                <w:rFonts w:ascii="宋体" w:hAnsi="宋体" w:cs="宋体"/>
                <w:color w:val="auto"/>
              </w:rPr>
            </w:pPr>
            <w:r>
              <w:rPr>
                <w:rFonts w:hint="eastAsia" w:ascii="宋体" w:hAnsi="宋体" w:eastAsia="宋体" w:cs="宋体"/>
                <w:color w:val="auto"/>
                <w:spacing w:val="0"/>
                <w:kern w:val="0"/>
                <w:sz w:val="21"/>
                <w:szCs w:val="24"/>
                <w:highlight w:val="none"/>
                <w:lang w:val="en-US" w:eastAsia="zh-CN" w:bidi="ar-SA"/>
              </w:rPr>
              <w:t>4、项目实施效果保证措施（满分10分）</w:t>
            </w:r>
          </w:p>
        </w:tc>
        <w:tc>
          <w:tcPr>
            <w:tcW w:w="4703" w:type="dxa"/>
            <w:vAlign w:val="top"/>
          </w:tcPr>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差(3.0分)：具体措施可行，满足招标文件的质量要求。</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良(6.0分)：针对项目实际提出先进、可行、具体的保证措施，满足招标文件的质量要求。</w:t>
            </w:r>
          </w:p>
          <w:p>
            <w:pPr>
              <w:tabs>
                <w:tab w:val="left" w:pos="1080"/>
              </w:tabs>
              <w:spacing w:line="400" w:lineRule="exact"/>
              <w:rPr>
                <w:rFonts w:ascii="宋体" w:hAnsi="宋体" w:cs="宋体"/>
                <w:color w:val="auto"/>
                <w:spacing w:val="89"/>
              </w:rPr>
            </w:pPr>
            <w:r>
              <w:rPr>
                <w:rFonts w:hint="eastAsia" w:ascii="宋体" w:hAnsi="宋体" w:eastAsia="宋体" w:cs="宋体"/>
                <w:color w:val="auto"/>
                <w:spacing w:val="0"/>
                <w:kern w:val="0"/>
                <w:sz w:val="21"/>
                <w:szCs w:val="24"/>
                <w:highlight w:val="none"/>
                <w:lang w:val="en-US" w:eastAsia="zh-CN" w:bidi="ar-SA"/>
              </w:rPr>
              <w:t>优(10.0分)：应用新技术、新设备，针对项目实际提出先进、可行、具体的保证措施，满足招标文件的质量要求。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tabs>
                <w:tab w:val="left" w:pos="1080"/>
              </w:tabs>
              <w:spacing w:line="360" w:lineRule="exact"/>
              <w:jc w:val="center"/>
              <w:rPr>
                <w:rFonts w:ascii="宋体" w:hAnsi="宋体" w:cs="宋体"/>
                <w:color w:val="auto"/>
              </w:rPr>
            </w:pPr>
            <w:r>
              <w:rPr>
                <w:rFonts w:hint="eastAsia" w:ascii="宋体" w:hAnsi="宋体" w:eastAsia="宋体" w:cs="宋体"/>
                <w:color w:val="auto"/>
                <w:spacing w:val="0"/>
                <w:kern w:val="0"/>
                <w:sz w:val="21"/>
                <w:szCs w:val="24"/>
                <w:highlight w:val="none"/>
                <w:lang w:val="en-US" w:eastAsia="zh-CN" w:bidi="ar-SA"/>
              </w:rPr>
              <w:t>5、运营体系文件（满分10分）</w:t>
            </w:r>
          </w:p>
        </w:tc>
        <w:tc>
          <w:tcPr>
            <w:tcW w:w="4703" w:type="dxa"/>
            <w:vAlign w:val="top"/>
          </w:tcPr>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差(3.0分)：运营体系搭建方案缺乏，运营管理机制、工作流程，不完备，不能成为体系，对项目运营指导不够。</w:t>
            </w:r>
          </w:p>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良(6.0分)：有运营体系搭建方案，运营管理机制、工作流程，基本具备，可以指导项目运营。</w:t>
            </w:r>
          </w:p>
          <w:p>
            <w:pPr>
              <w:tabs>
                <w:tab w:val="left" w:pos="1080"/>
              </w:tabs>
              <w:spacing w:line="400" w:lineRule="exact"/>
              <w:ind w:firstLine="105" w:firstLineChars="50"/>
              <w:rPr>
                <w:rFonts w:ascii="宋体" w:hAnsi="宋体" w:cs="宋体"/>
                <w:color w:val="auto"/>
                <w:spacing w:val="89"/>
              </w:rPr>
            </w:pPr>
            <w:r>
              <w:rPr>
                <w:rFonts w:hint="eastAsia" w:ascii="宋体" w:hAnsi="宋体" w:eastAsia="宋体" w:cs="宋体"/>
                <w:color w:val="auto"/>
                <w:spacing w:val="0"/>
                <w:kern w:val="0"/>
                <w:sz w:val="21"/>
                <w:szCs w:val="24"/>
                <w:highlight w:val="none"/>
                <w:lang w:val="en-US" w:eastAsia="zh-CN" w:bidi="ar-SA"/>
              </w:rPr>
              <w:t>优(10.0分)：有运营体系搭建方案，有运营管理机制，有工作流程，制度完善，资料完备，体系文件完整，能有效指导项目运营。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tabs>
                <w:tab w:val="left" w:pos="1080"/>
              </w:tabs>
              <w:spacing w:line="360" w:lineRule="exact"/>
              <w:jc w:val="center"/>
              <w:rPr>
                <w:rFonts w:ascii="宋体" w:hAnsi="宋体" w:cs="宋体"/>
                <w:color w:val="auto"/>
              </w:rPr>
            </w:pPr>
            <w:r>
              <w:rPr>
                <w:rFonts w:hint="eastAsia" w:ascii="宋体" w:hAnsi="宋体" w:eastAsia="宋体" w:cs="宋体"/>
                <w:color w:val="auto"/>
                <w:kern w:val="0"/>
                <w:szCs w:val="24"/>
                <w:highlight w:val="none"/>
              </w:rPr>
              <w:t>6、</w:t>
            </w:r>
            <w:r>
              <w:rPr>
                <w:rFonts w:hint="eastAsia" w:ascii="宋体" w:hAnsi="宋体" w:eastAsia="宋体" w:cs="宋体"/>
                <w:color w:val="auto"/>
                <w:kern w:val="0"/>
                <w:szCs w:val="24"/>
                <w:highlight w:val="none"/>
                <w:lang w:val="en-US" w:eastAsia="zh-CN"/>
              </w:rPr>
              <w:t>师资力量及</w:t>
            </w:r>
            <w:r>
              <w:rPr>
                <w:rFonts w:hint="eastAsia" w:ascii="宋体" w:hAnsi="宋体" w:eastAsia="宋体" w:cs="宋体"/>
                <w:color w:val="auto"/>
                <w:kern w:val="0"/>
                <w:szCs w:val="24"/>
                <w:highlight w:val="none"/>
              </w:rPr>
              <w:t>劳动力投入计划及其保证措施（满分</w:t>
            </w:r>
            <w:r>
              <w:rPr>
                <w:rFonts w:hint="eastAsia" w:ascii="宋体" w:hAnsi="宋体" w:eastAsia="宋体" w:cs="宋体"/>
                <w:color w:val="auto"/>
                <w:kern w:val="0"/>
                <w:szCs w:val="24"/>
                <w:highlight w:val="none"/>
                <w:lang w:val="en-US" w:eastAsia="zh-CN"/>
              </w:rPr>
              <w:t>10</w:t>
            </w:r>
            <w:r>
              <w:rPr>
                <w:rFonts w:hint="eastAsia" w:ascii="宋体" w:hAnsi="宋体" w:eastAsia="宋体" w:cs="宋体"/>
                <w:color w:val="auto"/>
                <w:kern w:val="0"/>
                <w:szCs w:val="24"/>
                <w:highlight w:val="none"/>
              </w:rPr>
              <w:t>分）</w:t>
            </w:r>
          </w:p>
        </w:tc>
        <w:tc>
          <w:tcPr>
            <w:tcW w:w="4703" w:type="dxa"/>
            <w:vAlign w:val="top"/>
          </w:tcPr>
          <w:p>
            <w:pPr>
              <w:tabs>
                <w:tab w:val="left" w:pos="1080"/>
              </w:tabs>
              <w:spacing w:line="400" w:lineRule="exact"/>
              <w:ind w:firstLine="105" w:firstLineChars="5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差(</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.0分)：</w:t>
            </w:r>
            <w:r>
              <w:rPr>
                <w:rFonts w:hint="eastAsia" w:ascii="宋体" w:hAnsi="宋体" w:eastAsia="宋体" w:cs="宋体"/>
                <w:color w:val="auto"/>
                <w:kern w:val="0"/>
                <w:szCs w:val="24"/>
                <w:highlight w:val="none"/>
                <w:lang w:val="en-US" w:eastAsia="zh-CN"/>
              </w:rPr>
              <w:t>培训讲师具备相应资质，人员</w:t>
            </w:r>
            <w:r>
              <w:rPr>
                <w:rFonts w:hint="eastAsia" w:ascii="宋体" w:hAnsi="宋体" w:eastAsia="宋体" w:cs="宋体"/>
                <w:color w:val="auto"/>
                <w:kern w:val="0"/>
                <w:szCs w:val="24"/>
                <w:highlight w:val="none"/>
              </w:rPr>
              <w:t>投入计划与进度计划呼应，基本满足</w:t>
            </w:r>
            <w:r>
              <w:rPr>
                <w:rFonts w:hint="eastAsia" w:ascii="宋体" w:hAnsi="宋体" w:eastAsia="宋体" w:cs="宋体"/>
                <w:color w:val="auto"/>
                <w:kern w:val="0"/>
                <w:szCs w:val="24"/>
                <w:highlight w:val="none"/>
                <w:lang w:val="en-US" w:eastAsia="zh-CN"/>
              </w:rPr>
              <w:t>项目</w:t>
            </w:r>
            <w:r>
              <w:rPr>
                <w:rFonts w:hint="eastAsia" w:ascii="宋体" w:hAnsi="宋体" w:eastAsia="宋体" w:cs="宋体"/>
                <w:color w:val="auto"/>
                <w:kern w:val="0"/>
                <w:szCs w:val="24"/>
                <w:highlight w:val="none"/>
              </w:rPr>
              <w:t>要求，调配投入计划基本合理</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保证措施缺乏</w:t>
            </w:r>
            <w:r>
              <w:rPr>
                <w:rFonts w:hint="eastAsia" w:ascii="宋体" w:hAnsi="宋体" w:eastAsia="宋体" w:cs="宋体"/>
                <w:color w:val="auto"/>
                <w:kern w:val="0"/>
                <w:szCs w:val="24"/>
                <w:highlight w:val="none"/>
              </w:rPr>
              <w:t>。</w:t>
            </w:r>
          </w:p>
          <w:p>
            <w:pPr>
              <w:tabs>
                <w:tab w:val="left" w:pos="1080"/>
              </w:tabs>
              <w:spacing w:line="400" w:lineRule="exact"/>
              <w:ind w:firstLine="105" w:firstLineChars="5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良(</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.0分)：</w:t>
            </w:r>
            <w:r>
              <w:rPr>
                <w:rFonts w:hint="eastAsia" w:ascii="宋体" w:hAnsi="宋体" w:eastAsia="宋体" w:cs="宋体"/>
                <w:color w:val="auto"/>
                <w:kern w:val="0"/>
                <w:szCs w:val="24"/>
                <w:highlight w:val="none"/>
                <w:lang w:val="en-US" w:eastAsia="zh-CN"/>
              </w:rPr>
              <w:t>培训讲师具备相应资质，人员</w:t>
            </w:r>
            <w:r>
              <w:rPr>
                <w:rFonts w:hint="eastAsia" w:ascii="宋体" w:hAnsi="宋体" w:eastAsia="宋体" w:cs="宋体"/>
                <w:color w:val="auto"/>
                <w:kern w:val="0"/>
                <w:szCs w:val="24"/>
                <w:highlight w:val="none"/>
              </w:rPr>
              <w:t>投入计划与进度计划呼应，满足</w:t>
            </w:r>
            <w:r>
              <w:rPr>
                <w:rFonts w:hint="eastAsia" w:ascii="宋体" w:hAnsi="宋体" w:eastAsia="宋体" w:cs="宋体"/>
                <w:color w:val="auto"/>
                <w:kern w:val="0"/>
                <w:szCs w:val="24"/>
                <w:highlight w:val="none"/>
                <w:lang w:val="en-US" w:eastAsia="zh-CN"/>
              </w:rPr>
              <w:t>项目</w:t>
            </w:r>
            <w:r>
              <w:rPr>
                <w:rFonts w:hint="eastAsia" w:ascii="宋体" w:hAnsi="宋体" w:eastAsia="宋体" w:cs="宋体"/>
                <w:color w:val="auto"/>
                <w:kern w:val="0"/>
                <w:szCs w:val="24"/>
                <w:highlight w:val="none"/>
              </w:rPr>
              <w:t>要求，调配投入计划合理、准确</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保证措施基本满足</w:t>
            </w:r>
            <w:r>
              <w:rPr>
                <w:rFonts w:hint="eastAsia" w:ascii="宋体" w:hAnsi="宋体" w:eastAsia="宋体" w:cs="宋体"/>
                <w:color w:val="auto"/>
                <w:kern w:val="0"/>
                <w:szCs w:val="24"/>
                <w:highlight w:val="none"/>
              </w:rPr>
              <w:t>。</w:t>
            </w:r>
          </w:p>
          <w:p>
            <w:pPr>
              <w:tabs>
                <w:tab w:val="left" w:pos="1080"/>
              </w:tabs>
              <w:spacing w:line="400" w:lineRule="exact"/>
              <w:ind w:firstLine="105" w:firstLineChars="50"/>
              <w:rPr>
                <w:rFonts w:ascii="宋体" w:hAnsi="宋体" w:cs="宋体"/>
                <w:color w:val="auto"/>
                <w:spacing w:val="89"/>
              </w:rPr>
            </w:pPr>
            <w:r>
              <w:rPr>
                <w:rFonts w:hint="eastAsia" w:ascii="宋体" w:hAnsi="宋体" w:eastAsia="宋体" w:cs="宋体"/>
                <w:color w:val="auto"/>
                <w:kern w:val="0"/>
                <w:szCs w:val="24"/>
                <w:highlight w:val="none"/>
              </w:rPr>
              <w:t>优(</w:t>
            </w:r>
            <w:r>
              <w:rPr>
                <w:rFonts w:hint="eastAsia" w:ascii="宋体" w:hAnsi="宋体" w:eastAsia="宋体" w:cs="宋体"/>
                <w:color w:val="auto"/>
                <w:kern w:val="0"/>
                <w:szCs w:val="24"/>
                <w:highlight w:val="none"/>
                <w:lang w:val="en-US" w:eastAsia="zh-CN"/>
              </w:rPr>
              <w:t>10</w:t>
            </w:r>
            <w:r>
              <w:rPr>
                <w:rFonts w:hint="eastAsia" w:ascii="宋体" w:hAnsi="宋体" w:eastAsia="宋体" w:cs="宋体"/>
                <w:color w:val="auto"/>
                <w:kern w:val="0"/>
                <w:szCs w:val="24"/>
                <w:highlight w:val="none"/>
              </w:rPr>
              <w:t>.0分)：</w:t>
            </w:r>
            <w:r>
              <w:rPr>
                <w:rFonts w:hint="eastAsia" w:ascii="宋体" w:hAnsi="宋体" w:eastAsia="宋体" w:cs="宋体"/>
                <w:color w:val="auto"/>
                <w:kern w:val="0"/>
                <w:szCs w:val="24"/>
                <w:highlight w:val="none"/>
                <w:lang w:val="en-US" w:eastAsia="zh-CN"/>
              </w:rPr>
              <w:t>培训讲师具备相应资质，人员</w:t>
            </w:r>
            <w:r>
              <w:rPr>
                <w:rFonts w:hint="eastAsia" w:ascii="宋体" w:hAnsi="宋体" w:eastAsia="宋体" w:cs="宋体"/>
                <w:color w:val="auto"/>
                <w:kern w:val="0"/>
                <w:szCs w:val="24"/>
                <w:highlight w:val="none"/>
              </w:rPr>
              <w:t>投入计划与进度计划呼应，较好满足</w:t>
            </w:r>
            <w:r>
              <w:rPr>
                <w:rFonts w:hint="eastAsia" w:ascii="宋体" w:hAnsi="宋体" w:eastAsia="宋体" w:cs="宋体"/>
                <w:color w:val="auto"/>
                <w:kern w:val="0"/>
                <w:szCs w:val="24"/>
                <w:highlight w:val="none"/>
                <w:lang w:val="en-US" w:eastAsia="zh-CN"/>
              </w:rPr>
              <w:t>项目</w:t>
            </w:r>
            <w:r>
              <w:rPr>
                <w:rFonts w:hint="eastAsia" w:ascii="宋体" w:hAnsi="宋体" w:eastAsia="宋体" w:cs="宋体"/>
                <w:color w:val="auto"/>
                <w:kern w:val="0"/>
                <w:szCs w:val="24"/>
                <w:highlight w:val="none"/>
              </w:rPr>
              <w:t>要求，调配投入计划合理、准确</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保证措施有效</w:t>
            </w:r>
            <w:r>
              <w:rPr>
                <w:rFonts w:hint="eastAsia" w:ascii="宋体" w:hAnsi="宋体" w:eastAsia="宋体" w:cs="宋体"/>
                <w:color w:val="auto"/>
                <w:kern w:val="0"/>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75" w:type="dxa"/>
            <w:vMerge w:val="restart"/>
            <w:vAlign w:val="center"/>
          </w:tcPr>
          <w:p>
            <w:pPr>
              <w:tabs>
                <w:tab w:val="left" w:pos="1080"/>
              </w:tabs>
              <w:spacing w:line="360" w:lineRule="exact"/>
              <w:jc w:val="center"/>
              <w:rPr>
                <w:rFonts w:hint="eastAsia" w:ascii="宋体" w:hAnsi="宋体"/>
                <w:color w:val="000000"/>
                <w:szCs w:val="21"/>
              </w:rPr>
            </w:pPr>
            <w:r>
              <w:rPr>
                <w:rFonts w:hint="eastAsia" w:ascii="宋体" w:hAnsi="宋体"/>
                <w:color w:val="000000"/>
                <w:szCs w:val="21"/>
              </w:rPr>
              <w:t>2</w:t>
            </w:r>
            <w:r>
              <w:rPr>
                <w:rFonts w:hint="eastAsia" w:ascii="宋体" w:hAnsi="宋体"/>
                <w:color w:val="000000"/>
                <w:szCs w:val="21"/>
                <w:lang w:val="en-US" w:eastAsia="zh-CN"/>
              </w:rPr>
              <w:t>0</w:t>
            </w:r>
            <w:r>
              <w:rPr>
                <w:rFonts w:hint="eastAsia" w:ascii="宋体" w:hAnsi="宋体"/>
                <w:color w:val="000000"/>
                <w:szCs w:val="21"/>
              </w:rPr>
              <w:t>.</w:t>
            </w:r>
            <w:r>
              <w:rPr>
                <w:rFonts w:hint="eastAsia" w:ascii="宋体" w:hAnsi="宋体"/>
                <w:color w:val="000000"/>
                <w:szCs w:val="21"/>
                <w:lang w:val="en-US" w:eastAsia="zh-CN"/>
              </w:rPr>
              <w:t>4</w:t>
            </w:r>
            <w:r>
              <w:rPr>
                <w:rFonts w:hint="eastAsia" w:ascii="宋体" w:hAnsi="宋体"/>
                <w:color w:val="000000"/>
                <w:szCs w:val="21"/>
              </w:rPr>
              <w:t>.2</w:t>
            </w:r>
          </w:p>
        </w:tc>
        <w:tc>
          <w:tcPr>
            <w:tcW w:w="1309" w:type="dxa"/>
            <w:vMerge w:val="restart"/>
            <w:vAlign w:val="center"/>
          </w:tcPr>
          <w:p>
            <w:pPr>
              <w:tabs>
                <w:tab w:val="left" w:pos="1080"/>
              </w:tabs>
              <w:spacing w:line="320" w:lineRule="exact"/>
              <w:rPr>
                <w:rFonts w:hint="eastAsia" w:ascii="宋体" w:hAnsi="宋体"/>
                <w:color w:val="000000"/>
                <w:szCs w:val="21"/>
              </w:rPr>
            </w:pPr>
            <w:r>
              <w:rPr>
                <w:rFonts w:hint="eastAsia" w:ascii="宋体" w:hAnsi="宋体" w:eastAsia="宋体" w:cs="宋体"/>
                <w:color w:val="000000"/>
                <w:szCs w:val="21"/>
                <w:lang w:val="en-US" w:eastAsia="zh-CN"/>
              </w:rPr>
              <w:t>商务分</w:t>
            </w:r>
            <w:r>
              <w:rPr>
                <w:rFonts w:hint="eastAsia" w:ascii="宋体" w:hAnsi="宋体" w:eastAsia="宋体" w:cs="宋体"/>
                <w:color w:val="000000"/>
                <w:szCs w:val="21"/>
              </w:rPr>
              <w:t>（满分</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0分）</w:t>
            </w:r>
          </w:p>
        </w:tc>
        <w:tc>
          <w:tcPr>
            <w:tcW w:w="1899" w:type="dxa"/>
            <w:vAlign w:val="center"/>
          </w:tcPr>
          <w:p>
            <w:pPr>
              <w:tabs>
                <w:tab w:val="left" w:pos="1080"/>
              </w:tabs>
              <w:spacing w:line="320" w:lineRule="exact"/>
              <w:rPr>
                <w:rFonts w:ascii="宋体" w:hAnsi="宋体" w:eastAsia="宋体" w:cs="宋体"/>
                <w:color w:val="auto"/>
                <w:spacing w:val="89"/>
                <w:sz w:val="21"/>
              </w:rPr>
            </w:pPr>
            <w:r>
              <w:rPr>
                <w:rFonts w:hint="eastAsia" w:ascii="宋体" w:hAnsi="宋体" w:eastAsia="宋体" w:cs="宋体"/>
                <w:color w:val="000000"/>
                <w:szCs w:val="21"/>
                <w:lang w:val="en-US" w:eastAsia="zh-CN"/>
              </w:rPr>
              <w:t>磋商</w:t>
            </w:r>
            <w:r>
              <w:rPr>
                <w:rFonts w:hint="eastAsia" w:ascii="宋体" w:hAnsi="宋体" w:eastAsia="宋体" w:cs="宋体"/>
                <w:color w:val="000000"/>
                <w:szCs w:val="21"/>
              </w:rPr>
              <w:t>基准价计算方法</w:t>
            </w:r>
          </w:p>
        </w:tc>
        <w:tc>
          <w:tcPr>
            <w:tcW w:w="4703" w:type="dxa"/>
            <w:vAlign w:val="center"/>
          </w:tcPr>
          <w:p>
            <w:pPr>
              <w:tabs>
                <w:tab w:val="left" w:pos="1080"/>
              </w:tabs>
              <w:spacing w:line="320" w:lineRule="exact"/>
              <w:ind w:firstLine="0" w:firstLineChars="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w:t>
            </w:r>
            <w:r>
              <w:rPr>
                <w:rFonts w:hint="eastAsia" w:ascii="宋体" w:hAnsi="宋体" w:eastAsia="宋体" w:cs="宋体"/>
                <w:color w:val="000000"/>
                <w:szCs w:val="21"/>
                <w:lang w:val="en-US" w:eastAsia="zh-CN"/>
              </w:rPr>
              <w:t>磋商</w:t>
            </w:r>
            <w:r>
              <w:rPr>
                <w:rFonts w:hint="eastAsia" w:ascii="宋体" w:hAnsi="宋体" w:eastAsia="宋体" w:cs="宋体"/>
                <w:color w:val="auto"/>
                <w:szCs w:val="21"/>
              </w:rPr>
              <w:t>基准价的确定：</w:t>
            </w:r>
          </w:p>
          <w:p>
            <w:pPr>
              <w:tabs>
                <w:tab w:val="left" w:pos="1080"/>
              </w:tabs>
              <w:spacing w:line="320" w:lineRule="exact"/>
              <w:ind w:firstLine="0" w:firstLineChars="0"/>
              <w:rPr>
                <w:rFonts w:ascii="宋体" w:hAnsi="宋体" w:eastAsia="宋体" w:cs="宋体"/>
                <w:color w:val="auto"/>
                <w:spacing w:val="89"/>
                <w:sz w:val="21"/>
              </w:rPr>
            </w:pPr>
            <w:r>
              <w:rPr>
                <w:rFonts w:hint="eastAsia" w:ascii="宋体" w:hAnsi="宋体" w:eastAsia="宋体" w:cs="宋体"/>
                <w:b/>
                <w:color w:val="auto"/>
                <w:szCs w:val="21"/>
              </w:rPr>
              <w:t>1.除初步评审为废标之外，供应商的最低报价即为磋商基准价。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tabs>
                <w:tab w:val="left" w:pos="1080"/>
              </w:tabs>
              <w:spacing w:line="360" w:lineRule="exact"/>
              <w:jc w:val="center"/>
              <w:rPr>
                <w:rFonts w:ascii="宋体" w:hAnsi="宋体"/>
                <w:color w:val="000000"/>
                <w:szCs w:val="21"/>
              </w:rPr>
            </w:pPr>
          </w:p>
        </w:tc>
        <w:tc>
          <w:tcPr>
            <w:tcW w:w="1309" w:type="dxa"/>
            <w:vMerge w:val="continue"/>
            <w:vAlign w:val="top"/>
          </w:tcPr>
          <w:p>
            <w:pPr>
              <w:tabs>
                <w:tab w:val="left" w:pos="1080"/>
              </w:tabs>
              <w:spacing w:line="360" w:lineRule="exact"/>
              <w:rPr>
                <w:rFonts w:hint="eastAsia" w:ascii="宋体" w:hAnsi="宋体"/>
                <w:color w:val="000000"/>
                <w:szCs w:val="21"/>
              </w:rPr>
            </w:pPr>
          </w:p>
        </w:tc>
        <w:tc>
          <w:tcPr>
            <w:tcW w:w="1899" w:type="dxa"/>
            <w:vAlign w:val="center"/>
          </w:tcPr>
          <w:p>
            <w:pPr>
              <w:tabs>
                <w:tab w:val="left" w:pos="1080"/>
              </w:tabs>
              <w:spacing w:line="360" w:lineRule="exact"/>
              <w:rPr>
                <w:rFonts w:ascii="宋体" w:hAnsi="宋体"/>
                <w:b/>
                <w:color w:val="auto"/>
                <w:szCs w:val="21"/>
              </w:rPr>
            </w:pPr>
            <w:r>
              <w:rPr>
                <w:rFonts w:hint="eastAsia" w:ascii="宋体" w:hAnsi="宋体" w:eastAsia="宋体" w:cs="宋体"/>
                <w:color w:val="000000"/>
                <w:szCs w:val="21"/>
                <w:lang w:val="en-US" w:eastAsia="zh-CN"/>
              </w:rPr>
              <w:t>价格</w:t>
            </w:r>
            <w:r>
              <w:rPr>
                <w:rFonts w:hint="eastAsia" w:ascii="宋体" w:hAnsi="宋体" w:eastAsia="宋体" w:cs="宋体"/>
                <w:color w:val="000000"/>
                <w:szCs w:val="21"/>
              </w:rPr>
              <w:t>（满分</w:t>
            </w:r>
            <w:r>
              <w:rPr>
                <w:rFonts w:hint="eastAsia" w:ascii="宋体" w:hAnsi="宋体" w:eastAsia="宋体" w:cs="宋体"/>
                <w:color w:val="000000"/>
                <w:szCs w:val="21"/>
                <w:lang w:val="en-US" w:eastAsia="zh-CN"/>
              </w:rPr>
              <w:t>30</w:t>
            </w:r>
            <w:r>
              <w:rPr>
                <w:rFonts w:hint="eastAsia" w:ascii="宋体" w:hAnsi="宋体" w:eastAsia="宋体" w:cs="宋体"/>
                <w:color w:val="000000"/>
                <w:szCs w:val="21"/>
              </w:rPr>
              <w:t>分）</w:t>
            </w:r>
          </w:p>
        </w:tc>
        <w:tc>
          <w:tcPr>
            <w:tcW w:w="4703" w:type="dxa"/>
            <w:vAlign w:val="center"/>
          </w:tcPr>
          <w:p>
            <w:pPr>
              <w:tabs>
                <w:tab w:val="left" w:pos="1080"/>
              </w:tabs>
              <w:spacing w:line="360" w:lineRule="exact"/>
              <w:rPr>
                <w:rFonts w:ascii="宋体" w:hAnsi="宋体" w:eastAsia="宋体" w:cs="宋体"/>
                <w:sz w:val="24"/>
                <w:szCs w:val="24"/>
              </w:rPr>
            </w:pPr>
            <w:r>
              <w:rPr>
                <w:rFonts w:hint="eastAsia" w:ascii="宋体" w:hAnsi="宋体" w:eastAsia="宋体" w:cs="宋体"/>
                <w:color w:val="000000"/>
                <w:sz w:val="21"/>
                <w:szCs w:val="21"/>
              </w:rPr>
              <w:t>报价得分=（磋商基准价/某供应商报价）×价格权值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tabs>
                <w:tab w:val="left" w:pos="1080"/>
              </w:tabs>
              <w:spacing w:line="360" w:lineRule="exact"/>
              <w:jc w:val="center"/>
              <w:rPr>
                <w:rFonts w:hint="eastAsia" w:ascii="宋体" w:hAnsi="宋体"/>
                <w:color w:val="000000"/>
                <w:szCs w:val="21"/>
              </w:rPr>
            </w:pPr>
          </w:p>
        </w:tc>
        <w:tc>
          <w:tcPr>
            <w:tcW w:w="1309" w:type="dxa"/>
            <w:vMerge w:val="continue"/>
            <w:vAlign w:val="center"/>
          </w:tcPr>
          <w:p>
            <w:pPr>
              <w:widowControl/>
              <w:tabs>
                <w:tab w:val="left" w:pos="1080"/>
              </w:tabs>
              <w:spacing w:line="320" w:lineRule="exact"/>
              <w:jc w:val="left"/>
              <w:rPr>
                <w:rFonts w:hint="eastAsia" w:ascii="宋体" w:hAnsi="宋体" w:eastAsia="宋体" w:cs="宋体"/>
                <w:bCs w:val="0"/>
                <w:color w:val="000000"/>
                <w:kern w:val="2"/>
                <w:sz w:val="21"/>
                <w:szCs w:val="21"/>
                <w:lang w:val="en-US" w:eastAsia="zh-CN" w:bidi="ar-SA"/>
              </w:rPr>
            </w:pPr>
          </w:p>
        </w:tc>
        <w:tc>
          <w:tcPr>
            <w:tcW w:w="1899" w:type="dxa"/>
            <w:vAlign w:val="top"/>
          </w:tcPr>
          <w:p>
            <w:pPr>
              <w:tabs>
                <w:tab w:val="left" w:pos="1080"/>
              </w:tabs>
              <w:spacing w:line="32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bCs w:val="0"/>
                <w:color w:val="000000"/>
                <w:szCs w:val="21"/>
              </w:rPr>
              <w:t>信誉业绩</w:t>
            </w:r>
            <w:r>
              <w:rPr>
                <w:rFonts w:hint="eastAsia" w:ascii="宋体" w:hAnsi="宋体" w:eastAsia="宋体" w:cs="宋体"/>
                <w:color w:val="000000"/>
                <w:szCs w:val="21"/>
              </w:rPr>
              <w:t>（满分</w:t>
            </w:r>
            <w:r>
              <w:rPr>
                <w:rFonts w:hint="eastAsia" w:ascii="宋体" w:hAnsi="宋体" w:eastAsia="宋体" w:cs="宋体"/>
                <w:color w:val="000000"/>
                <w:szCs w:val="21"/>
                <w:lang w:val="en-US" w:eastAsia="zh-CN"/>
              </w:rPr>
              <w:t>10</w:t>
            </w:r>
            <w:r>
              <w:rPr>
                <w:rFonts w:hint="eastAsia" w:ascii="宋体" w:hAnsi="宋体" w:eastAsia="宋体" w:cs="宋体"/>
                <w:color w:val="000000"/>
                <w:szCs w:val="21"/>
              </w:rPr>
              <w:t>分）</w:t>
            </w:r>
          </w:p>
        </w:tc>
        <w:tc>
          <w:tcPr>
            <w:tcW w:w="4703" w:type="dxa"/>
            <w:vAlign w:val="top"/>
          </w:tcPr>
          <w:p>
            <w:pPr>
              <w:tabs>
                <w:tab w:val="left" w:pos="1080"/>
              </w:tabs>
              <w:spacing w:line="320" w:lineRule="exact"/>
              <w:ind w:firstLine="0" w:firstLineChars="0"/>
              <w:jc w:val="left"/>
              <w:outlineLvl w:val="0"/>
              <w:rPr>
                <w:rFonts w:hint="eastAsia" w:ascii="宋体" w:hAnsi="宋体" w:eastAsia="宋体" w:cs="宋体"/>
                <w:color w:val="000000"/>
                <w:szCs w:val="21"/>
              </w:rPr>
            </w:pPr>
            <w:r>
              <w:rPr>
                <w:rFonts w:hint="eastAsia" w:ascii="宋体" w:hAnsi="宋体" w:eastAsia="宋体" w:cs="宋体"/>
                <w:color w:val="000000"/>
                <w:szCs w:val="21"/>
                <w:lang w:val="en-US" w:eastAsia="zh-CN"/>
              </w:rPr>
              <w:t>竞</w:t>
            </w:r>
            <w:r>
              <w:rPr>
                <w:rFonts w:hint="eastAsia" w:ascii="宋体" w:hAnsi="宋体" w:eastAsia="宋体" w:cs="宋体"/>
                <w:color w:val="000000"/>
                <w:szCs w:val="21"/>
              </w:rPr>
              <w:t>标人自20</w:t>
            </w:r>
            <w:r>
              <w:rPr>
                <w:rFonts w:hint="eastAsia" w:ascii="宋体" w:hAnsi="宋体" w:eastAsia="宋体" w:cs="宋体"/>
                <w:color w:val="000000"/>
                <w:szCs w:val="21"/>
                <w:lang w:val="en-US" w:eastAsia="zh-CN"/>
              </w:rPr>
              <w:t>19</w:t>
            </w:r>
            <w:r>
              <w:rPr>
                <w:rFonts w:hint="eastAsia" w:ascii="宋体" w:hAnsi="宋体" w:eastAsia="宋体" w:cs="宋体"/>
                <w:color w:val="000000"/>
                <w:szCs w:val="21"/>
              </w:rPr>
              <w:t>年以来具有同类项目业绩的，提供证明材料（提供合同</w:t>
            </w:r>
            <w:r>
              <w:rPr>
                <w:rFonts w:hint="eastAsia" w:ascii="宋体" w:hAnsi="宋体" w:eastAsia="宋体" w:cs="宋体"/>
                <w:color w:val="000000"/>
                <w:szCs w:val="21"/>
                <w:lang w:val="en-US" w:eastAsia="zh-CN"/>
              </w:rPr>
              <w:t>或中标通知书复印件并加盖公章</w:t>
            </w:r>
            <w:r>
              <w:rPr>
                <w:rFonts w:hint="eastAsia" w:ascii="宋体" w:hAnsi="宋体" w:eastAsia="宋体" w:cs="宋体"/>
                <w:color w:val="000000"/>
                <w:szCs w:val="21"/>
              </w:rPr>
              <w:t>），满分</w:t>
            </w:r>
            <w:r>
              <w:rPr>
                <w:rFonts w:hint="eastAsia" w:ascii="宋体" w:hAnsi="宋体" w:eastAsia="宋体" w:cs="宋体"/>
                <w:color w:val="000000"/>
                <w:szCs w:val="21"/>
                <w:lang w:val="en-US" w:eastAsia="zh-CN"/>
              </w:rPr>
              <w:t>10</w:t>
            </w:r>
            <w:r>
              <w:rPr>
                <w:rFonts w:hint="eastAsia" w:ascii="宋体" w:hAnsi="宋体" w:eastAsia="宋体" w:cs="宋体"/>
                <w:color w:val="000000"/>
                <w:szCs w:val="21"/>
              </w:rPr>
              <w:t>分。</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41"/>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6" w:name="_Toc30694"/>
      <w:bookmarkStart w:id="7" w:name="_Toc35611438"/>
      <w:bookmarkStart w:id="8" w:name="_Toc44229899"/>
      <w:bookmarkStart w:id="9" w:name="_Toc35611516"/>
      <w:bookmarkStart w:id="10" w:name="_Toc31728084"/>
      <w:bookmarkStart w:id="11" w:name="_Toc31723070"/>
      <w:r>
        <w:rPr>
          <w:rFonts w:hint="eastAsia" w:ascii="宋体" w:hAnsi="宋体" w:eastAsia="宋体" w:cs="宋体"/>
          <w:b w:val="0"/>
          <w:bCs w:val="0"/>
          <w:sz w:val="32"/>
          <w:szCs w:val="32"/>
        </w:rPr>
        <w:t>一、资格证明文件格式</w:t>
      </w:r>
      <w:bookmarkEnd w:id="6"/>
      <w:bookmarkEnd w:id="7"/>
      <w:bookmarkEnd w:id="8"/>
      <w:bookmarkEnd w:id="9"/>
      <w:bookmarkEnd w:id="10"/>
      <w:bookmarkEnd w:id="11"/>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ascii="宋体" w:hAnsi="宋体" w:eastAsia="宋体" w:cs="宋体"/>
          <w:b w:val="0"/>
          <w:bCs w:val="0"/>
          <w:sz w:val="32"/>
          <w:szCs w:val="32"/>
          <w:lang w:val="en-US" w:eastAsia="zh-CN"/>
        </w:rPr>
        <w:sectPr>
          <w:pgSz w:w="11906" w:h="16838"/>
          <w:pgMar w:top="1418" w:right="1418" w:bottom="1418" w:left="1418" w:header="851" w:footer="992" w:gutter="0"/>
          <w:cols w:space="720" w:num="1"/>
          <w:titlePg/>
          <w:docGrid w:linePitch="312" w:charSpace="0"/>
        </w:sectPr>
      </w:pPr>
    </w:p>
    <w:p>
      <w:pPr>
        <w:keepNext w:val="0"/>
        <w:keepLines w:val="0"/>
        <w:pageBreakBefore w:val="0"/>
        <w:widowControl/>
        <w:kinsoku/>
        <w:wordWrap/>
        <w:overflowPunct/>
        <w:topLinePunct w:val="0"/>
        <w:autoSpaceDE/>
        <w:autoSpaceDN/>
        <w:bidi w:val="0"/>
        <w:adjustRightInd/>
        <w:snapToGrid/>
        <w:spacing w:after="0" w:afterLines="-2147483648"/>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数字化运营项目服务采购</w:t>
      </w:r>
    </w:p>
    <w:tbl>
      <w:tblPr>
        <w:tblStyle w:val="21"/>
        <w:tblW w:w="13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2"/>
        <w:gridCol w:w="1183"/>
        <w:gridCol w:w="3867"/>
        <w:gridCol w:w="2883"/>
        <w:gridCol w:w="4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13959"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培训地点：钦州港片区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培训场地、设备设施满足培训需求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1912" w:type="dxa"/>
            <w:tcBorders>
              <w:top w:val="nil"/>
              <w:left w:val="single" w:color="auto" w:sz="4" w:space="0"/>
              <w:bottom w:val="single" w:color="auto" w:sz="4" w:space="0"/>
              <w:right w:val="single" w:color="auto" w:sz="4" w:space="0"/>
            </w:tcBorders>
            <w:shd w:val="clear" w:color="000000" w:fill="B5C6EA"/>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项目阶段</w:t>
            </w:r>
          </w:p>
        </w:tc>
        <w:tc>
          <w:tcPr>
            <w:tcW w:w="1183" w:type="dxa"/>
            <w:tcBorders>
              <w:top w:val="nil"/>
              <w:left w:val="nil"/>
              <w:bottom w:val="single" w:color="auto" w:sz="4" w:space="0"/>
              <w:right w:val="single" w:color="auto" w:sz="4" w:space="0"/>
            </w:tcBorders>
            <w:shd w:val="clear" w:color="000000" w:fill="B5C6EA"/>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时间</w:t>
            </w:r>
          </w:p>
        </w:tc>
        <w:tc>
          <w:tcPr>
            <w:tcW w:w="3867" w:type="dxa"/>
            <w:tcBorders>
              <w:top w:val="nil"/>
              <w:left w:val="nil"/>
              <w:bottom w:val="single" w:color="auto" w:sz="4" w:space="0"/>
              <w:right w:val="single" w:color="auto" w:sz="4" w:space="0"/>
            </w:tcBorders>
            <w:shd w:val="clear" w:color="000000" w:fill="B5C6EA"/>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项目内容</w:t>
            </w:r>
          </w:p>
        </w:tc>
        <w:tc>
          <w:tcPr>
            <w:tcW w:w="2883" w:type="dxa"/>
            <w:tcBorders>
              <w:top w:val="nil"/>
              <w:left w:val="nil"/>
              <w:bottom w:val="single" w:color="auto" w:sz="4" w:space="0"/>
              <w:right w:val="single" w:color="auto" w:sz="4" w:space="0"/>
            </w:tcBorders>
            <w:shd w:val="clear" w:color="000000" w:fill="B5C6EA"/>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效果</w:t>
            </w:r>
          </w:p>
        </w:tc>
        <w:tc>
          <w:tcPr>
            <w:tcW w:w="4114" w:type="dxa"/>
            <w:tcBorders>
              <w:top w:val="nil"/>
              <w:left w:val="nil"/>
              <w:bottom w:val="single" w:color="auto" w:sz="4" w:space="0"/>
              <w:right w:val="single" w:color="auto" w:sz="4" w:space="0"/>
            </w:tcBorders>
            <w:shd w:val="clear" w:color="000000" w:fill="B5C6EA"/>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3" w:hRule="atLeast"/>
          <w:jc w:val="center"/>
        </w:trPr>
        <w:tc>
          <w:tcPr>
            <w:tcW w:w="191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培训阶段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参训人数（12-16人）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（2个月）</w:t>
            </w:r>
          </w:p>
        </w:tc>
        <w:tc>
          <w:tcPr>
            <w:tcW w:w="11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第1阶段</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（3天）</w:t>
            </w:r>
          </w:p>
        </w:tc>
        <w:tc>
          <w:tcPr>
            <w:tcW w:w="38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1.系统性专业性学习直播账号运营管理；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2.短视频拍摄制作运营；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3.高质量直播间打造+话术撰写及讲解训练；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4.账号开播违禁词及直播法律法规掌握；</w:t>
            </w:r>
          </w:p>
        </w:tc>
        <w:tc>
          <w:tcPr>
            <w:tcW w:w="2883" w:type="dxa"/>
            <w:vMerge w:val="restart"/>
            <w:tcBorders>
              <w:top w:val="nil"/>
              <w:left w:val="single" w:color="auto" w:sz="4" w:space="0"/>
              <w:bottom w:val="single" w:color="000000" w:sz="4" w:space="0"/>
              <w:right w:val="single" w:color="auto" w:sz="4" w:space="0"/>
            </w:tcBorders>
            <w:shd w:val="clear" w:color="000000"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1.学习期间1-2月，预计实现视频直播平台短视频内容品牌曝光20万人次；用户实现2000人，带货出单100-200单；</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2.第3-4个月，每月实现50-100万品牌曝光人次，获取用户每月3000-1万人，定品后，带货出单每月实现300-5000单，每月50-500万交易量；</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3.第5-12个月，每月实现100-500万品牌曝光人次，获取用户每月达到5000-1万人，稳定及成熟产品带货，预计实现每月100-1000万交易量。</w:t>
            </w:r>
          </w:p>
        </w:tc>
        <w:tc>
          <w:tcPr>
            <w:tcW w:w="41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8" w:hRule="atLeast"/>
          <w:jc w:val="center"/>
        </w:trPr>
        <w:tc>
          <w:tcPr>
            <w:tcW w:w="191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第2阶段</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（7天）</w:t>
            </w:r>
          </w:p>
        </w:tc>
        <w:tc>
          <w:tcPr>
            <w:tcW w:w="38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1.直播账号功能开通认证审核；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2.账号IP人设定位及界面设计；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3.短视频外拍、创作、数据分析实操；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4.完成直播带货选品（服务或产品）策略和产品的对接；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5.供应链合作协议撰写及签订；</w:t>
            </w:r>
          </w:p>
        </w:tc>
        <w:tc>
          <w:tcPr>
            <w:tcW w:w="2883" w:type="dxa"/>
            <w:vMerge w:val="continue"/>
            <w:tcBorders>
              <w:top w:val="nil"/>
              <w:left w:val="single" w:color="auto" w:sz="4" w:space="0"/>
              <w:bottom w:val="single" w:color="000000" w:sz="4" w:space="0"/>
              <w:right w:val="single" w:color="auto" w:sz="4" w:space="0"/>
            </w:tcBorders>
            <w:shd w:val="clear" w:color="000000" w:fill="FFFFFF"/>
            <w:vAlign w:val="center"/>
          </w:tcPr>
          <w:p>
            <w:pPr>
              <w:jc w:val="both"/>
              <w:rPr>
                <w:rFonts w:hint="eastAsia" w:ascii="宋体" w:hAnsi="宋体" w:eastAsia="宋体" w:cs="宋体"/>
                <w:i w:val="0"/>
                <w:iCs w:val="0"/>
                <w:color w:val="000000"/>
                <w:sz w:val="22"/>
                <w:szCs w:val="22"/>
                <w:u w:val="none"/>
              </w:rPr>
            </w:pPr>
          </w:p>
        </w:tc>
        <w:tc>
          <w:tcPr>
            <w:tcW w:w="41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91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第3阶段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（5天）</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实战陪跑</w:t>
            </w:r>
          </w:p>
        </w:tc>
        <w:tc>
          <w:tcPr>
            <w:tcW w:w="38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1.直播带货话术撰写及上播带货实训实战；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2.公域流量引入及产品上架下架；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3.促销方案的设计实施，团队配合运营；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4.公域流量及短视频爆单策略实施；</w:t>
            </w:r>
          </w:p>
        </w:tc>
        <w:tc>
          <w:tcPr>
            <w:tcW w:w="2883" w:type="dxa"/>
            <w:vMerge w:val="continue"/>
            <w:tcBorders>
              <w:top w:val="nil"/>
              <w:left w:val="single" w:color="auto" w:sz="4" w:space="0"/>
              <w:bottom w:val="single" w:color="000000" w:sz="4" w:space="0"/>
              <w:right w:val="single" w:color="auto" w:sz="4" w:space="0"/>
            </w:tcBorders>
            <w:shd w:val="clear" w:color="000000" w:fill="FFFFFF"/>
            <w:vAlign w:val="center"/>
          </w:tcPr>
          <w:p>
            <w:pPr>
              <w:jc w:val="both"/>
              <w:rPr>
                <w:rFonts w:hint="eastAsia" w:ascii="宋体" w:hAnsi="宋体" w:eastAsia="宋体" w:cs="宋体"/>
                <w:i w:val="0"/>
                <w:iCs w:val="0"/>
                <w:color w:val="000000"/>
                <w:sz w:val="22"/>
                <w:szCs w:val="22"/>
                <w:u w:val="none"/>
              </w:rPr>
            </w:pPr>
          </w:p>
        </w:tc>
        <w:tc>
          <w:tcPr>
            <w:tcW w:w="41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jc w:val="center"/>
        </w:trPr>
        <w:tc>
          <w:tcPr>
            <w:tcW w:w="191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第4阶段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（10天）</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实战陪跑</w:t>
            </w:r>
          </w:p>
        </w:tc>
        <w:tc>
          <w:tcPr>
            <w:tcW w:w="38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1.直播间高质量持续运营开播；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2.公域流量持续引入策略；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3.商家产品品牌快速形成；</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4.平台矩阵裂变传播效应显现；</w:t>
            </w:r>
          </w:p>
        </w:tc>
        <w:tc>
          <w:tcPr>
            <w:tcW w:w="2883" w:type="dxa"/>
            <w:vMerge w:val="continue"/>
            <w:tcBorders>
              <w:top w:val="nil"/>
              <w:left w:val="single" w:color="auto" w:sz="4" w:space="0"/>
              <w:bottom w:val="single" w:color="000000" w:sz="4" w:space="0"/>
              <w:right w:val="single" w:color="auto" w:sz="4" w:space="0"/>
            </w:tcBorders>
            <w:shd w:val="clear" w:color="000000" w:fill="FFFFFF"/>
            <w:vAlign w:val="center"/>
          </w:tcPr>
          <w:p>
            <w:pPr>
              <w:jc w:val="both"/>
              <w:rPr>
                <w:rFonts w:hint="eastAsia" w:ascii="宋体" w:hAnsi="宋体" w:eastAsia="宋体" w:cs="宋体"/>
                <w:i w:val="0"/>
                <w:iCs w:val="0"/>
                <w:color w:val="000000"/>
                <w:sz w:val="22"/>
                <w:szCs w:val="22"/>
                <w:u w:val="none"/>
              </w:rPr>
            </w:pPr>
          </w:p>
        </w:tc>
        <w:tc>
          <w:tcPr>
            <w:tcW w:w="41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1912"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第5阶段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（20天）</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实战陪跑</w:t>
            </w:r>
          </w:p>
        </w:tc>
        <w:tc>
          <w:tcPr>
            <w:tcW w:w="38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1.直播间良性发展，健康持续开播；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2.爆款短视频持续引流直播，单品GMV增长；</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3.直播账号画像、模型。小店高评分、达到理想峰值；</w:t>
            </w:r>
          </w:p>
        </w:tc>
        <w:tc>
          <w:tcPr>
            <w:tcW w:w="2883" w:type="dxa"/>
            <w:vMerge w:val="continue"/>
            <w:tcBorders>
              <w:top w:val="nil"/>
              <w:left w:val="single" w:color="auto" w:sz="4" w:space="0"/>
              <w:bottom w:val="single" w:color="000000" w:sz="4" w:space="0"/>
              <w:right w:val="single" w:color="auto" w:sz="4" w:space="0"/>
            </w:tcBorders>
            <w:shd w:val="clear" w:color="000000" w:fill="FFFFFF"/>
            <w:vAlign w:val="center"/>
          </w:tcPr>
          <w:p>
            <w:pPr>
              <w:jc w:val="both"/>
              <w:rPr>
                <w:rFonts w:hint="eastAsia" w:ascii="宋体" w:hAnsi="宋体" w:eastAsia="宋体" w:cs="宋体"/>
                <w:i w:val="0"/>
                <w:iCs w:val="0"/>
                <w:color w:val="000000"/>
                <w:sz w:val="22"/>
                <w:szCs w:val="22"/>
                <w:u w:val="none"/>
              </w:rPr>
            </w:pPr>
          </w:p>
        </w:tc>
        <w:tc>
          <w:tcPr>
            <w:tcW w:w="41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5" w:hRule="atLeast"/>
          <w:jc w:val="center"/>
        </w:trPr>
        <w:tc>
          <w:tcPr>
            <w:tcW w:w="1912"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运营指导阶段</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子公司运营团队</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3"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培训结束后2年10个月</w:t>
            </w:r>
          </w:p>
        </w:tc>
        <w:tc>
          <w:tcPr>
            <w:tcW w:w="38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一、线上指导：工作中涉及的问题，随时解决（工作时间段）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线下指导：培训机构派实战导师分别到4个子公司现场指导完成企业数字运营中心直播场景搭建+运营方案落地监督指导+现场技能指导+人员专业分工+话术打磨+直播模式指导操作。并根据直播运营中碰到的技术平台直播规则要求以及其他相关的新技术，每月至少1次到直播团队所在地纠错和帮助解决遇到的疑难问题。在直播新技术或新的知识体系升级时，及时指导进行提升学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三、不定期安排服务企业团队学习，技术更新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子公司地址：南宁、钦州港片区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运营指导费用：合作的方式收取服务费用，根据运营交易额总额收取提成</w:t>
            </w:r>
          </w:p>
        </w:tc>
        <w:tc>
          <w:tcPr>
            <w:tcW w:w="2883" w:type="dxa"/>
            <w:vMerge w:val="continue"/>
            <w:tcBorders>
              <w:top w:val="nil"/>
              <w:left w:val="single" w:color="auto" w:sz="4" w:space="0"/>
              <w:bottom w:val="single" w:color="000000" w:sz="4" w:space="0"/>
              <w:right w:val="single" w:color="auto" w:sz="4" w:space="0"/>
            </w:tcBorders>
            <w:shd w:val="clear" w:color="000000" w:fill="FFFFFF"/>
            <w:vAlign w:val="center"/>
          </w:tcPr>
          <w:p>
            <w:pPr>
              <w:jc w:val="both"/>
              <w:rPr>
                <w:rFonts w:hint="eastAsia" w:ascii="宋体" w:hAnsi="宋体" w:eastAsia="宋体" w:cs="宋体"/>
                <w:i w:val="0"/>
                <w:iCs w:val="0"/>
                <w:color w:val="000000"/>
                <w:sz w:val="22"/>
                <w:szCs w:val="22"/>
                <w:u w:val="none"/>
              </w:rPr>
            </w:pPr>
          </w:p>
        </w:tc>
        <w:tc>
          <w:tcPr>
            <w:tcW w:w="4114"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adjustRightInd w:val="0"/>
              <w:snapToGrid w:val="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bidi="ar"/>
              </w:rPr>
              <w:t>交易总额</w:t>
            </w:r>
            <w:r>
              <w:rPr>
                <w:rFonts w:hint="eastAsia" w:ascii="宋体" w:hAnsi="宋体" w:eastAsia="宋体" w:cs="宋体"/>
                <w:b/>
                <w:bCs/>
                <w:i w:val="0"/>
                <w:iCs w:val="0"/>
                <w:color w:val="000000"/>
                <w:kern w:val="0"/>
                <w:sz w:val="22"/>
                <w:szCs w:val="22"/>
                <w:u w:val="none"/>
                <w:lang w:val="en-US" w:eastAsia="zh-CN" w:bidi="ar"/>
              </w:rPr>
              <w:t>的：   %</w:t>
            </w:r>
          </w:p>
          <w:p>
            <w:pPr>
              <w:keepNext w:val="0"/>
              <w:keepLines w:val="0"/>
              <w:widowControl/>
              <w:suppressLineNumbers w:val="0"/>
              <w:adjustRightInd w:val="0"/>
              <w:snapToGrid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bidi="ar"/>
              </w:rPr>
              <w:t>（按线上交易和线上引流线下产生交易总额来提点，最高不能超过3%）</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3640" w:firstLineChars="13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3640" w:firstLineChars="13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0" w:firstLine="6160" w:firstLineChars="2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6838" w:h="11906" w:orient="landscape"/>
          <w:pgMar w:top="1418" w:right="1418" w:bottom="1418" w:left="1418" w:header="851" w:footer="992" w:gutter="0"/>
          <w:cols w:space="720" w:num="1"/>
          <w:titlePg/>
          <w:docGrid w:linePitch="312" w:charSpace="0"/>
        </w:sectPr>
      </w:pPr>
    </w:p>
    <w:p>
      <w:pPr>
        <w:keepNext w:val="0"/>
        <w:keepLines w:val="0"/>
        <w:pageBreakBefore w:val="0"/>
        <w:widowControl/>
        <w:kinsoku/>
        <w:wordWrap/>
        <w:overflowPunct/>
        <w:topLinePunct w:val="0"/>
        <w:autoSpaceDE/>
        <w:autoSpaceDN/>
        <w:bidi w:val="0"/>
        <w:adjustRightInd/>
        <w:snapToGrid/>
        <w:spacing w:after="0" w:afterLines="-2147483648"/>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数字化运营项目服务采购</w:t>
      </w:r>
      <w:r>
        <w:rPr>
          <w:rFonts w:hint="eastAsia" w:ascii="宋体" w:hAnsi="宋体" w:eastAsia="宋体" w:cs="宋体"/>
          <w:b w:val="0"/>
          <w:bCs w:val="0"/>
          <w:sz w:val="28"/>
          <w:szCs w:val="28"/>
          <w:lang w:val="en-US" w:eastAsia="zh-CN"/>
        </w:rPr>
        <w:t xml:space="preserve"> </w:t>
      </w:r>
    </w:p>
    <w:tbl>
      <w:tblPr>
        <w:tblStyle w:val="21"/>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0"/>
                <w:sz w:val="22"/>
                <w:szCs w:val="22"/>
                <w:highlight w:val="none"/>
                <w:u w:val="none"/>
                <w:lang w:bidi="ar"/>
              </w:rPr>
            </w:pPr>
            <w:r>
              <w:rPr>
                <w:rFonts w:hint="eastAsia" w:ascii="宋体" w:hAnsi="宋体" w:eastAsia="宋体" w:cs="宋体"/>
                <w:b/>
                <w:bCs/>
                <w:i w:val="0"/>
                <w:iCs w:val="0"/>
                <w:color w:val="auto"/>
                <w:kern w:val="0"/>
                <w:sz w:val="22"/>
                <w:szCs w:val="22"/>
                <w:highlight w:val="none"/>
                <w:u w:val="none"/>
                <w:lang w:val="en-US" w:eastAsia="zh-CN" w:bidi="ar"/>
              </w:rPr>
              <w:t>项目要求及技术需求</w:t>
            </w:r>
          </w:p>
        </w:tc>
        <w:tc>
          <w:tcPr>
            <w:tcW w:w="2891" w:type="dxa"/>
            <w:vAlign w:val="center"/>
          </w:tcPr>
          <w:p>
            <w:pPr>
              <w:snapToGrid w:val="0"/>
              <w:spacing w:before="120" w:beforeLines="5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按采购需求表。</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vAlign w:val="center"/>
          </w:tcPr>
          <w:p>
            <w:pPr>
              <w:widowControl w:val="0"/>
              <w:adjustRightInd/>
              <w:snapToGrid w:val="0"/>
              <w:spacing w:line="240" w:lineRule="auto"/>
              <w:jc w:val="center"/>
              <w:rPr>
                <w:rFonts w:hint="eastAsia" w:ascii="宋体" w:hAnsi="宋体" w:eastAsia="宋体" w:cs="宋体"/>
                <w:b/>
                <w:bCs/>
                <w:color w:val="auto"/>
                <w:kern w:val="0"/>
                <w:sz w:val="22"/>
                <w:szCs w:val="22"/>
                <w:highlight w:val="none"/>
                <w:u w:val="none"/>
                <w:lang w:bidi="ar"/>
              </w:rPr>
            </w:pPr>
            <w:r>
              <w:rPr>
                <w:rFonts w:hint="eastAsia" w:ascii="宋体" w:hAnsi="宋体" w:eastAsia="宋体" w:cs="宋体"/>
                <w:b/>
                <w:bCs/>
                <w:color w:val="auto"/>
                <w:kern w:val="0"/>
                <w:sz w:val="22"/>
                <w:szCs w:val="22"/>
                <w:highlight w:val="none"/>
                <w:u w:val="none"/>
                <w:lang w:bidi="ar"/>
              </w:rPr>
              <w:t>交付使用期</w:t>
            </w:r>
          </w:p>
        </w:tc>
        <w:tc>
          <w:tcPr>
            <w:tcW w:w="2891" w:type="dxa"/>
            <w:vAlign w:val="center"/>
          </w:tcPr>
          <w:p>
            <w:pPr>
              <w:snapToGrid w:val="0"/>
              <w:spacing w:before="120" w:beforeLines="5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签合同后</w:t>
            </w:r>
            <w:r>
              <w:rPr>
                <w:rFonts w:hint="eastAsia" w:ascii="宋体" w:hAnsi="宋体" w:eastAsia="宋体" w:cs="宋体"/>
                <w:sz w:val="24"/>
                <w:szCs w:val="24"/>
                <w:lang w:val="en-US" w:eastAsia="zh-CN"/>
              </w:rPr>
              <w:t>40天内</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color w:val="auto"/>
                <w:kern w:val="0"/>
                <w:sz w:val="22"/>
                <w:szCs w:val="22"/>
                <w:highlight w:val="none"/>
                <w:u w:val="none"/>
                <w:lang w:bidi="ar"/>
              </w:rPr>
              <w:t>报价要求</w:t>
            </w:r>
          </w:p>
        </w:tc>
        <w:tc>
          <w:tcPr>
            <w:tcW w:w="2891" w:type="dxa"/>
            <w:vAlign w:val="center"/>
          </w:tcPr>
          <w:p>
            <w:pPr>
              <w:snapToGrid w:val="0"/>
              <w:spacing w:before="120" w:beforeLines="5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不高于公告预算</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2"/>
                <w:szCs w:val="22"/>
                <w:highlight w:val="none"/>
                <w:u w:val="none"/>
                <w:lang w:val="en-US" w:eastAsia="zh-CN" w:bidi="ar"/>
              </w:rPr>
              <w:t>目标要求</w:t>
            </w:r>
          </w:p>
        </w:tc>
        <w:tc>
          <w:tcPr>
            <w:tcW w:w="2891" w:type="dxa"/>
            <w:vAlign w:val="center"/>
          </w:tcPr>
          <w:p>
            <w:pPr>
              <w:snapToGrid w:val="0"/>
              <w:spacing w:before="120" w:beforeLines="50" w:line="360" w:lineRule="auto"/>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1.学习期间1-2月，预计实现视频直播平台短视频内容品牌曝光20万人次；用户实现2000人，带货出单100-200单；</w:t>
            </w:r>
          </w:p>
          <w:p>
            <w:pPr>
              <w:snapToGrid w:val="0"/>
              <w:spacing w:before="120" w:beforeLines="50" w:line="360" w:lineRule="auto"/>
              <w:jc w:val="both"/>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2.第3-4个月，每月实现50-100万品牌曝光人次，获取用户每月3000-1万人，定品后，带货出单每月实现300-5000单，每月50-500万交易量；</w:t>
            </w:r>
          </w:p>
          <w:p>
            <w:pPr>
              <w:snapToGrid w:val="0"/>
              <w:spacing w:before="120" w:beforeLines="50"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3.第5-12个月，每月实现100-500万品牌曝光人次，获取用户每月达到5000-1万人，稳定及成熟产品带货，预计实现每月100-1000万交易量。</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2891" w:type="dxa"/>
            <w:vAlign w:val="center"/>
          </w:tcPr>
          <w:p>
            <w:pPr>
              <w:snapToGrid w:val="0"/>
              <w:spacing w:before="120" w:beforeLines="5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2"/>
                <w:highlight w:val="none"/>
                <w:u w:val="none"/>
                <w:lang w:val="en-US" w:eastAsia="zh-CN" w:bidi="ar"/>
              </w:rPr>
              <w:t>签订合同且甲方收到增值税专用发票后3</w:t>
            </w:r>
            <w:r>
              <w:rPr>
                <w:rFonts w:hint="default" w:ascii="宋体" w:hAnsi="宋体" w:eastAsia="宋体" w:cs="宋体"/>
                <w:color w:val="auto"/>
                <w:kern w:val="0"/>
                <w:sz w:val="22"/>
                <w:highlight w:val="none"/>
                <w:u w:val="none"/>
                <w:lang w:eastAsia="zh-CN" w:bidi="ar"/>
              </w:rPr>
              <w:t>个工作</w:t>
            </w:r>
            <w:r>
              <w:rPr>
                <w:rFonts w:hint="eastAsia" w:ascii="宋体" w:hAnsi="宋体" w:eastAsia="宋体" w:cs="宋体"/>
                <w:color w:val="auto"/>
                <w:kern w:val="0"/>
                <w:sz w:val="22"/>
                <w:highlight w:val="none"/>
                <w:u w:val="none"/>
                <w:lang w:val="en-US" w:eastAsia="zh-CN" w:bidi="ar"/>
              </w:rPr>
              <w:t>日内支付合同总价30%，陪跑结束后且甲方收到增值税专用发票后7个工作日内支付</w:t>
            </w:r>
            <w:r>
              <w:rPr>
                <w:rFonts w:hint="default" w:ascii="宋体" w:hAnsi="宋体" w:eastAsia="宋体" w:cs="宋体"/>
                <w:color w:val="auto"/>
                <w:kern w:val="0"/>
                <w:sz w:val="22"/>
                <w:highlight w:val="none"/>
                <w:u w:val="none"/>
                <w:lang w:val="en-US" w:eastAsia="zh-CN" w:bidi="ar"/>
              </w:rPr>
              <w:t>至</w:t>
            </w:r>
            <w:r>
              <w:rPr>
                <w:rFonts w:hint="eastAsia" w:ascii="宋体" w:hAnsi="宋体" w:eastAsia="宋体" w:cs="宋体"/>
                <w:color w:val="auto"/>
                <w:kern w:val="0"/>
                <w:sz w:val="22"/>
                <w:highlight w:val="none"/>
                <w:u w:val="none"/>
                <w:lang w:val="en-US" w:eastAsia="zh-CN" w:bidi="ar"/>
              </w:rPr>
              <w:t>合同总价的70%。</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bl>
    <w:p>
      <w:pPr>
        <w:pStyle w:val="16"/>
        <w:rPr>
          <w:rFonts w:hint="eastAsia" w:ascii="Times New Roman" w:hAnsi="Times New Roman" w:eastAsia="宋体" w:cs="Times New Roman"/>
        </w:rPr>
      </w:pP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竞争性磋商</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6"/>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6"/>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widowControl/>
        <w:jc w:val="left"/>
        <w:rPr>
          <w:rFonts w:ascii="楷体" w:hAnsi="楷体" w:eastAsia="楷体"/>
          <w:sz w:val="21"/>
          <w:szCs w:val="21"/>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廉政</w:t>
      </w:r>
      <w:r>
        <w:rPr>
          <w:rFonts w:hint="eastAsia" w:ascii="方正小标宋简体" w:hAnsi="方正小标宋简体" w:eastAsia="方正小标宋简体" w:cs="方正小标宋简体"/>
          <w:b w:val="0"/>
          <w:bCs w:val="0"/>
          <w:color w:val="000000"/>
          <w:sz w:val="44"/>
          <w:szCs w:val="44"/>
          <w:lang w:val="en-US" w:eastAsia="zh-CN"/>
        </w:rPr>
        <w:t>承诺协议</w:t>
      </w:r>
      <w:r>
        <w:rPr>
          <w:rFonts w:hint="eastAsia" w:ascii="方正小标宋简体" w:hAnsi="方正小标宋简体" w:eastAsia="方正小标宋简体" w:cs="方正小标宋简体"/>
          <w:b w:val="0"/>
          <w:bCs w:val="0"/>
          <w:color w:val="000000"/>
          <w:sz w:val="44"/>
          <w:szCs w:val="44"/>
          <w:lang w:eastAsia="zh-CN"/>
        </w:rPr>
        <w:t>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甲方：广西自贸区钦州港片区开发投资集团有限</w:t>
      </w:r>
      <w:r>
        <w:rPr>
          <w:rFonts w:hint="eastAsia" w:ascii="仿宋_GB2312" w:hAnsi="仿宋_GB2312" w:eastAsia="仿宋_GB2312" w:cs="仿宋_GB2312"/>
          <w:color w:val="000000"/>
          <w:sz w:val="24"/>
          <w:szCs w:val="24"/>
          <w:lang w:val="en-US" w:eastAsia="zh-CN"/>
        </w:rPr>
        <w:t>责任</w:t>
      </w:r>
      <w:r>
        <w:rPr>
          <w:rFonts w:hint="eastAsia" w:ascii="仿宋_GB2312" w:hAnsi="仿宋_GB2312" w:eastAsia="仿宋_GB2312" w:cs="仿宋_GB2312"/>
          <w:color w:val="000000"/>
          <w:sz w:val="24"/>
          <w:szCs w:val="24"/>
        </w:rPr>
        <w:t>公司</w:t>
      </w:r>
      <w:r>
        <w:rPr>
          <w:rFonts w:hint="eastAsia" w:ascii="仿宋_GB2312" w:hAnsi="仿宋_GB2312" w:eastAsia="仿宋_GB2312" w:cs="仿宋_GB2312"/>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乙方：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为加强廉政建设，从制度机制上杜绝不廉洁行为，维护双方企业的利益，根据廉政建设的有关规定，</w:t>
      </w:r>
      <w:r>
        <w:rPr>
          <w:rFonts w:hint="eastAsia" w:ascii="仿宋_GB2312" w:hAnsi="仿宋_GB2312" w:eastAsia="仿宋_GB2312" w:cs="仿宋_GB2312"/>
          <w:color w:val="000000"/>
          <w:sz w:val="24"/>
          <w:szCs w:val="24"/>
          <w:lang w:eastAsia="zh-CN"/>
        </w:rPr>
        <w:t>经双方协商，同意订立本廉政</w:t>
      </w:r>
      <w:r>
        <w:rPr>
          <w:rFonts w:hint="eastAsia" w:ascii="仿宋_GB2312" w:hAnsi="仿宋_GB2312" w:eastAsia="仿宋_GB2312" w:cs="仿宋_GB2312"/>
          <w:color w:val="000000"/>
          <w:sz w:val="24"/>
          <w:szCs w:val="24"/>
          <w:lang w:val="en-US" w:eastAsia="zh-CN"/>
        </w:rPr>
        <w:t>协议书</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一、双方的廉政承诺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一</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严格遵守国家有关法律法规及上级主管单位的有关规定。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（二）</w:t>
      </w:r>
      <w:r>
        <w:rPr>
          <w:rFonts w:hint="eastAsia" w:ascii="仿宋_GB2312" w:hAnsi="仿宋_GB2312" w:eastAsia="仿宋_GB2312" w:cs="仿宋_GB2312"/>
          <w:color w:val="000000"/>
          <w:sz w:val="24"/>
          <w:szCs w:val="24"/>
        </w:rPr>
        <w:t>严格执行合同规定，自觉按合同办事。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（三）</w:t>
      </w:r>
      <w:r>
        <w:rPr>
          <w:rFonts w:hint="eastAsia" w:ascii="仿宋_GB2312" w:hAnsi="仿宋_GB2312" w:eastAsia="仿宋_GB2312" w:cs="仿宋_GB2312"/>
          <w:color w:val="000000"/>
          <w:sz w:val="24"/>
          <w:szCs w:val="24"/>
          <w:lang w:eastAsia="zh-CN"/>
        </w:rPr>
        <w:t>在</w:t>
      </w:r>
      <w:r>
        <w:rPr>
          <w:rFonts w:hint="eastAsia" w:ascii="仿宋_GB2312" w:hAnsi="仿宋_GB2312" w:eastAsia="仿宋_GB2312" w:cs="仿宋_GB2312"/>
          <w:color w:val="000000"/>
          <w:sz w:val="24"/>
          <w:szCs w:val="24"/>
        </w:rPr>
        <w:t>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（四）</w:t>
      </w:r>
      <w:r>
        <w:rPr>
          <w:rFonts w:hint="eastAsia" w:ascii="仿宋_GB2312" w:hAnsi="仿宋_GB2312" w:eastAsia="仿宋_GB2312" w:cs="仿宋_GB2312"/>
          <w:color w:val="000000"/>
          <w:sz w:val="24"/>
          <w:szCs w:val="24"/>
        </w:rPr>
        <w:t>建立健全廉政制度，开展廉政教育，公布举报电话，开展监督并认真查处违法违纪行为。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二、双方的廉政义务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甲乙双方及其工作人员不得有以下行为：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1.向对方及其工作人员行贿或索要、接受对方及其工作人员的礼金、有价证券和贵重物品。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2.为对方及其工作人员报销或索要、接受对方及其工作人员报销任何应当由对方支付的各种费用。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3.为对方及其工作人员安排或参加对方及其工作人员安排的可能影响公正执行公务的宴请或娱乐活动。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4.为对方及其工作人员购置、提供或接受对方及其工作人员购置、提供的通讯工具、交通工具和高档办公用品等。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6.有违反廉政要求其他情形。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若一</w:t>
      </w:r>
      <w:r>
        <w:rPr>
          <w:rFonts w:hint="eastAsia" w:ascii="仿宋_GB2312" w:hAnsi="仿宋_GB2312" w:eastAsia="仿宋_GB2312" w:cs="仿宋_GB2312"/>
          <w:color w:val="000000"/>
          <w:sz w:val="24"/>
          <w:szCs w:val="24"/>
        </w:rPr>
        <w:t>方及其工作人员</w:t>
      </w:r>
      <w:r>
        <w:rPr>
          <w:rFonts w:hint="eastAsia" w:ascii="仿宋_GB2312" w:hAnsi="仿宋_GB2312" w:eastAsia="仿宋_GB2312" w:cs="仿宋_GB2312"/>
          <w:color w:val="000000"/>
          <w:sz w:val="24"/>
          <w:szCs w:val="24"/>
          <w:lang w:eastAsia="zh-CN"/>
        </w:rPr>
        <w:t>有</w:t>
      </w:r>
      <w:r>
        <w:rPr>
          <w:rFonts w:hint="eastAsia" w:ascii="仿宋_GB2312" w:hAnsi="仿宋_GB2312" w:eastAsia="仿宋_GB2312" w:cs="仿宋_GB2312"/>
          <w:color w:val="000000"/>
          <w:sz w:val="24"/>
          <w:szCs w:val="24"/>
        </w:rPr>
        <w:t>违反法律法规及</w:t>
      </w:r>
      <w:r>
        <w:rPr>
          <w:rFonts w:hint="eastAsia" w:ascii="仿宋_GB2312" w:hAnsi="仿宋_GB2312" w:eastAsia="仿宋_GB2312" w:cs="仿宋_GB2312"/>
          <w:color w:val="000000"/>
          <w:sz w:val="24"/>
          <w:szCs w:val="24"/>
          <w:lang w:eastAsia="zh-CN"/>
        </w:rPr>
        <w:t>本</w:t>
      </w:r>
      <w:r>
        <w:rPr>
          <w:rFonts w:hint="eastAsia" w:ascii="仿宋_GB2312" w:hAnsi="仿宋_GB2312" w:eastAsia="仿宋_GB2312" w:cs="仿宋_GB2312"/>
          <w:color w:val="000000"/>
          <w:sz w:val="24"/>
          <w:szCs w:val="24"/>
          <w:lang w:val="en-US" w:eastAsia="zh-CN"/>
        </w:rPr>
        <w:t>协议</w:t>
      </w:r>
      <w:r>
        <w:rPr>
          <w:rFonts w:hint="eastAsia" w:ascii="仿宋_GB2312" w:hAnsi="仿宋_GB2312" w:eastAsia="仿宋_GB2312" w:cs="仿宋_GB2312"/>
          <w:color w:val="000000"/>
          <w:sz w:val="24"/>
          <w:szCs w:val="24"/>
          <w:lang w:eastAsia="zh-CN"/>
        </w:rPr>
        <w:t>书</w:t>
      </w:r>
      <w:r>
        <w:rPr>
          <w:rFonts w:hint="eastAsia" w:ascii="仿宋_GB2312" w:hAnsi="仿宋_GB2312" w:eastAsia="仿宋_GB2312" w:cs="仿宋_GB2312"/>
          <w:color w:val="000000"/>
          <w:sz w:val="24"/>
          <w:szCs w:val="24"/>
        </w:rPr>
        <w:t>的，</w:t>
      </w:r>
      <w:r>
        <w:rPr>
          <w:rFonts w:hint="eastAsia" w:ascii="仿宋_GB2312" w:hAnsi="仿宋_GB2312" w:eastAsia="仿宋_GB2312" w:cs="仿宋_GB2312"/>
          <w:color w:val="000000"/>
          <w:sz w:val="24"/>
          <w:szCs w:val="24"/>
          <w:lang w:val="en-US" w:eastAsia="zh-CN"/>
        </w:rPr>
        <w:t>应</w:t>
      </w:r>
      <w:r>
        <w:rPr>
          <w:rFonts w:hint="eastAsia" w:ascii="仿宋_GB2312" w:hAnsi="仿宋_GB2312" w:eastAsia="仿宋_GB2312" w:cs="仿宋_GB2312"/>
          <w:color w:val="000000"/>
          <w:sz w:val="24"/>
          <w:szCs w:val="24"/>
        </w:rPr>
        <w:t>依法依规对相关责任人进行严肃处理</w:t>
      </w:r>
      <w:r>
        <w:rPr>
          <w:rFonts w:hint="default" w:ascii="仿宋_GB2312" w:hAnsi="仿宋_GB2312" w:eastAsia="仿宋_GB2312" w:cs="仿宋_GB2312"/>
          <w:color w:val="000000"/>
          <w:sz w:val="24"/>
          <w:szCs w:val="24"/>
        </w:rPr>
        <w:t>，并向守约方支付至少10000元的违约金</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若违约方</w:t>
      </w:r>
      <w:r>
        <w:rPr>
          <w:rFonts w:hint="eastAsia" w:ascii="仿宋_GB2312" w:hAnsi="仿宋_GB2312" w:eastAsia="仿宋_GB2312" w:cs="仿宋_GB2312"/>
          <w:color w:val="000000"/>
          <w:sz w:val="24"/>
          <w:szCs w:val="24"/>
        </w:rPr>
        <w:t>给</w:t>
      </w:r>
      <w:r>
        <w:rPr>
          <w:rFonts w:hint="eastAsia" w:ascii="仿宋_GB2312" w:hAnsi="仿宋_GB2312" w:eastAsia="仿宋_GB2312" w:cs="仿宋_GB2312"/>
          <w:color w:val="000000"/>
          <w:sz w:val="24"/>
          <w:szCs w:val="24"/>
          <w:lang w:val="en-US" w:eastAsia="zh-CN"/>
        </w:rPr>
        <w:t>守约方</w:t>
      </w:r>
      <w:r>
        <w:rPr>
          <w:rFonts w:hint="eastAsia" w:ascii="仿宋_GB2312" w:hAnsi="仿宋_GB2312" w:eastAsia="仿宋_GB2312" w:cs="仿宋_GB2312"/>
          <w:color w:val="000000"/>
          <w:sz w:val="24"/>
          <w:szCs w:val="24"/>
        </w:rPr>
        <w:t>造成经济损失的，</w:t>
      </w:r>
      <w:r>
        <w:rPr>
          <w:rFonts w:hint="eastAsia" w:ascii="仿宋_GB2312" w:hAnsi="仿宋_GB2312" w:eastAsia="仿宋_GB2312" w:cs="仿宋_GB2312"/>
          <w:color w:val="000000"/>
          <w:sz w:val="24"/>
          <w:szCs w:val="24"/>
          <w:lang w:val="en-US" w:eastAsia="zh-CN"/>
        </w:rPr>
        <w:t>应按照损失的金额</w:t>
      </w:r>
      <w:r>
        <w:rPr>
          <w:rFonts w:hint="default" w:ascii="仿宋_GB2312" w:hAnsi="仿宋_GB2312" w:eastAsia="仿宋_GB2312" w:cs="仿宋_GB2312"/>
          <w:color w:val="000000"/>
          <w:sz w:val="24"/>
          <w:szCs w:val="24"/>
          <w:lang w:eastAsia="zh-CN"/>
        </w:rPr>
        <w:t>的2倍</w:t>
      </w:r>
      <w:r>
        <w:rPr>
          <w:rFonts w:hint="eastAsia" w:ascii="仿宋_GB2312" w:hAnsi="仿宋_GB2312" w:eastAsia="仿宋_GB2312" w:cs="仿宋_GB2312"/>
          <w:color w:val="000000"/>
          <w:sz w:val="24"/>
          <w:szCs w:val="24"/>
          <w:lang w:val="en-US" w:eastAsia="zh-CN"/>
        </w:rPr>
        <w:t>给守约方予以赔偿</w:t>
      </w:r>
      <w:r>
        <w:rPr>
          <w:rFonts w:hint="eastAsia" w:ascii="仿宋_GB2312" w:hAnsi="仿宋_GB2312" w:eastAsia="仿宋_GB2312" w:cs="仿宋_GB2312"/>
          <w:color w:val="000000"/>
          <w:sz w:val="24"/>
          <w:szCs w:val="24"/>
        </w:rPr>
        <w:t>；涉嫌犯罪的，移送司法机关</w:t>
      </w:r>
      <w:r>
        <w:rPr>
          <w:rFonts w:hint="eastAsia" w:ascii="仿宋_GB2312" w:hAnsi="仿宋_GB2312" w:eastAsia="仿宋_GB2312" w:cs="仿宋_GB2312"/>
          <w:color w:val="000000"/>
          <w:sz w:val="24"/>
          <w:szCs w:val="24"/>
          <w:lang w:val="en-US" w:eastAsia="zh-CN"/>
        </w:rPr>
        <w:t>追究相关责任</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color w:val="000000"/>
          <w:sz w:val="24"/>
          <w:szCs w:val="24"/>
          <w:u w:val="none"/>
          <w:lang w:val="en-US" w:eastAsia="zh-CN"/>
        </w:rPr>
      </w:pPr>
      <w:r>
        <w:rPr>
          <w:rFonts w:hint="eastAsia" w:ascii="仿宋_GB2312" w:hAnsi="仿宋_GB2312" w:eastAsia="仿宋_GB2312" w:cs="仿宋_GB2312"/>
          <w:color w:val="000000"/>
          <w:sz w:val="24"/>
          <w:szCs w:val="24"/>
          <w:lang w:val="en-US" w:eastAsia="zh-CN"/>
        </w:rPr>
        <w:t>三</w:t>
      </w:r>
      <w:r>
        <w:rPr>
          <w:rFonts w:hint="default" w:ascii="仿宋_GB2312" w:hAnsi="仿宋_GB2312" w:eastAsia="仿宋_GB2312" w:cs="仿宋_GB2312"/>
          <w:color w:val="000000"/>
          <w:sz w:val="24"/>
          <w:szCs w:val="24"/>
          <w:lang w:eastAsia="zh-CN"/>
        </w:rPr>
        <w:t xml:space="preserve"> </w:t>
      </w:r>
      <w:r>
        <w:rPr>
          <w:rFonts w:hint="eastAsia" w:ascii="仿宋_GB2312" w:hAnsi="仿宋_GB2312" w:eastAsia="仿宋_GB2312" w:cs="仿宋_GB2312"/>
          <w:color w:val="000000"/>
          <w:sz w:val="24"/>
          <w:szCs w:val="24"/>
          <w:lang w:val="en-US" w:eastAsia="zh-CN"/>
        </w:rPr>
        <w:t>、</w:t>
      </w:r>
      <w:r>
        <w:rPr>
          <w:rFonts w:hint="default" w:ascii="仿宋_GB2312" w:hAnsi="仿宋_GB2312" w:eastAsia="仿宋_GB2312" w:cs="仿宋_GB2312"/>
          <w:color w:val="000000"/>
          <w:sz w:val="24"/>
          <w:szCs w:val="24"/>
          <w:lang w:eastAsia="zh-CN"/>
        </w:rPr>
        <w:t>甲方举报方式：</w:t>
      </w:r>
      <w:r>
        <w:rPr>
          <w:rFonts w:hint="default"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lang w:val="en-US" w:eastAsia="zh-CN"/>
        </w:rPr>
        <w:t>1.电话举报：0777-5818333；2.邮箱举报：</w:t>
      </w:r>
      <w:r>
        <w:rPr>
          <w:rFonts w:hint="eastAsia" w:ascii="仿宋_GB2312" w:hAnsi="仿宋_GB2312" w:eastAsia="仿宋_GB2312" w:cs="仿宋_GB2312"/>
          <w:color w:val="000000"/>
          <w:sz w:val="24"/>
          <w:szCs w:val="24"/>
          <w:u w:val="single"/>
          <w:lang w:val="en-US" w:eastAsia="zh-CN"/>
        </w:rPr>
        <w:fldChar w:fldCharType="begin"/>
      </w:r>
      <w:r>
        <w:rPr>
          <w:rFonts w:hint="eastAsia" w:ascii="仿宋_GB2312" w:hAnsi="仿宋_GB2312" w:eastAsia="仿宋_GB2312" w:cs="仿宋_GB2312"/>
          <w:color w:val="000000"/>
          <w:sz w:val="24"/>
          <w:szCs w:val="24"/>
          <w:u w:val="single"/>
          <w:lang w:val="en-US" w:eastAsia="zh-CN"/>
        </w:rPr>
        <w:instrText xml:space="preserve"> HYPERLINK "mailto:zimaokaitoujituan@163.com；" </w:instrText>
      </w:r>
      <w:r>
        <w:rPr>
          <w:rFonts w:hint="eastAsia" w:ascii="仿宋_GB2312" w:hAnsi="仿宋_GB2312" w:eastAsia="仿宋_GB2312" w:cs="仿宋_GB2312"/>
          <w:color w:val="000000"/>
          <w:sz w:val="24"/>
          <w:szCs w:val="24"/>
          <w:u w:val="single"/>
          <w:lang w:val="en-US" w:eastAsia="zh-CN"/>
        </w:rPr>
        <w:fldChar w:fldCharType="separate"/>
      </w:r>
      <w:r>
        <w:rPr>
          <w:rStyle w:val="26"/>
          <w:rFonts w:hint="eastAsia" w:ascii="仿宋_GB2312" w:hAnsi="仿宋_GB2312" w:eastAsia="仿宋_GB2312" w:cs="仿宋_GB2312"/>
          <w:sz w:val="24"/>
          <w:szCs w:val="24"/>
          <w:lang w:val="en-US" w:eastAsia="zh-CN"/>
        </w:rPr>
        <w:t>zimaokaitoujituan@163.com</w:t>
      </w:r>
      <w:r>
        <w:rPr>
          <w:rStyle w:val="26"/>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00"/>
          <w:sz w:val="24"/>
          <w:szCs w:val="24"/>
          <w:u w:val="single"/>
          <w:lang w:val="en-US" w:eastAsia="zh-CN"/>
        </w:rPr>
        <w:fldChar w:fldCharType="end"/>
      </w:r>
    </w:p>
    <w:p>
      <w:pPr>
        <w:spacing w:line="360" w:lineRule="auto"/>
        <w:rPr>
          <w:rFonts w:hint="default" w:ascii="仿宋_GB2312" w:hAnsi="仿宋_GB2312" w:eastAsia="仿宋_GB2312" w:cs="仿宋_GB2312"/>
          <w:color w:val="000000"/>
          <w:sz w:val="24"/>
          <w:szCs w:val="24"/>
          <w:lang w:eastAsia="zh-CN"/>
        </w:rPr>
      </w:pPr>
      <w:r>
        <w:rPr>
          <w:rFonts w:hint="default" w:ascii="仿宋_GB2312" w:hAnsi="仿宋_GB2312" w:eastAsia="仿宋_GB2312" w:cs="仿宋_GB2312"/>
          <w:color w:val="000000"/>
          <w:sz w:val="24"/>
          <w:szCs w:val="24"/>
          <w:lang w:eastAsia="zh-CN"/>
        </w:rPr>
        <w:t>乙方举报方式：</w:t>
      </w:r>
      <w:r>
        <w:rPr>
          <w:rFonts w:hint="eastAsia" w:ascii="仿宋_GB2312" w:hAnsi="仿宋_GB2312" w:eastAsia="仿宋_GB2312" w:cs="仿宋_GB2312"/>
          <w:color w:val="000000"/>
          <w:sz w:val="24"/>
          <w:szCs w:val="24"/>
          <w:u w:val="single"/>
          <w:lang w:val="en-US" w:eastAsia="zh-CN"/>
        </w:rPr>
        <w:t>1.电话举报：     邮箱举报：/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lang w:eastAsia="zh-CN"/>
        </w:rPr>
        <w:t xml:space="preserve">    四、</w:t>
      </w:r>
      <w:r>
        <w:rPr>
          <w:rFonts w:hint="eastAsia" w:ascii="仿宋_GB2312" w:hAnsi="仿宋_GB2312" w:eastAsia="仿宋_GB2312" w:cs="仿宋_GB2312"/>
          <w:color w:val="000000"/>
          <w:sz w:val="24"/>
          <w:szCs w:val="24"/>
        </w:rPr>
        <w:t>本</w:t>
      </w:r>
      <w:r>
        <w:rPr>
          <w:rFonts w:hint="eastAsia" w:ascii="仿宋_GB2312" w:hAnsi="仿宋_GB2312" w:eastAsia="仿宋_GB2312" w:cs="仿宋_GB2312"/>
          <w:color w:val="000000"/>
          <w:sz w:val="24"/>
          <w:szCs w:val="24"/>
          <w:lang w:val="en-US" w:eastAsia="zh-CN"/>
        </w:rPr>
        <w:t>协议</w:t>
      </w:r>
      <w:r>
        <w:rPr>
          <w:rFonts w:hint="eastAsia" w:ascii="仿宋_GB2312" w:hAnsi="仿宋_GB2312" w:eastAsia="仿宋_GB2312" w:cs="仿宋_GB2312"/>
          <w:color w:val="000000"/>
          <w:sz w:val="24"/>
          <w:szCs w:val="24"/>
          <w:lang w:eastAsia="zh-CN"/>
        </w:rPr>
        <w:t>书</w:t>
      </w:r>
      <w:r>
        <w:rPr>
          <w:rFonts w:hint="eastAsia" w:ascii="仿宋_GB2312" w:hAnsi="仿宋_GB2312" w:eastAsia="仿宋_GB2312" w:cs="仿宋_GB2312"/>
          <w:color w:val="000000"/>
          <w:sz w:val="24"/>
          <w:szCs w:val="24"/>
        </w:rPr>
        <w:t>作为编号为：</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zh-CN"/>
        </w:rPr>
        <w:t>《数字化运营项目服务采购》</w:t>
      </w:r>
      <w:r>
        <w:rPr>
          <w:rFonts w:hint="eastAsia" w:ascii="仿宋_GB2312" w:hAnsi="仿宋_GB2312" w:eastAsia="仿宋_GB2312" w:cs="仿宋_GB2312"/>
          <w:color w:val="000000"/>
          <w:sz w:val="24"/>
          <w:szCs w:val="24"/>
          <w:lang w:eastAsia="zh-CN"/>
        </w:rPr>
        <w:t>（以下简称为“主合同”）</w:t>
      </w:r>
      <w:r>
        <w:rPr>
          <w:rFonts w:hint="eastAsia" w:ascii="仿宋_GB2312" w:hAnsi="仿宋_GB2312" w:eastAsia="仿宋_GB2312" w:cs="仿宋_GB2312"/>
          <w:color w:val="000000"/>
          <w:sz w:val="24"/>
          <w:szCs w:val="24"/>
        </w:rPr>
        <w:t>的附件，</w:t>
      </w:r>
      <w:r>
        <w:rPr>
          <w:rFonts w:hint="eastAsia" w:ascii="仿宋_GB2312" w:hAnsi="仿宋_GB2312" w:eastAsia="仿宋_GB2312" w:cs="仿宋_GB2312"/>
          <w:color w:val="000000"/>
          <w:sz w:val="24"/>
          <w:szCs w:val="24"/>
          <w:lang w:eastAsia="zh-CN"/>
        </w:rPr>
        <w:t>一式贰份，</w:t>
      </w:r>
      <w:r>
        <w:rPr>
          <w:rFonts w:hint="eastAsia" w:ascii="仿宋_GB2312" w:hAnsi="仿宋_GB2312" w:eastAsia="仿宋_GB2312" w:cs="仿宋_GB2312"/>
          <w:color w:val="000000"/>
          <w:sz w:val="24"/>
          <w:szCs w:val="24"/>
          <w:lang w:val="en-US" w:eastAsia="zh-CN"/>
        </w:rPr>
        <w:t>甲乙双方</w:t>
      </w:r>
      <w:r>
        <w:rPr>
          <w:rFonts w:hint="eastAsia" w:ascii="仿宋_GB2312" w:hAnsi="仿宋_GB2312" w:eastAsia="仿宋_GB2312" w:cs="仿宋_GB2312"/>
          <w:color w:val="000000"/>
          <w:sz w:val="24"/>
          <w:szCs w:val="24"/>
          <w:lang w:eastAsia="zh-CN"/>
        </w:rPr>
        <w:t>各执壹份，</w:t>
      </w:r>
      <w:r>
        <w:rPr>
          <w:rFonts w:hint="eastAsia" w:ascii="仿宋_GB2312" w:hAnsi="仿宋_GB2312" w:eastAsia="仿宋_GB2312" w:cs="仿宋_GB2312"/>
          <w:color w:val="000000"/>
          <w:sz w:val="24"/>
          <w:szCs w:val="24"/>
        </w:rPr>
        <w:t>具有同等法律效力，有效期与主合同相同，经</w:t>
      </w:r>
      <w:r>
        <w:rPr>
          <w:rFonts w:hint="eastAsia" w:ascii="仿宋_GB2312" w:hAnsi="仿宋_GB2312" w:eastAsia="仿宋_GB2312" w:cs="仿宋_GB2312"/>
          <w:color w:val="000000"/>
          <w:sz w:val="24"/>
          <w:szCs w:val="24"/>
          <w:lang w:eastAsia="zh-CN"/>
        </w:rPr>
        <w:t>甲乙双方</w:t>
      </w:r>
      <w:r>
        <w:rPr>
          <w:rFonts w:hint="eastAsia" w:ascii="仿宋_GB2312" w:hAnsi="仿宋_GB2312" w:eastAsia="仿宋_GB2312" w:cs="仿宋_GB2312"/>
          <w:color w:val="000000"/>
          <w:sz w:val="24"/>
          <w:szCs w:val="24"/>
        </w:rPr>
        <w:t>签署后生效。</w:t>
      </w:r>
      <w:bookmarkStart w:id="12" w:name="_GoBack"/>
      <w:bookmarkEnd w:id="12"/>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本页为签署页</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w:t>
      </w:r>
      <w:r>
        <w:rPr>
          <w:rFonts w:hint="eastAsia" w:ascii="仿宋_GB2312" w:hAnsi="仿宋_GB2312" w:eastAsia="仿宋_GB2312" w:cs="仿宋_GB2312"/>
          <w:color w:val="000000"/>
          <w:sz w:val="24"/>
          <w:szCs w:val="24"/>
          <w:lang w:eastAsia="zh-CN"/>
        </w:rPr>
        <w:t>（盖章）</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乙方（盖章）：</w:t>
      </w:r>
      <w:r>
        <w:rPr>
          <w:rFonts w:hint="eastAsia" w:ascii="仿宋_GB2312" w:hAnsi="仿宋_GB2312" w:eastAsia="仿宋_GB2312" w:cs="仿宋_GB2312"/>
          <w:color w:val="00000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法定代表人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或</w:t>
      </w:r>
      <w:r>
        <w:rPr>
          <w:rFonts w:hint="eastAsia" w:ascii="仿宋_GB2312" w:hAnsi="仿宋_GB2312" w:eastAsia="仿宋_GB2312" w:cs="仿宋_GB2312"/>
          <w:color w:val="000000"/>
          <w:sz w:val="24"/>
          <w:szCs w:val="24"/>
          <w:lang w:val="en-US" w:eastAsia="zh-CN"/>
        </w:rPr>
        <w:t>授权</w:t>
      </w:r>
      <w:r>
        <w:rPr>
          <w:rFonts w:hint="eastAsia" w:ascii="仿宋_GB2312" w:hAnsi="仿宋_GB2312" w:eastAsia="仿宋_GB2312" w:cs="仿宋_GB2312"/>
          <w:color w:val="000000"/>
          <w:sz w:val="24"/>
          <w:szCs w:val="24"/>
        </w:rPr>
        <w:t xml:space="preserve">代表：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或</w:t>
      </w:r>
      <w:r>
        <w:rPr>
          <w:rFonts w:hint="eastAsia" w:ascii="仿宋_GB2312" w:hAnsi="仿宋_GB2312" w:eastAsia="仿宋_GB2312" w:cs="仿宋_GB2312"/>
          <w:color w:val="000000"/>
          <w:sz w:val="24"/>
          <w:szCs w:val="24"/>
          <w:lang w:val="en-US" w:eastAsia="zh-CN"/>
        </w:rPr>
        <w:t>授权</w:t>
      </w:r>
      <w:r>
        <w:rPr>
          <w:rFonts w:hint="eastAsia" w:ascii="仿宋_GB2312" w:hAnsi="仿宋_GB2312" w:eastAsia="仿宋_GB2312" w:cs="仿宋_GB2312"/>
          <w:color w:val="000000"/>
          <w:sz w:val="24"/>
          <w:szCs w:val="24"/>
        </w:rPr>
        <w:t xml:space="preserve">代表：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 xml:space="preserve">签订日期：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签订日期</w:t>
      </w:r>
      <w:r>
        <w:rPr>
          <w:rFonts w:hint="eastAsia" w:ascii="仿宋_GB2312" w:hAnsi="仿宋_GB2312" w:eastAsia="仿宋_GB2312" w:cs="仿宋_GB2312"/>
          <w:color w:val="000000"/>
          <w:sz w:val="24"/>
          <w:szCs w:val="24"/>
          <w:lang w:eastAsia="zh-CN"/>
        </w:rPr>
        <w:t>：</w:t>
      </w:r>
    </w:p>
    <w:p>
      <w:pPr>
        <w:pStyle w:val="6"/>
        <w:rPr>
          <w:rFonts w:hint="default" w:ascii="宋体" w:hAnsi="宋体"/>
          <w:b/>
          <w:bCs/>
          <w:color w:val="FF0000"/>
          <w:sz w:val="32"/>
          <w:szCs w:val="32"/>
          <w:lang w:val="en-US" w:eastAsia="zh-CN"/>
        </w:rPr>
      </w:pPr>
    </w:p>
    <w:p>
      <w:pPr>
        <w:rPr>
          <w:rFonts w:hint="default"/>
          <w:lang w:val="en-US" w:eastAsia="zh-CN"/>
        </w:rPr>
      </w:pPr>
    </w:p>
    <w:p/>
    <w:sectPr>
      <w:headerReference r:id="rId3" w:type="default"/>
      <w:footerReference r:id="rId4" w:type="default"/>
      <w:pgSz w:w="11906" w:h="16838"/>
      <w:pgMar w:top="1440" w:right="1417"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1</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p>
    <w:pPr>
      <w:pStyle w:val="2"/>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pPr>
                      <w:spacing w:line="360" w:lineRule="exact"/>
                      <w:ind w:right="180"/>
                      <w:jc w:val="right"/>
                      <w:rPr>
                        <w:sz w:val="18"/>
                        <w:szCs w:val="18"/>
                      </w:rPr>
                    </w:pPr>
                  </w:p>
                </w:txbxContent>
              </v:textbox>
              <w10:wrap type="square"/>
            </v:shape>
          </w:pict>
        </mc:Fallback>
      </mc:AlternateContent>
    </w:r>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ZmE4NWE3ZTc3OGU5YjdkZmMwYmZkYzQxMzFmYTMifQ=="/>
  </w:docVars>
  <w:rsids>
    <w:rsidRoot w:val="00377E77"/>
    <w:rsid w:val="00080E82"/>
    <w:rsid w:val="00286F24"/>
    <w:rsid w:val="00295BA7"/>
    <w:rsid w:val="0031304A"/>
    <w:rsid w:val="00377E77"/>
    <w:rsid w:val="003B76EC"/>
    <w:rsid w:val="0044648A"/>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1C3BEB"/>
    <w:rsid w:val="01452AA5"/>
    <w:rsid w:val="01692279"/>
    <w:rsid w:val="01874D0F"/>
    <w:rsid w:val="018B2C0E"/>
    <w:rsid w:val="01B11A47"/>
    <w:rsid w:val="01BE4AF6"/>
    <w:rsid w:val="01E75868"/>
    <w:rsid w:val="0228699A"/>
    <w:rsid w:val="02CD67D2"/>
    <w:rsid w:val="02DB5955"/>
    <w:rsid w:val="02FD74D4"/>
    <w:rsid w:val="031C5D26"/>
    <w:rsid w:val="033C11D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2550C0"/>
    <w:rsid w:val="053A5FF4"/>
    <w:rsid w:val="054A6494"/>
    <w:rsid w:val="05555183"/>
    <w:rsid w:val="05634469"/>
    <w:rsid w:val="05A017DF"/>
    <w:rsid w:val="05D13DE9"/>
    <w:rsid w:val="05DD2775"/>
    <w:rsid w:val="060D56C3"/>
    <w:rsid w:val="06121BBF"/>
    <w:rsid w:val="0629197A"/>
    <w:rsid w:val="06351D6F"/>
    <w:rsid w:val="06551E88"/>
    <w:rsid w:val="06886D38"/>
    <w:rsid w:val="06971594"/>
    <w:rsid w:val="06B57D92"/>
    <w:rsid w:val="06C42AE0"/>
    <w:rsid w:val="070C41BB"/>
    <w:rsid w:val="0747120B"/>
    <w:rsid w:val="074A2893"/>
    <w:rsid w:val="074D04C1"/>
    <w:rsid w:val="074D24C2"/>
    <w:rsid w:val="07561822"/>
    <w:rsid w:val="07574736"/>
    <w:rsid w:val="07784D2E"/>
    <w:rsid w:val="07AB0576"/>
    <w:rsid w:val="07B63567"/>
    <w:rsid w:val="07C32218"/>
    <w:rsid w:val="07CC35F7"/>
    <w:rsid w:val="07E60079"/>
    <w:rsid w:val="07F26858"/>
    <w:rsid w:val="08105B9E"/>
    <w:rsid w:val="081D0290"/>
    <w:rsid w:val="0822685D"/>
    <w:rsid w:val="083B24A9"/>
    <w:rsid w:val="083C026A"/>
    <w:rsid w:val="088E7380"/>
    <w:rsid w:val="08AE4F3F"/>
    <w:rsid w:val="08AF5390"/>
    <w:rsid w:val="08CA553B"/>
    <w:rsid w:val="08F7532E"/>
    <w:rsid w:val="09560051"/>
    <w:rsid w:val="0957698D"/>
    <w:rsid w:val="095920CF"/>
    <w:rsid w:val="095F4605"/>
    <w:rsid w:val="09816EE4"/>
    <w:rsid w:val="098715B8"/>
    <w:rsid w:val="0999550E"/>
    <w:rsid w:val="09A77514"/>
    <w:rsid w:val="09CE6744"/>
    <w:rsid w:val="09EF20F3"/>
    <w:rsid w:val="09F938DF"/>
    <w:rsid w:val="0A021711"/>
    <w:rsid w:val="0A135D35"/>
    <w:rsid w:val="0A4B2E36"/>
    <w:rsid w:val="0A875AA6"/>
    <w:rsid w:val="0A974E91"/>
    <w:rsid w:val="0A9C2B56"/>
    <w:rsid w:val="0AD74629"/>
    <w:rsid w:val="0AF142C5"/>
    <w:rsid w:val="0B061635"/>
    <w:rsid w:val="0B0D7385"/>
    <w:rsid w:val="0B4F0EB0"/>
    <w:rsid w:val="0C2639B5"/>
    <w:rsid w:val="0C897DF8"/>
    <w:rsid w:val="0CA33AF7"/>
    <w:rsid w:val="0CC7252F"/>
    <w:rsid w:val="0CCA6F1A"/>
    <w:rsid w:val="0CD80FB6"/>
    <w:rsid w:val="0CDB634D"/>
    <w:rsid w:val="0D2640FB"/>
    <w:rsid w:val="0D5D5AC8"/>
    <w:rsid w:val="0DAD282A"/>
    <w:rsid w:val="0DCD73D4"/>
    <w:rsid w:val="0DE84494"/>
    <w:rsid w:val="0E157483"/>
    <w:rsid w:val="0E8B66C7"/>
    <w:rsid w:val="0EB473DE"/>
    <w:rsid w:val="0F205090"/>
    <w:rsid w:val="0F31498D"/>
    <w:rsid w:val="0F601B3A"/>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850115"/>
    <w:rsid w:val="12924115"/>
    <w:rsid w:val="12943237"/>
    <w:rsid w:val="12A27490"/>
    <w:rsid w:val="12B427A8"/>
    <w:rsid w:val="130D010A"/>
    <w:rsid w:val="138758AD"/>
    <w:rsid w:val="138D35BA"/>
    <w:rsid w:val="144C726A"/>
    <w:rsid w:val="14516A37"/>
    <w:rsid w:val="147075B1"/>
    <w:rsid w:val="14C602DB"/>
    <w:rsid w:val="14D473D9"/>
    <w:rsid w:val="14DA26BB"/>
    <w:rsid w:val="14E95E62"/>
    <w:rsid w:val="155415AA"/>
    <w:rsid w:val="15627EDD"/>
    <w:rsid w:val="158D5A96"/>
    <w:rsid w:val="159B231F"/>
    <w:rsid w:val="162709BF"/>
    <w:rsid w:val="162C5573"/>
    <w:rsid w:val="167772FE"/>
    <w:rsid w:val="16A73FF1"/>
    <w:rsid w:val="16B33D6C"/>
    <w:rsid w:val="16CE2DF1"/>
    <w:rsid w:val="175244AC"/>
    <w:rsid w:val="175A510E"/>
    <w:rsid w:val="175F32E3"/>
    <w:rsid w:val="176A0626"/>
    <w:rsid w:val="176B3553"/>
    <w:rsid w:val="179C3018"/>
    <w:rsid w:val="17BC51A7"/>
    <w:rsid w:val="17E22F5C"/>
    <w:rsid w:val="17EE5248"/>
    <w:rsid w:val="18394045"/>
    <w:rsid w:val="189C4D3A"/>
    <w:rsid w:val="18A81AF8"/>
    <w:rsid w:val="18DA1C61"/>
    <w:rsid w:val="1910640B"/>
    <w:rsid w:val="194F5560"/>
    <w:rsid w:val="19AF21CB"/>
    <w:rsid w:val="19BC275F"/>
    <w:rsid w:val="19BF644E"/>
    <w:rsid w:val="19D84033"/>
    <w:rsid w:val="1A1134D9"/>
    <w:rsid w:val="1A22137A"/>
    <w:rsid w:val="1A252FDF"/>
    <w:rsid w:val="1A5F04E9"/>
    <w:rsid w:val="1A6223BF"/>
    <w:rsid w:val="1A6D4B8A"/>
    <w:rsid w:val="1A802718"/>
    <w:rsid w:val="1AAA29E0"/>
    <w:rsid w:val="1AB62EC5"/>
    <w:rsid w:val="1AD36D55"/>
    <w:rsid w:val="1AD4302D"/>
    <w:rsid w:val="1AE07CCB"/>
    <w:rsid w:val="1AE300E9"/>
    <w:rsid w:val="1AE62938"/>
    <w:rsid w:val="1AF01232"/>
    <w:rsid w:val="1B0363E6"/>
    <w:rsid w:val="1B254619"/>
    <w:rsid w:val="1B3072A4"/>
    <w:rsid w:val="1B3A39A7"/>
    <w:rsid w:val="1BA442B5"/>
    <w:rsid w:val="1BE624A8"/>
    <w:rsid w:val="1C2503CF"/>
    <w:rsid w:val="1C331C9B"/>
    <w:rsid w:val="1C3A461F"/>
    <w:rsid w:val="1C583DAC"/>
    <w:rsid w:val="1C735BE1"/>
    <w:rsid w:val="1C7F25A2"/>
    <w:rsid w:val="1C99577A"/>
    <w:rsid w:val="1CDC6E4B"/>
    <w:rsid w:val="1D6F7DA2"/>
    <w:rsid w:val="1DA510CB"/>
    <w:rsid w:val="1DD41F50"/>
    <w:rsid w:val="1E2C54FA"/>
    <w:rsid w:val="1E553EB9"/>
    <w:rsid w:val="1EF652E1"/>
    <w:rsid w:val="1F2B0E21"/>
    <w:rsid w:val="1F793F7F"/>
    <w:rsid w:val="1F836367"/>
    <w:rsid w:val="1F861028"/>
    <w:rsid w:val="1FA2571F"/>
    <w:rsid w:val="20096994"/>
    <w:rsid w:val="205A54F3"/>
    <w:rsid w:val="20B31DCB"/>
    <w:rsid w:val="21093804"/>
    <w:rsid w:val="21197F58"/>
    <w:rsid w:val="216D5F5C"/>
    <w:rsid w:val="216E62F3"/>
    <w:rsid w:val="21916B6D"/>
    <w:rsid w:val="21A64B78"/>
    <w:rsid w:val="21B13D1D"/>
    <w:rsid w:val="21CA55C5"/>
    <w:rsid w:val="2204269B"/>
    <w:rsid w:val="22387007"/>
    <w:rsid w:val="22606ABC"/>
    <w:rsid w:val="22650C06"/>
    <w:rsid w:val="22AB2AC4"/>
    <w:rsid w:val="22C24A6D"/>
    <w:rsid w:val="22FF7597"/>
    <w:rsid w:val="231625B2"/>
    <w:rsid w:val="237A23D8"/>
    <w:rsid w:val="240B137D"/>
    <w:rsid w:val="24352F85"/>
    <w:rsid w:val="244A3359"/>
    <w:rsid w:val="25031E0F"/>
    <w:rsid w:val="2540519B"/>
    <w:rsid w:val="256A7B23"/>
    <w:rsid w:val="25C71449"/>
    <w:rsid w:val="25F215F0"/>
    <w:rsid w:val="26942D28"/>
    <w:rsid w:val="269770B2"/>
    <w:rsid w:val="26A36451"/>
    <w:rsid w:val="26E266C1"/>
    <w:rsid w:val="27157D02"/>
    <w:rsid w:val="27870264"/>
    <w:rsid w:val="27A45AD4"/>
    <w:rsid w:val="27E259BA"/>
    <w:rsid w:val="287B7CD5"/>
    <w:rsid w:val="28CD6169"/>
    <w:rsid w:val="28EA4FE6"/>
    <w:rsid w:val="28EC413F"/>
    <w:rsid w:val="290E5506"/>
    <w:rsid w:val="291E415D"/>
    <w:rsid w:val="295E666C"/>
    <w:rsid w:val="298160F4"/>
    <w:rsid w:val="29856D6E"/>
    <w:rsid w:val="299037CC"/>
    <w:rsid w:val="29A7027F"/>
    <w:rsid w:val="29E0554E"/>
    <w:rsid w:val="2A721527"/>
    <w:rsid w:val="2A747086"/>
    <w:rsid w:val="2ADA6A24"/>
    <w:rsid w:val="2AF56E78"/>
    <w:rsid w:val="2B151288"/>
    <w:rsid w:val="2B2758B4"/>
    <w:rsid w:val="2B8F6A94"/>
    <w:rsid w:val="2BAC2952"/>
    <w:rsid w:val="2C0D620D"/>
    <w:rsid w:val="2C9222B2"/>
    <w:rsid w:val="2CAE2760"/>
    <w:rsid w:val="2CC72354"/>
    <w:rsid w:val="2CE17AF6"/>
    <w:rsid w:val="2D0E3DF0"/>
    <w:rsid w:val="2D562DA3"/>
    <w:rsid w:val="2D6047CE"/>
    <w:rsid w:val="2D814792"/>
    <w:rsid w:val="2DA61B83"/>
    <w:rsid w:val="2DD16068"/>
    <w:rsid w:val="2E275983"/>
    <w:rsid w:val="2E5C30C4"/>
    <w:rsid w:val="2EB11F33"/>
    <w:rsid w:val="2EC914F5"/>
    <w:rsid w:val="2EE265FC"/>
    <w:rsid w:val="2EED037D"/>
    <w:rsid w:val="2EF45034"/>
    <w:rsid w:val="2F0D4219"/>
    <w:rsid w:val="2F1858E6"/>
    <w:rsid w:val="2F481357"/>
    <w:rsid w:val="2F5D6B4A"/>
    <w:rsid w:val="2F7FCDE2"/>
    <w:rsid w:val="2FD54191"/>
    <w:rsid w:val="2FF8776F"/>
    <w:rsid w:val="30343CBE"/>
    <w:rsid w:val="3057388E"/>
    <w:rsid w:val="30713E31"/>
    <w:rsid w:val="309F7328"/>
    <w:rsid w:val="30C01803"/>
    <w:rsid w:val="313D7A41"/>
    <w:rsid w:val="31737A8A"/>
    <w:rsid w:val="31DE7DDE"/>
    <w:rsid w:val="31EE54A1"/>
    <w:rsid w:val="31EF7C74"/>
    <w:rsid w:val="32235819"/>
    <w:rsid w:val="32680FEB"/>
    <w:rsid w:val="33775B8F"/>
    <w:rsid w:val="33C21F16"/>
    <w:rsid w:val="33C33DEA"/>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781CAB"/>
    <w:rsid w:val="3784008B"/>
    <w:rsid w:val="37870934"/>
    <w:rsid w:val="37935872"/>
    <w:rsid w:val="37AF1DE5"/>
    <w:rsid w:val="37EA44E4"/>
    <w:rsid w:val="38303DCF"/>
    <w:rsid w:val="38504E49"/>
    <w:rsid w:val="389D7EB4"/>
    <w:rsid w:val="38B5247B"/>
    <w:rsid w:val="38EE2D91"/>
    <w:rsid w:val="390126DC"/>
    <w:rsid w:val="39123F32"/>
    <w:rsid w:val="391D3D3D"/>
    <w:rsid w:val="39230C42"/>
    <w:rsid w:val="39847FBE"/>
    <w:rsid w:val="3A1D0C5F"/>
    <w:rsid w:val="3A416AF3"/>
    <w:rsid w:val="3A8C68EF"/>
    <w:rsid w:val="3AA1056B"/>
    <w:rsid w:val="3AC871CA"/>
    <w:rsid w:val="3AFE62AD"/>
    <w:rsid w:val="3B1309D9"/>
    <w:rsid w:val="3B1C043E"/>
    <w:rsid w:val="3B5D5507"/>
    <w:rsid w:val="3B7207E0"/>
    <w:rsid w:val="3B80764B"/>
    <w:rsid w:val="3B96028D"/>
    <w:rsid w:val="3BB373DD"/>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CD1F19"/>
    <w:rsid w:val="40E73CA3"/>
    <w:rsid w:val="40F74DC4"/>
    <w:rsid w:val="416D0A93"/>
    <w:rsid w:val="416F34E5"/>
    <w:rsid w:val="41C35FA3"/>
    <w:rsid w:val="41D177C9"/>
    <w:rsid w:val="41E96082"/>
    <w:rsid w:val="41FC51CB"/>
    <w:rsid w:val="42000DBB"/>
    <w:rsid w:val="420B40EC"/>
    <w:rsid w:val="42220C18"/>
    <w:rsid w:val="424937EF"/>
    <w:rsid w:val="426233F1"/>
    <w:rsid w:val="42AD2876"/>
    <w:rsid w:val="42B95235"/>
    <w:rsid w:val="42D41D58"/>
    <w:rsid w:val="430624C6"/>
    <w:rsid w:val="43682CA2"/>
    <w:rsid w:val="436A512C"/>
    <w:rsid w:val="43AE69E2"/>
    <w:rsid w:val="43D93E6B"/>
    <w:rsid w:val="43E87B28"/>
    <w:rsid w:val="43F57082"/>
    <w:rsid w:val="43F71712"/>
    <w:rsid w:val="44385D88"/>
    <w:rsid w:val="44522D00"/>
    <w:rsid w:val="44752007"/>
    <w:rsid w:val="45301DEA"/>
    <w:rsid w:val="453C55F1"/>
    <w:rsid w:val="4547662A"/>
    <w:rsid w:val="455E71E3"/>
    <w:rsid w:val="455F58A4"/>
    <w:rsid w:val="458F08D8"/>
    <w:rsid w:val="45922074"/>
    <w:rsid w:val="45C63529"/>
    <w:rsid w:val="45C71D87"/>
    <w:rsid w:val="46000BFC"/>
    <w:rsid w:val="460627C9"/>
    <w:rsid w:val="4640104E"/>
    <w:rsid w:val="464B62C7"/>
    <w:rsid w:val="46651261"/>
    <w:rsid w:val="46674809"/>
    <w:rsid w:val="46713CC7"/>
    <w:rsid w:val="46802FC8"/>
    <w:rsid w:val="46B26934"/>
    <w:rsid w:val="46B9142D"/>
    <w:rsid w:val="47037533"/>
    <w:rsid w:val="47197C97"/>
    <w:rsid w:val="47795A1B"/>
    <w:rsid w:val="47904D47"/>
    <w:rsid w:val="47A85928"/>
    <w:rsid w:val="47BB6E7E"/>
    <w:rsid w:val="47D25D21"/>
    <w:rsid w:val="47EA265E"/>
    <w:rsid w:val="487E3345"/>
    <w:rsid w:val="48953C10"/>
    <w:rsid w:val="48A24101"/>
    <w:rsid w:val="48EE4471"/>
    <w:rsid w:val="48FC638A"/>
    <w:rsid w:val="49007C8C"/>
    <w:rsid w:val="49276F2E"/>
    <w:rsid w:val="49495117"/>
    <w:rsid w:val="49630D4C"/>
    <w:rsid w:val="4977752B"/>
    <w:rsid w:val="498F28D1"/>
    <w:rsid w:val="49B81958"/>
    <w:rsid w:val="49DF3538"/>
    <w:rsid w:val="4A282C13"/>
    <w:rsid w:val="4A5312D3"/>
    <w:rsid w:val="4A673701"/>
    <w:rsid w:val="4ABA6354"/>
    <w:rsid w:val="4AC62A9D"/>
    <w:rsid w:val="4ADA779D"/>
    <w:rsid w:val="4AED1AA7"/>
    <w:rsid w:val="4AEE791F"/>
    <w:rsid w:val="4B171404"/>
    <w:rsid w:val="4B39244D"/>
    <w:rsid w:val="4B4057E7"/>
    <w:rsid w:val="4B49685A"/>
    <w:rsid w:val="4B8F7597"/>
    <w:rsid w:val="4BB530E0"/>
    <w:rsid w:val="4BC16D1C"/>
    <w:rsid w:val="4BCA17A7"/>
    <w:rsid w:val="4BE24E3A"/>
    <w:rsid w:val="4C1D08F9"/>
    <w:rsid w:val="4C40574E"/>
    <w:rsid w:val="4C5A28C7"/>
    <w:rsid w:val="4C7E0836"/>
    <w:rsid w:val="4CCC524F"/>
    <w:rsid w:val="4D3771C8"/>
    <w:rsid w:val="4D4E6B20"/>
    <w:rsid w:val="4D573446"/>
    <w:rsid w:val="4D6E0FB7"/>
    <w:rsid w:val="4D6E75E8"/>
    <w:rsid w:val="4D785DBE"/>
    <w:rsid w:val="4D906F84"/>
    <w:rsid w:val="4D9B7AE1"/>
    <w:rsid w:val="4DBB14AE"/>
    <w:rsid w:val="4E6C2DA7"/>
    <w:rsid w:val="4EAC54CF"/>
    <w:rsid w:val="4EC1060E"/>
    <w:rsid w:val="4EC56875"/>
    <w:rsid w:val="4EFB456B"/>
    <w:rsid w:val="4F513D5F"/>
    <w:rsid w:val="4F7312EE"/>
    <w:rsid w:val="4FB43CBE"/>
    <w:rsid w:val="4FE0147F"/>
    <w:rsid w:val="50550202"/>
    <w:rsid w:val="50C06D1F"/>
    <w:rsid w:val="50FC56A3"/>
    <w:rsid w:val="51095EB7"/>
    <w:rsid w:val="51173C66"/>
    <w:rsid w:val="511E46D5"/>
    <w:rsid w:val="51513818"/>
    <w:rsid w:val="515E0CCC"/>
    <w:rsid w:val="517E1B7C"/>
    <w:rsid w:val="51997656"/>
    <w:rsid w:val="51D12E85"/>
    <w:rsid w:val="51EF7715"/>
    <w:rsid w:val="52006FED"/>
    <w:rsid w:val="52007258"/>
    <w:rsid w:val="52496CF3"/>
    <w:rsid w:val="52696687"/>
    <w:rsid w:val="52750578"/>
    <w:rsid w:val="52A74AA4"/>
    <w:rsid w:val="52E266E0"/>
    <w:rsid w:val="52E67553"/>
    <w:rsid w:val="530A2FBB"/>
    <w:rsid w:val="531F664E"/>
    <w:rsid w:val="533D335A"/>
    <w:rsid w:val="53444042"/>
    <w:rsid w:val="53601D0A"/>
    <w:rsid w:val="53A65241"/>
    <w:rsid w:val="53E201C4"/>
    <w:rsid w:val="53EC783E"/>
    <w:rsid w:val="540A7D6B"/>
    <w:rsid w:val="541C5D33"/>
    <w:rsid w:val="541E0068"/>
    <w:rsid w:val="542354A4"/>
    <w:rsid w:val="544401CA"/>
    <w:rsid w:val="546A089D"/>
    <w:rsid w:val="546F445C"/>
    <w:rsid w:val="547F1CDB"/>
    <w:rsid w:val="54DB4C0A"/>
    <w:rsid w:val="54F358D6"/>
    <w:rsid w:val="55074E47"/>
    <w:rsid w:val="55164B83"/>
    <w:rsid w:val="553E06E6"/>
    <w:rsid w:val="555179AA"/>
    <w:rsid w:val="559714A5"/>
    <w:rsid w:val="55AC06B4"/>
    <w:rsid w:val="55CE7EE0"/>
    <w:rsid w:val="55CF6D0F"/>
    <w:rsid w:val="560B34A7"/>
    <w:rsid w:val="56617846"/>
    <w:rsid w:val="56BB18C3"/>
    <w:rsid w:val="56FD0C29"/>
    <w:rsid w:val="571A2781"/>
    <w:rsid w:val="575C08FE"/>
    <w:rsid w:val="57610F7E"/>
    <w:rsid w:val="57967344"/>
    <w:rsid w:val="57B4793B"/>
    <w:rsid w:val="57E23853"/>
    <w:rsid w:val="580674DD"/>
    <w:rsid w:val="58137E7C"/>
    <w:rsid w:val="585050BF"/>
    <w:rsid w:val="585D1C9C"/>
    <w:rsid w:val="586B418D"/>
    <w:rsid w:val="5886610B"/>
    <w:rsid w:val="58D033F2"/>
    <w:rsid w:val="590A3C20"/>
    <w:rsid w:val="5933411F"/>
    <w:rsid w:val="59483BF5"/>
    <w:rsid w:val="59BB44F7"/>
    <w:rsid w:val="59EB3ADD"/>
    <w:rsid w:val="5A6A261F"/>
    <w:rsid w:val="5AD00DCE"/>
    <w:rsid w:val="5B0171D9"/>
    <w:rsid w:val="5B031993"/>
    <w:rsid w:val="5B0E4D86"/>
    <w:rsid w:val="5B3160A7"/>
    <w:rsid w:val="5B881C80"/>
    <w:rsid w:val="5BBB2BB0"/>
    <w:rsid w:val="5BFB3952"/>
    <w:rsid w:val="5C0476C3"/>
    <w:rsid w:val="5C1A77E6"/>
    <w:rsid w:val="5C6137C8"/>
    <w:rsid w:val="5C725F5D"/>
    <w:rsid w:val="5C8C5A76"/>
    <w:rsid w:val="5CE255E1"/>
    <w:rsid w:val="5D1A67DC"/>
    <w:rsid w:val="5D264739"/>
    <w:rsid w:val="5D2907BD"/>
    <w:rsid w:val="5E007D69"/>
    <w:rsid w:val="5E0400DD"/>
    <w:rsid w:val="5E6827D5"/>
    <w:rsid w:val="5E7F7D22"/>
    <w:rsid w:val="5EC01341"/>
    <w:rsid w:val="5ED43766"/>
    <w:rsid w:val="5F0454F9"/>
    <w:rsid w:val="5F507BA7"/>
    <w:rsid w:val="5F9F13B6"/>
    <w:rsid w:val="5FA2358C"/>
    <w:rsid w:val="5FBD09DB"/>
    <w:rsid w:val="5FE675B0"/>
    <w:rsid w:val="5FEE7037"/>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9C0749"/>
    <w:rsid w:val="61B83291"/>
    <w:rsid w:val="61CB5160"/>
    <w:rsid w:val="61FB69A8"/>
    <w:rsid w:val="621F1B17"/>
    <w:rsid w:val="622D3289"/>
    <w:rsid w:val="6266219C"/>
    <w:rsid w:val="62750475"/>
    <w:rsid w:val="627546ED"/>
    <w:rsid w:val="629F008B"/>
    <w:rsid w:val="62C26F2D"/>
    <w:rsid w:val="62E04931"/>
    <w:rsid w:val="63233B50"/>
    <w:rsid w:val="63301CF5"/>
    <w:rsid w:val="63665830"/>
    <w:rsid w:val="63A33BBD"/>
    <w:rsid w:val="64284052"/>
    <w:rsid w:val="6429099E"/>
    <w:rsid w:val="647555F7"/>
    <w:rsid w:val="647B3309"/>
    <w:rsid w:val="64B35BE6"/>
    <w:rsid w:val="64BC5621"/>
    <w:rsid w:val="64C00EAA"/>
    <w:rsid w:val="64C9512D"/>
    <w:rsid w:val="6526689E"/>
    <w:rsid w:val="653D4716"/>
    <w:rsid w:val="654A79CF"/>
    <w:rsid w:val="6552427C"/>
    <w:rsid w:val="655E5AFC"/>
    <w:rsid w:val="658736E4"/>
    <w:rsid w:val="65B940C9"/>
    <w:rsid w:val="65FF7564"/>
    <w:rsid w:val="66353CC9"/>
    <w:rsid w:val="66A85805"/>
    <w:rsid w:val="66FC729A"/>
    <w:rsid w:val="671342EB"/>
    <w:rsid w:val="67D8638F"/>
    <w:rsid w:val="6803353F"/>
    <w:rsid w:val="685607DF"/>
    <w:rsid w:val="685E563F"/>
    <w:rsid w:val="6898128A"/>
    <w:rsid w:val="68B60B5B"/>
    <w:rsid w:val="68D1417E"/>
    <w:rsid w:val="690C6FAA"/>
    <w:rsid w:val="690E1FC4"/>
    <w:rsid w:val="692E3A9D"/>
    <w:rsid w:val="697056F5"/>
    <w:rsid w:val="69CC5C96"/>
    <w:rsid w:val="69E33953"/>
    <w:rsid w:val="6A2567AA"/>
    <w:rsid w:val="6A53231B"/>
    <w:rsid w:val="6AC62FBB"/>
    <w:rsid w:val="6B252027"/>
    <w:rsid w:val="6B2C3A54"/>
    <w:rsid w:val="6B321FCD"/>
    <w:rsid w:val="6B3833C1"/>
    <w:rsid w:val="6B8055ED"/>
    <w:rsid w:val="6BBF6767"/>
    <w:rsid w:val="6BD519A9"/>
    <w:rsid w:val="6BFE5571"/>
    <w:rsid w:val="6C2D3F35"/>
    <w:rsid w:val="6C420E9C"/>
    <w:rsid w:val="6C4C6E1C"/>
    <w:rsid w:val="6C6A3F4B"/>
    <w:rsid w:val="6CA40DC2"/>
    <w:rsid w:val="6CAF3D11"/>
    <w:rsid w:val="6CBF4F2D"/>
    <w:rsid w:val="6CD05DCC"/>
    <w:rsid w:val="6CDB78C8"/>
    <w:rsid w:val="6D0205BA"/>
    <w:rsid w:val="6D845474"/>
    <w:rsid w:val="6DBE774E"/>
    <w:rsid w:val="6DE61751"/>
    <w:rsid w:val="6DE96CB8"/>
    <w:rsid w:val="6DF167E1"/>
    <w:rsid w:val="6E8B52E0"/>
    <w:rsid w:val="6F507774"/>
    <w:rsid w:val="6F5C60D4"/>
    <w:rsid w:val="6F627207"/>
    <w:rsid w:val="6F8A62CB"/>
    <w:rsid w:val="6F8C3A16"/>
    <w:rsid w:val="6FD2187C"/>
    <w:rsid w:val="70005BAF"/>
    <w:rsid w:val="70081862"/>
    <w:rsid w:val="703029D2"/>
    <w:rsid w:val="706C0B9A"/>
    <w:rsid w:val="70734B34"/>
    <w:rsid w:val="707F24A7"/>
    <w:rsid w:val="709A3D9E"/>
    <w:rsid w:val="70AD066A"/>
    <w:rsid w:val="70C473C9"/>
    <w:rsid w:val="70D078E2"/>
    <w:rsid w:val="70E414CB"/>
    <w:rsid w:val="71044D9D"/>
    <w:rsid w:val="71055CE7"/>
    <w:rsid w:val="71226BED"/>
    <w:rsid w:val="71588351"/>
    <w:rsid w:val="715A3DCB"/>
    <w:rsid w:val="71685132"/>
    <w:rsid w:val="71852CD8"/>
    <w:rsid w:val="71A14423"/>
    <w:rsid w:val="71E028A3"/>
    <w:rsid w:val="72017BB8"/>
    <w:rsid w:val="7204421B"/>
    <w:rsid w:val="720D6687"/>
    <w:rsid w:val="722F2E4C"/>
    <w:rsid w:val="72504C13"/>
    <w:rsid w:val="72530714"/>
    <w:rsid w:val="72546013"/>
    <w:rsid w:val="727F38FA"/>
    <w:rsid w:val="72993A93"/>
    <w:rsid w:val="72BD2D0C"/>
    <w:rsid w:val="72CD4069"/>
    <w:rsid w:val="7348765D"/>
    <w:rsid w:val="73642249"/>
    <w:rsid w:val="737F7858"/>
    <w:rsid w:val="73B02321"/>
    <w:rsid w:val="73E65158"/>
    <w:rsid w:val="74045844"/>
    <w:rsid w:val="742749F8"/>
    <w:rsid w:val="74783628"/>
    <w:rsid w:val="74980256"/>
    <w:rsid w:val="74A2511E"/>
    <w:rsid w:val="74D62DA3"/>
    <w:rsid w:val="751F4274"/>
    <w:rsid w:val="757165DA"/>
    <w:rsid w:val="75CA5D3F"/>
    <w:rsid w:val="75EA6DDE"/>
    <w:rsid w:val="75FD6864"/>
    <w:rsid w:val="761C62F6"/>
    <w:rsid w:val="76273A62"/>
    <w:rsid w:val="765C411D"/>
    <w:rsid w:val="765C6F7D"/>
    <w:rsid w:val="76654940"/>
    <w:rsid w:val="766559B4"/>
    <w:rsid w:val="766E5645"/>
    <w:rsid w:val="7673220A"/>
    <w:rsid w:val="76AD08F4"/>
    <w:rsid w:val="76AE52F4"/>
    <w:rsid w:val="76DC3792"/>
    <w:rsid w:val="76F61CB7"/>
    <w:rsid w:val="77056E1C"/>
    <w:rsid w:val="77094A2E"/>
    <w:rsid w:val="770B7945"/>
    <w:rsid w:val="770C1A51"/>
    <w:rsid w:val="771760BD"/>
    <w:rsid w:val="77583A51"/>
    <w:rsid w:val="776B58C1"/>
    <w:rsid w:val="77A94A1A"/>
    <w:rsid w:val="77AA0845"/>
    <w:rsid w:val="77C70A27"/>
    <w:rsid w:val="77D97C19"/>
    <w:rsid w:val="78077A4A"/>
    <w:rsid w:val="782E7E31"/>
    <w:rsid w:val="78383184"/>
    <w:rsid w:val="78795CD6"/>
    <w:rsid w:val="790D5F92"/>
    <w:rsid w:val="791F0849"/>
    <w:rsid w:val="79340D5C"/>
    <w:rsid w:val="794357FD"/>
    <w:rsid w:val="797A5D25"/>
    <w:rsid w:val="798950D1"/>
    <w:rsid w:val="798B1458"/>
    <w:rsid w:val="799856B5"/>
    <w:rsid w:val="7A096E1D"/>
    <w:rsid w:val="7A247909"/>
    <w:rsid w:val="7A490D2F"/>
    <w:rsid w:val="7A5710C6"/>
    <w:rsid w:val="7A5756EB"/>
    <w:rsid w:val="7A5A246A"/>
    <w:rsid w:val="7A6E6AF6"/>
    <w:rsid w:val="7A921639"/>
    <w:rsid w:val="7AA01263"/>
    <w:rsid w:val="7AD31C0E"/>
    <w:rsid w:val="7AFD2B2A"/>
    <w:rsid w:val="7B113279"/>
    <w:rsid w:val="7B2C5641"/>
    <w:rsid w:val="7B31273F"/>
    <w:rsid w:val="7B60022D"/>
    <w:rsid w:val="7B6479D0"/>
    <w:rsid w:val="7BFB3417"/>
    <w:rsid w:val="7BFC2507"/>
    <w:rsid w:val="7C1A2DA4"/>
    <w:rsid w:val="7C4B12FE"/>
    <w:rsid w:val="7C9E730A"/>
    <w:rsid w:val="7CBBCA35"/>
    <w:rsid w:val="7D0278A8"/>
    <w:rsid w:val="7D107B6E"/>
    <w:rsid w:val="7D596D6C"/>
    <w:rsid w:val="7D787E00"/>
    <w:rsid w:val="7D9F1826"/>
    <w:rsid w:val="7DAF234C"/>
    <w:rsid w:val="7DBB0DEA"/>
    <w:rsid w:val="7DCA65AC"/>
    <w:rsid w:val="7DE329CE"/>
    <w:rsid w:val="7E3A03D7"/>
    <w:rsid w:val="7E3A13EE"/>
    <w:rsid w:val="7E453A68"/>
    <w:rsid w:val="7E680042"/>
    <w:rsid w:val="7EA1105B"/>
    <w:rsid w:val="7EA741D8"/>
    <w:rsid w:val="7EBB3930"/>
    <w:rsid w:val="7EE7349E"/>
    <w:rsid w:val="7EE94CBB"/>
    <w:rsid w:val="7F2BFCB7"/>
    <w:rsid w:val="7F37016E"/>
    <w:rsid w:val="7F686EE0"/>
    <w:rsid w:val="7FAD7090"/>
    <w:rsid w:val="9FBEB730"/>
    <w:rsid w:val="DAFD08E4"/>
    <w:rsid w:val="DFC728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footer"/>
    <w:basedOn w:val="1"/>
    <w:link w:val="30"/>
    <w:unhideWhenUsed/>
    <w:qFormat/>
    <w:uiPriority w:val="99"/>
    <w:pPr>
      <w:tabs>
        <w:tab w:val="center" w:pos="4153"/>
        <w:tab w:val="right" w:pos="8306"/>
      </w:tabs>
      <w:snapToGrid w:val="0"/>
      <w:jc w:val="left"/>
    </w:pPr>
    <w:rPr>
      <w:sz w:val="18"/>
      <w:szCs w:val="18"/>
    </w:rPr>
  </w:style>
  <w:style w:type="paragraph" w:styleId="7">
    <w:name w:val="Normal Indent"/>
    <w:basedOn w:val="1"/>
    <w:qFormat/>
    <w:uiPriority w:val="0"/>
    <w:pPr>
      <w:ind w:firstLine="420"/>
    </w:pPr>
    <w:rPr>
      <w:szCs w:val="20"/>
    </w:rPr>
  </w:style>
  <w:style w:type="paragraph" w:styleId="8">
    <w:name w:val="annotation text"/>
    <w:basedOn w:val="1"/>
    <w:semiHidden/>
    <w:qFormat/>
    <w:uiPriority w:val="99"/>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qFormat/>
    <w:uiPriority w:val="0"/>
    <w:pPr>
      <w:spacing w:after="120"/>
    </w:pPr>
  </w:style>
  <w:style w:type="paragraph" w:styleId="11">
    <w:name w:val="Body Text Indent"/>
    <w:basedOn w:val="1"/>
    <w:next w:val="12"/>
    <w:qFormat/>
    <w:uiPriority w:val="0"/>
    <w:pPr>
      <w:ind w:firstLine="830" w:firstLineChars="352"/>
    </w:pPr>
    <w:rPr>
      <w:rFonts w:ascii="仿宋_GB2312" w:eastAsia="仿宋_GB2312"/>
      <w:kern w:val="0"/>
      <w:sz w:val="32"/>
      <w:szCs w:val="20"/>
    </w:rPr>
  </w:style>
  <w:style w:type="paragraph" w:styleId="12">
    <w:name w:val="envelope return"/>
    <w:basedOn w:val="1"/>
    <w:qFormat/>
    <w:uiPriority w:val="0"/>
    <w:pPr>
      <w:snapToGrid w:val="0"/>
    </w:pPr>
    <w:rPr>
      <w:rFonts w:ascii="Arial" w:hAnsi="Arial"/>
    </w:rPr>
  </w:style>
  <w:style w:type="paragraph" w:styleId="13">
    <w:name w:val="Block Text"/>
    <w:basedOn w:val="1"/>
    <w:qFormat/>
    <w:uiPriority w:val="0"/>
    <w:pPr>
      <w:ind w:left="1440" w:leftChars="700" w:right="700" w:rightChars="700"/>
    </w:pPr>
  </w:style>
  <w:style w:type="paragraph" w:styleId="14">
    <w:name w:val="Plain Text"/>
    <w:basedOn w:val="1"/>
    <w:next w:val="1"/>
    <w:qFormat/>
    <w:uiPriority w:val="0"/>
    <w:rPr>
      <w:rFonts w:ascii="宋体" w:eastAsia="宋体" w:cs="Courier New"/>
      <w:szCs w:val="21"/>
    </w:rPr>
  </w:style>
  <w:style w:type="paragraph" w:styleId="15">
    <w:name w:val="header"/>
    <w:basedOn w:val="1"/>
    <w:next w:val="13"/>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Indent 3"/>
    <w:basedOn w:val="1"/>
    <w:qFormat/>
    <w:uiPriority w:val="0"/>
    <w:pPr>
      <w:ind w:firstLine="720"/>
    </w:pPr>
    <w:rPr>
      <w:sz w:val="28"/>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index 1"/>
    <w:basedOn w:val="1"/>
    <w:next w:val="1"/>
    <w:semiHidden/>
    <w:qFormat/>
    <w:uiPriority w:val="0"/>
    <w:pPr>
      <w:spacing w:line="400" w:lineRule="exact"/>
      <w:ind w:firstLine="420" w:firstLineChars="200"/>
    </w:pPr>
    <w:rPr>
      <w:rFonts w:ascii="宋体" w:hAnsi="Courier New"/>
      <w:b/>
      <w:szCs w:val="20"/>
    </w:rPr>
  </w:style>
  <w:style w:type="paragraph" w:styleId="20">
    <w:name w:val="Body Text First Indent"/>
    <w:basedOn w:val="10"/>
    <w:next w:val="1"/>
    <w:qFormat/>
    <w:uiPriority w:val="0"/>
    <w:pPr>
      <w:ind w:firstLine="420" w:firstLineChars="100"/>
    </w:pPr>
    <w:rPr>
      <w:rFonts w:ascii="宋体" w:hAnsi="Courier New"/>
      <w:kern w:val="0"/>
      <w:sz w:val="20"/>
      <w:szCs w:val="21"/>
    </w:rPr>
  </w:style>
  <w:style w:type="table" w:styleId="22">
    <w:name w:val="Table Grid"/>
    <w:basedOn w:val="21"/>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FollowedHyperlink"/>
    <w:basedOn w:val="23"/>
    <w:unhideWhenUsed/>
    <w:qFormat/>
    <w:uiPriority w:val="99"/>
    <w:rPr>
      <w:color w:val="800080"/>
      <w:u w:val="single"/>
    </w:rPr>
  </w:style>
  <w:style w:type="character" w:styleId="26">
    <w:name w:val="Hyperlink"/>
    <w:basedOn w:val="23"/>
    <w:unhideWhenUsed/>
    <w:qFormat/>
    <w:uiPriority w:val="99"/>
    <w:rPr>
      <w:color w:val="0000FF"/>
      <w:u w:val="single"/>
    </w:rPr>
  </w:style>
  <w:style w:type="paragraph" w:customStyle="1" w:styleId="27">
    <w:name w:val="表格文字"/>
    <w:basedOn w:val="11"/>
    <w:unhideWhenUsed/>
    <w:qFormat/>
    <w:uiPriority w:val="0"/>
    <w:pPr>
      <w:spacing w:before="25" w:beforeLines="0" w:after="25" w:afterLines="0"/>
      <w:jc w:val="left"/>
    </w:pPr>
    <w:rPr>
      <w:rFonts w:hint="default"/>
      <w:spacing w:val="10"/>
      <w:kern w:val="0"/>
      <w:sz w:val="24"/>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3"/>
    <w:link w:val="15"/>
    <w:qFormat/>
    <w:uiPriority w:val="99"/>
    <w:rPr>
      <w:sz w:val="18"/>
      <w:szCs w:val="18"/>
    </w:rPr>
  </w:style>
  <w:style w:type="character" w:customStyle="1" w:styleId="30">
    <w:name w:val="页脚 字符"/>
    <w:basedOn w:val="23"/>
    <w:link w:val="2"/>
    <w:qFormat/>
    <w:uiPriority w:val="99"/>
    <w:rPr>
      <w:sz w:val="18"/>
      <w:szCs w:val="18"/>
    </w:rPr>
  </w:style>
  <w:style w:type="paragraph" w:customStyle="1"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3"/>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customStyle="1" w:styleId="39">
    <w:name w:val="首行缩进"/>
    <w:basedOn w:val="1"/>
    <w:qFormat/>
    <w:uiPriority w:val="0"/>
    <w:pPr>
      <w:ind w:firstLine="480" w:firstLineChars="200"/>
    </w:pPr>
    <w:rPr>
      <w:szCs w:val="20"/>
    </w:rPr>
  </w:style>
  <w:style w:type="paragraph" w:customStyle="1" w:styleId="40">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1">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qFormat/>
    <w:uiPriority w:val="0"/>
    <w:pPr>
      <w:spacing w:before="50" w:beforeLines="50" w:after="0" w:afterLines="0"/>
    </w:pPr>
    <w:rPr>
      <w:rFonts w:ascii="宋体" w:hAnsi="宋体" w:eastAsia="宋体"/>
      <w:sz w:val="28"/>
      <w:szCs w:val="28"/>
    </w:rPr>
  </w:style>
  <w:style w:type="paragraph" w:customStyle="1" w:styleId="43">
    <w:name w:val="采购三"/>
    <w:basedOn w:val="42"/>
    <w:qFormat/>
    <w:uiPriority w:val="0"/>
    <w:pPr>
      <w:spacing w:before="50" w:beforeLines="50" w:after="50" w:afterLines="50" w:line="240" w:lineRule="auto"/>
      <w:jc w:val="left"/>
    </w:pPr>
    <w:rPr>
      <w:sz w:val="24"/>
      <w:lang w:bidi="zh-CN"/>
    </w:rPr>
  </w:style>
  <w:style w:type="paragraph" w:customStyle="1" w:styleId="44">
    <w:name w:val="Normal_0"/>
    <w:qFormat/>
    <w:uiPriority w:val="0"/>
    <w:rPr>
      <w:rFonts w:eastAsia="Times New Roman" w:asciiTheme="minorHAnsi" w:hAnsiTheme="minorHAnsi" w:cstheme="minorBidi"/>
      <w:sz w:val="24"/>
      <w:szCs w:val="24"/>
      <w:lang w:val="en-US" w:eastAsia="zh-CN" w:bidi="ar-SA"/>
    </w:rPr>
  </w:style>
  <w:style w:type="paragraph" w:customStyle="1" w:styleId="4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47">
    <w:name w:val="font41"/>
    <w:basedOn w:val="23"/>
    <w:qFormat/>
    <w:uiPriority w:val="0"/>
    <w:rPr>
      <w:rFonts w:hint="default" w:ascii="Calibri" w:hAnsi="Calibri" w:cs="Calibri"/>
      <w:b/>
      <w:bCs/>
      <w:color w:val="000000"/>
      <w:sz w:val="22"/>
      <w:szCs w:val="22"/>
      <w:u w:val="none"/>
    </w:rPr>
  </w:style>
  <w:style w:type="character" w:customStyle="1" w:styleId="48">
    <w:name w:val="font51"/>
    <w:basedOn w:val="23"/>
    <w:qFormat/>
    <w:uiPriority w:val="0"/>
    <w:rPr>
      <w:rFonts w:hint="eastAsia" w:ascii="宋体" w:hAnsi="宋体" w:eastAsia="宋体" w:cs="宋体"/>
      <w:b/>
      <w:bCs/>
      <w:color w:val="000000"/>
      <w:sz w:val="22"/>
      <w:szCs w:val="22"/>
      <w:u w:val="none"/>
    </w:rPr>
  </w:style>
  <w:style w:type="character" w:customStyle="1" w:styleId="49">
    <w:name w:val="font31"/>
    <w:basedOn w:val="23"/>
    <w:qFormat/>
    <w:uiPriority w:val="0"/>
    <w:rPr>
      <w:rFonts w:hint="eastAsia" w:ascii="宋体" w:hAnsi="宋体" w:eastAsia="宋体" w:cs="宋体"/>
      <w:color w:val="000000"/>
      <w:sz w:val="22"/>
      <w:szCs w:val="22"/>
      <w:u w:val="none"/>
    </w:rPr>
  </w:style>
  <w:style w:type="character" w:customStyle="1" w:styleId="50">
    <w:name w:val="font61"/>
    <w:basedOn w:val="23"/>
    <w:qFormat/>
    <w:uiPriority w:val="0"/>
    <w:rPr>
      <w:rFonts w:hint="default" w:ascii="Calibri" w:hAnsi="Calibri" w:cs="Calibri"/>
      <w:b/>
      <w:color w:val="000000"/>
      <w:sz w:val="22"/>
      <w:szCs w:val="22"/>
      <w:u w:val="none"/>
    </w:rPr>
  </w:style>
  <w:style w:type="character" w:customStyle="1" w:styleId="51">
    <w:name w:val="font71"/>
    <w:basedOn w:val="23"/>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12492</Words>
  <Characters>13408</Characters>
  <Lines>54</Lines>
  <Paragraphs>15</Paragraphs>
  <TotalTime>3</TotalTime>
  <ScaleCrop>false</ScaleCrop>
  <LinksUpToDate>false</LinksUpToDate>
  <CharactersWithSpaces>14517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逆光的微笑</cp:lastModifiedBy>
  <dcterms:modified xsi:type="dcterms:W3CDTF">2024-06-25T09:03:31Z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6CFDE853318C4824BD7AD070135424EC_13</vt:lpwstr>
  </property>
</Properties>
</file>