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left"/>
        <w:rPr>
          <w:rFonts w:hint="default" w:eastAsia="黑体"/>
          <w:sz w:val="32"/>
          <w:szCs w:val="32"/>
          <w:lang w:val="en-US" w:eastAsia="zh-CN"/>
        </w:rPr>
      </w:pPr>
      <w:r>
        <w:rPr>
          <w:rFonts w:hint="eastAsia"/>
          <w:sz w:val="32"/>
          <w:szCs w:val="32"/>
          <w:lang w:val="en-US" w:eastAsia="zh-CN"/>
        </w:rPr>
        <w:t>附件1</w:t>
      </w:r>
    </w:p>
    <w:p/>
    <w:p>
      <w:pPr>
        <w:pStyle w:val="2"/>
        <w:numPr>
          <w:ilvl w:val="0"/>
          <w:numId w:val="0"/>
        </w:numPr>
        <w:jc w:val="both"/>
      </w:pPr>
    </w:p>
    <w:p>
      <w:pPr>
        <w:snapToGrid w:val="0"/>
        <w:spacing w:beforeLines="50" w:line="360" w:lineRule="auto"/>
        <w:jc w:val="center"/>
        <w:rPr>
          <w:rFonts w:ascii="宋体" w:hAnsi="宋体" w:eastAsia="宋体" w:cs="宋体"/>
          <w:b/>
          <w:bCs/>
          <w:sz w:val="36"/>
          <w:szCs w:val="36"/>
        </w:rPr>
      </w:pPr>
      <w:r>
        <w:rPr>
          <w:rFonts w:hint="eastAsia" w:ascii="宋体" w:hAnsi="宋体" w:eastAsia="宋体" w:cs="宋体"/>
          <w:b/>
          <w:sz w:val="72"/>
          <w:szCs w:val="72"/>
        </w:rPr>
        <w:t>采购文件</w:t>
      </w:r>
    </w:p>
    <w:p>
      <w:pPr>
        <w:pStyle w:val="5"/>
        <w:rPr>
          <w:rFonts w:ascii="宋体" w:hAnsi="宋体" w:eastAsia="宋体" w:cs="宋体"/>
          <w:b/>
          <w:bCs/>
          <w:sz w:val="36"/>
          <w:szCs w:val="36"/>
        </w:rPr>
      </w:pPr>
    </w:p>
    <w:p/>
    <w:p>
      <w:pPr>
        <w:pStyle w:val="2"/>
        <w:numPr>
          <w:ilvl w:val="0"/>
          <w:numId w:val="0"/>
        </w:numPr>
        <w:jc w:val="both"/>
      </w:pPr>
    </w:p>
    <w:p/>
    <w:p>
      <w:pPr>
        <w:rPr>
          <w:rFonts w:ascii="宋体" w:hAnsi="宋体" w:eastAsia="宋体" w:cs="宋体"/>
          <w:b/>
          <w:bCs/>
          <w:sz w:val="36"/>
          <w:szCs w:val="36"/>
        </w:rPr>
      </w:pPr>
    </w:p>
    <w:p>
      <w:pPr>
        <w:rPr>
          <w:rFonts w:ascii="宋体" w:hAnsi="宋体" w:eastAsia="宋体" w:cs="宋体"/>
          <w:b/>
          <w:bCs/>
          <w:sz w:val="36"/>
          <w:szCs w:val="36"/>
        </w:rPr>
      </w:pPr>
    </w:p>
    <w:p>
      <w:pPr>
        <w:rPr>
          <w:rFonts w:hint="eastAsia" w:ascii="宋体" w:hAnsi="宋体" w:eastAsia="宋体" w:cs="宋体"/>
          <w:b/>
          <w:bCs/>
          <w:sz w:val="36"/>
          <w:szCs w:val="36"/>
          <w:u w:val="single"/>
          <w:lang w:val="en-US" w:eastAsia="zh-CN"/>
        </w:rPr>
      </w:pPr>
      <w:r>
        <w:rPr>
          <w:rFonts w:hint="eastAsia" w:ascii="宋体" w:hAnsi="宋体" w:eastAsia="宋体" w:cs="宋体"/>
          <w:b/>
          <w:bCs/>
          <w:sz w:val="36"/>
          <w:szCs w:val="36"/>
        </w:rPr>
        <w:t>项目名称：</w:t>
      </w:r>
      <w:r>
        <w:rPr>
          <w:rFonts w:hint="eastAsia" w:ascii="宋体" w:hAnsi="宋体" w:eastAsia="宋体" w:cs="宋体"/>
          <w:b/>
          <w:bCs/>
          <w:sz w:val="36"/>
          <w:szCs w:val="36"/>
          <w:u w:val="single"/>
          <w:lang w:val="en-US" w:eastAsia="zh-CN"/>
        </w:rPr>
        <w:t>广西自贸区产融城市运营管理有限公司新建修理厂厂房项目及钦保机动车检测有限公司检测线扩建工程土建改造工程项目建设工程质量综合检测服务</w:t>
      </w:r>
    </w:p>
    <w:p>
      <w:pPr>
        <w:rPr>
          <w:rFonts w:hint="eastAsia" w:ascii="宋体" w:hAnsi="宋体" w:eastAsia="宋体" w:cs="宋体"/>
          <w:b/>
          <w:bCs/>
          <w:sz w:val="36"/>
          <w:szCs w:val="36"/>
          <w:u w:val="single"/>
          <w:lang w:val="en-US" w:eastAsia="zh-CN"/>
        </w:rPr>
      </w:pPr>
      <w:r>
        <w:rPr>
          <w:rFonts w:hint="eastAsia" w:ascii="宋体" w:hAnsi="宋体" w:eastAsia="宋体" w:cs="宋体"/>
          <w:b/>
          <w:bCs/>
          <w:sz w:val="36"/>
          <w:szCs w:val="36"/>
          <w:u w:val="none"/>
        </w:rPr>
        <w:t>采购人：</w:t>
      </w:r>
      <w:r>
        <w:rPr>
          <w:rFonts w:hint="eastAsia" w:ascii="宋体" w:hAnsi="宋体" w:eastAsia="宋体" w:cs="宋体"/>
          <w:b/>
          <w:bCs/>
          <w:sz w:val="36"/>
          <w:szCs w:val="36"/>
          <w:u w:val="single"/>
          <w:lang w:val="en-US" w:eastAsia="zh-CN"/>
        </w:rPr>
        <w:t>广西自贸区产融城市运营管理有限公司</w:t>
      </w:r>
    </w:p>
    <w:p>
      <w:pPr>
        <w:rPr>
          <w:rFonts w:ascii="宋体" w:hAnsi="宋体" w:eastAsia="宋体" w:cs="宋体"/>
          <w:b/>
          <w:bCs/>
          <w:sz w:val="36"/>
          <w:szCs w:val="36"/>
        </w:rPr>
      </w:pPr>
    </w:p>
    <w:p>
      <w:pPr>
        <w:rPr>
          <w:rFonts w:ascii="宋体" w:hAnsi="宋体" w:eastAsia="宋体" w:cs="宋体"/>
          <w:b/>
          <w:bCs/>
          <w:sz w:val="36"/>
          <w:szCs w:val="36"/>
        </w:rPr>
      </w:pPr>
    </w:p>
    <w:p>
      <w:pPr>
        <w:jc w:val="center"/>
        <w:rPr>
          <w:rFonts w:hint="eastAsia" w:ascii="宋体" w:hAnsi="宋体" w:eastAsia="宋体" w:cs="宋体"/>
          <w:b/>
          <w:bCs/>
          <w:color w:val="333333"/>
          <w:sz w:val="32"/>
          <w:szCs w:val="32"/>
          <w:shd w:val="clear" w:color="auto" w:fill="FFFFFF"/>
          <w:lang w:eastAsia="zh-CN"/>
        </w:rPr>
      </w:pPr>
      <w:r>
        <w:rPr>
          <w:rFonts w:hint="eastAsia" w:ascii="Times New Roman" w:hAnsi="Times New Roman" w:eastAsia="宋体" w:cs="Times New Roman"/>
          <w:b/>
          <w:bCs/>
          <w:sz w:val="36"/>
          <w:szCs w:val="36"/>
          <w:lang w:eastAsia="zh-CN"/>
        </w:rPr>
        <w:t>2024年7月</w:t>
      </w:r>
    </w:p>
    <w:p>
      <w:pPr>
        <w:rPr>
          <w:rFonts w:ascii="宋体" w:hAnsi="宋体" w:eastAsia="宋体" w:cs="宋体"/>
          <w:b/>
          <w:bCs/>
          <w:color w:val="333333"/>
          <w:sz w:val="32"/>
          <w:szCs w:val="32"/>
          <w:shd w:val="clear" w:color="auto" w:fill="FFFFFF"/>
        </w:rPr>
      </w:pPr>
    </w:p>
    <w:p>
      <w:pPr>
        <w:pStyle w:val="40"/>
        <w:spacing w:after="312"/>
        <w:rPr>
          <w:rFonts w:hint="default"/>
        </w:rPr>
        <w:sectPr>
          <w:pgSz w:w="11906" w:h="16838"/>
          <w:pgMar w:top="1440" w:right="1417" w:bottom="1440" w:left="1531" w:header="851" w:footer="992" w:gutter="0"/>
          <w:pgNumType w:fmt="numberInDash"/>
          <w:cols w:space="425" w:num="1"/>
          <w:docGrid w:type="lines" w:linePitch="312" w:charSpace="0"/>
        </w:sectPr>
      </w:pPr>
    </w:p>
    <w:p>
      <w:pPr>
        <w:pStyle w:val="40"/>
        <w:keepNext w:val="0"/>
        <w:keepLines w:val="0"/>
        <w:pageBreakBefore w:val="0"/>
        <w:kinsoku/>
        <w:wordWrap/>
        <w:overflowPunct/>
        <w:topLinePunct w:val="0"/>
        <w:autoSpaceDE/>
        <w:autoSpaceDN/>
        <w:bidi w:val="0"/>
        <w:spacing w:after="312" w:line="240" w:lineRule="atLeast"/>
        <w:textAlignment w:val="auto"/>
        <w:rPr>
          <w:rFonts w:hint="default"/>
        </w:rPr>
      </w:pPr>
      <w:r>
        <w:t>第一章  采购公告</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ascii="宋体" w:hAnsi="宋体" w:eastAsia="宋体" w:cs="宋体"/>
          <w:bCs/>
          <w:sz w:val="24"/>
          <w:szCs w:val="24"/>
        </w:rPr>
      </w:pPr>
      <w:r>
        <w:rPr>
          <w:rFonts w:hint="eastAsia" w:ascii="宋体" w:hAnsi="宋体" w:eastAsia="宋体" w:cs="宋体"/>
          <w:bCs/>
          <w:sz w:val="24"/>
          <w:szCs w:val="24"/>
          <w:lang w:val="en-US" w:eastAsia="zh-CN"/>
        </w:rPr>
        <w:t>广西自贸区产融城市运营管理有限公司新建修理厂厂房项目及钦保机动车检测有限公司检测线扩建工程土建改造工程项目建设工程质量综合检测服务</w:t>
      </w:r>
      <w:r>
        <w:rPr>
          <w:rFonts w:hint="eastAsia" w:ascii="宋体" w:hAnsi="宋体" w:eastAsia="宋体" w:cs="宋体"/>
          <w:bCs/>
          <w:sz w:val="24"/>
          <w:szCs w:val="24"/>
        </w:rPr>
        <w:t>的潜在服务商应在</w:t>
      </w:r>
      <w:r>
        <w:rPr>
          <w:rFonts w:hint="eastAsia" w:ascii="宋体" w:hAnsi="宋体" w:eastAsia="宋体" w:cs="宋体"/>
          <w:bCs/>
          <w:sz w:val="24"/>
          <w:szCs w:val="24"/>
          <w:u w:val="single"/>
        </w:rPr>
        <w:t>广西自贸区钦州港片区开发投资集团有限责任公司网站</w:t>
      </w:r>
      <w:r>
        <w:fldChar w:fldCharType="begin"/>
      </w:r>
      <w:r>
        <w:instrText xml:space="preserve"> HYPERLINK "http://www.qbtzjt.com" </w:instrText>
      </w:r>
      <w:r>
        <w:fldChar w:fldCharType="separate"/>
      </w:r>
      <w:r>
        <w:rPr>
          <w:rFonts w:hint="eastAsia"/>
          <w:lang w:eastAsia="zh-CN"/>
        </w:rPr>
        <w:t>http:</w:t>
      </w:r>
      <w:r>
        <w:rPr>
          <w:rStyle w:val="25"/>
          <w:rFonts w:hint="eastAsia" w:ascii="宋体" w:hAnsi="宋体" w:eastAsia="宋体" w:cs="宋体"/>
          <w:bCs/>
          <w:sz w:val="24"/>
          <w:szCs w:val="24"/>
          <w:lang w:eastAsia="zh-CN"/>
        </w:rPr>
        <w:t>//www.qzmktjt.com/</w:t>
      </w:r>
      <w:r>
        <w:rPr>
          <w:rStyle w:val="25"/>
          <w:rFonts w:hint="eastAsia" w:ascii="宋体" w:hAnsi="宋体" w:eastAsia="宋体" w:cs="宋体"/>
          <w:bCs/>
          <w:sz w:val="24"/>
          <w:szCs w:val="24"/>
        </w:rPr>
        <w:fldChar w:fldCharType="end"/>
      </w:r>
      <w:r>
        <w:rPr>
          <w:rFonts w:hint="eastAsia" w:ascii="宋体" w:hAnsi="宋体" w:eastAsia="宋体" w:cs="宋体"/>
          <w:bCs/>
          <w:sz w:val="24"/>
          <w:szCs w:val="24"/>
          <w:u w:val="single"/>
        </w:rPr>
        <w:t>获取（下载）</w:t>
      </w:r>
      <w:r>
        <w:rPr>
          <w:rFonts w:hint="eastAsia" w:ascii="宋体" w:hAnsi="宋体" w:eastAsia="宋体" w:cs="宋体"/>
          <w:bCs/>
          <w:sz w:val="24"/>
          <w:szCs w:val="24"/>
        </w:rPr>
        <w:t>采购文件，并于截止日期</w:t>
      </w:r>
      <w:r>
        <w:rPr>
          <w:rFonts w:hint="eastAsia" w:ascii="宋体" w:hAnsi="宋体" w:eastAsia="宋体" w:cs="宋体"/>
          <w:bCs/>
          <w:color w:val="FF0000"/>
          <w:sz w:val="24"/>
          <w:szCs w:val="24"/>
          <w:u w:val="single"/>
          <w:lang w:eastAsia="zh-CN"/>
        </w:rPr>
        <w:t xml:space="preserve"> 2024年7月</w:t>
      </w:r>
      <w:r>
        <w:rPr>
          <w:rFonts w:hint="eastAsia" w:ascii="宋体" w:hAnsi="宋体" w:eastAsia="宋体" w:cs="宋体"/>
          <w:bCs/>
          <w:color w:val="FF0000"/>
          <w:sz w:val="24"/>
          <w:szCs w:val="24"/>
          <w:u w:val="single"/>
          <w:lang w:val="en-US" w:eastAsia="zh-CN"/>
        </w:rPr>
        <w:t>12</w:t>
      </w:r>
      <w:r>
        <w:rPr>
          <w:rFonts w:hint="eastAsia" w:ascii="宋体" w:hAnsi="宋体" w:eastAsia="宋体" w:cs="宋体"/>
          <w:bCs/>
          <w:color w:val="FF0000"/>
          <w:sz w:val="24"/>
          <w:szCs w:val="24"/>
          <w:u w:val="single"/>
          <w:lang w:eastAsia="zh-CN"/>
        </w:rPr>
        <w:t>日</w:t>
      </w:r>
      <w:r>
        <w:rPr>
          <w:rFonts w:hint="eastAsia" w:ascii="宋体" w:hAnsi="宋体" w:eastAsia="宋体" w:cs="宋体"/>
          <w:bCs/>
          <w:color w:val="FF0000"/>
          <w:sz w:val="24"/>
          <w:szCs w:val="24"/>
          <w:u w:val="single"/>
          <w:lang w:val="en-US" w:eastAsia="zh-CN"/>
        </w:rPr>
        <w:t>15</w:t>
      </w:r>
      <w:r>
        <w:rPr>
          <w:rFonts w:hint="eastAsia" w:ascii="宋体" w:hAnsi="宋体" w:eastAsia="宋体" w:cs="宋体"/>
          <w:bCs/>
          <w:color w:val="FF0000"/>
          <w:sz w:val="24"/>
          <w:szCs w:val="24"/>
          <w:u w:val="single"/>
          <w:lang w:eastAsia="zh-CN"/>
        </w:rPr>
        <w:t>时</w:t>
      </w:r>
      <w:r>
        <w:rPr>
          <w:rFonts w:hint="eastAsia" w:ascii="宋体" w:hAnsi="宋体" w:eastAsia="宋体" w:cs="宋体"/>
          <w:bCs/>
          <w:color w:val="FF0000"/>
          <w:sz w:val="24"/>
          <w:szCs w:val="24"/>
          <w:u w:val="single"/>
          <w:lang w:val="en-US" w:eastAsia="zh-CN"/>
        </w:rPr>
        <w:t>00</w:t>
      </w:r>
      <w:r>
        <w:rPr>
          <w:rFonts w:hint="eastAsia" w:ascii="宋体" w:hAnsi="宋体" w:eastAsia="宋体" w:cs="宋体"/>
          <w:bCs/>
          <w:color w:val="FF0000"/>
          <w:sz w:val="24"/>
          <w:szCs w:val="24"/>
          <w:u w:val="single"/>
          <w:lang w:eastAsia="zh-CN"/>
        </w:rPr>
        <w:t>分</w:t>
      </w:r>
      <w:r>
        <w:rPr>
          <w:rFonts w:hint="eastAsia" w:ascii="宋体" w:hAnsi="宋体" w:eastAsia="宋体" w:cs="宋体"/>
          <w:bCs/>
          <w:sz w:val="24"/>
          <w:szCs w:val="24"/>
          <w:u w:val="single"/>
        </w:rPr>
        <w:t>（北京时间）</w:t>
      </w:r>
      <w:r>
        <w:rPr>
          <w:rFonts w:hint="eastAsia" w:ascii="宋体" w:hAnsi="宋体" w:eastAsia="宋体" w:cs="宋体"/>
          <w:bCs/>
          <w:sz w:val="24"/>
          <w:szCs w:val="24"/>
        </w:rPr>
        <w:t>前提交响应文件。 </w:t>
      </w:r>
    </w:p>
    <w:p>
      <w:pPr>
        <w:keepNext w:val="0"/>
        <w:keepLines w:val="0"/>
        <w:pageBreakBefore w:val="0"/>
        <w:kinsoku/>
        <w:wordWrap/>
        <w:overflowPunct/>
        <w:topLinePunct w:val="0"/>
        <w:autoSpaceDE/>
        <w:autoSpaceDN/>
        <w:bidi w:val="0"/>
        <w:spacing w:line="240" w:lineRule="atLeast"/>
        <w:textAlignment w:val="auto"/>
        <w:rPr>
          <w:rFonts w:ascii="宋体" w:hAnsi="宋体" w:eastAsia="宋体" w:cs="宋体"/>
          <w:bCs/>
          <w:sz w:val="24"/>
          <w:szCs w:val="24"/>
        </w:rPr>
      </w:pPr>
      <w:r>
        <w:rPr>
          <w:rFonts w:hint="eastAsia" w:ascii="宋体" w:hAnsi="宋体" w:eastAsia="宋体" w:cs="宋体"/>
          <w:b/>
          <w:bCs/>
          <w:sz w:val="24"/>
          <w:szCs w:val="24"/>
        </w:rPr>
        <w:t>一、项目基本情况</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项目名称：</w:t>
      </w:r>
      <w:r>
        <w:rPr>
          <w:rFonts w:hint="eastAsia" w:ascii="宋体" w:hAnsi="宋体" w:eastAsia="宋体" w:cs="宋体"/>
          <w:bCs/>
          <w:sz w:val="24"/>
          <w:szCs w:val="24"/>
          <w:lang w:val="en-US" w:eastAsia="zh-CN"/>
        </w:rPr>
        <w:t>广西自贸区产融城市运营管理有限公司新建修理厂厂房项目及钦保机动车检测有限公司检测线扩建工程土建改造工程项目建设工程质量综合检测服务</w:t>
      </w:r>
    </w:p>
    <w:p>
      <w:pPr>
        <w:pStyle w:val="8"/>
        <w:keepNext w:val="0"/>
        <w:keepLines w:val="0"/>
        <w:pageBreakBefore w:val="0"/>
        <w:kinsoku/>
        <w:wordWrap/>
        <w:overflowPunct/>
        <w:topLinePunct w:val="0"/>
        <w:autoSpaceDE/>
        <w:autoSpaceDN/>
        <w:bidi w:val="0"/>
        <w:spacing w:line="240" w:lineRule="atLeast"/>
        <w:textAlignment w:val="auto"/>
        <w:rPr>
          <w:rFonts w:hint="eastAsia" w:eastAsia="宋体"/>
          <w:lang w:eastAsia="zh-CN"/>
        </w:rPr>
      </w:pPr>
      <w:r>
        <w:rPr>
          <w:rFonts w:hint="eastAsia"/>
        </w:rPr>
        <w:t xml:space="preserve"> </w:t>
      </w:r>
      <w:r>
        <w:t xml:space="preserve">   </w:t>
      </w:r>
      <w:r>
        <w:rPr>
          <w:rFonts w:hint="eastAsia" w:ascii="宋体" w:hAnsi="宋体" w:eastAsia="宋体" w:cs="宋体"/>
          <w:bCs/>
          <w:szCs w:val="24"/>
        </w:rPr>
        <w:t>采购方式：</w:t>
      </w:r>
      <w:r>
        <w:rPr>
          <w:rFonts w:hint="eastAsia" w:ascii="宋体" w:hAnsi="宋体" w:eastAsia="宋体" w:cs="宋体"/>
          <w:bCs/>
          <w:szCs w:val="24"/>
          <w:lang w:val="en-US" w:eastAsia="zh-CN"/>
        </w:rPr>
        <w:t>询价</w:t>
      </w:r>
    </w:p>
    <w:p>
      <w:pPr>
        <w:keepNext w:val="0"/>
        <w:keepLines w:val="0"/>
        <w:pageBreakBefore w:val="0"/>
        <w:kinsoku/>
        <w:wordWrap/>
        <w:overflowPunct/>
        <w:topLinePunct w:val="0"/>
        <w:autoSpaceDE/>
        <w:autoSpaceDN/>
        <w:bidi w:val="0"/>
        <w:spacing w:line="240" w:lineRule="atLeast"/>
        <w:ind w:firstLine="480" w:firstLineChars="200"/>
        <w:textAlignment w:val="auto"/>
        <w:rPr>
          <w:rFonts w:hint="eastAsia" w:ascii="宋体" w:hAnsi="宋体" w:eastAsia="宋体" w:cs="宋体"/>
          <w:sz w:val="24"/>
          <w:szCs w:val="24"/>
          <w:lang w:bidi="zh-CN"/>
        </w:rPr>
      </w:pPr>
      <w:r>
        <w:rPr>
          <w:rFonts w:hint="eastAsia" w:ascii="宋体" w:hAnsi="宋体" w:eastAsia="宋体" w:cs="宋体"/>
          <w:bCs/>
          <w:sz w:val="24"/>
          <w:szCs w:val="24"/>
        </w:rPr>
        <w:t>定标方式：</w:t>
      </w:r>
      <w:r>
        <w:rPr>
          <w:rFonts w:hint="eastAsia" w:ascii="宋体" w:hAnsi="宋体" w:eastAsia="宋体" w:cs="宋体"/>
          <w:sz w:val="24"/>
          <w:szCs w:val="24"/>
          <w:lang w:bidi="zh-CN"/>
        </w:rPr>
        <w:t>满足采购文件实质性要求，且报价最低的原则确定成交服务商。</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预算金额：</w:t>
      </w:r>
      <w:r>
        <w:rPr>
          <w:rFonts w:hint="eastAsia" w:ascii="宋体" w:hAnsi="宋体" w:eastAsia="宋体" w:cs="宋体"/>
          <w:sz w:val="24"/>
          <w:szCs w:val="24"/>
        </w:rPr>
        <w:t>人民币（大写）</w:t>
      </w:r>
      <w:r>
        <w:rPr>
          <w:rFonts w:hint="eastAsia" w:ascii="宋体" w:hAnsi="宋体" w:eastAsia="宋体" w:cs="宋体"/>
          <w:sz w:val="24"/>
          <w:szCs w:val="24"/>
          <w:lang w:val="en-US" w:eastAsia="zh-CN"/>
        </w:rPr>
        <w:t>壹拾伍万陆仟陆佰陆拾伍元整（¥156,665.00元）</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最高限价：</w:t>
      </w:r>
      <w:r>
        <w:rPr>
          <w:rFonts w:hint="eastAsia" w:ascii="宋体" w:hAnsi="宋体" w:eastAsia="宋体" w:cs="宋体"/>
          <w:sz w:val="24"/>
          <w:szCs w:val="24"/>
        </w:rPr>
        <w:t>人民币（大写）</w:t>
      </w:r>
      <w:r>
        <w:rPr>
          <w:rFonts w:hint="eastAsia" w:ascii="宋体" w:hAnsi="宋体" w:eastAsia="宋体" w:cs="宋体"/>
          <w:sz w:val="24"/>
          <w:szCs w:val="24"/>
          <w:lang w:val="en-US" w:eastAsia="zh-CN"/>
        </w:rPr>
        <w:t>壹拾伍万陆仟陆佰陆拾伍元整（¥156,665.00元）</w:t>
      </w:r>
    </w:p>
    <w:p>
      <w:pPr>
        <w:pStyle w:val="20"/>
        <w:keepNext w:val="0"/>
        <w:keepLines w:val="0"/>
        <w:pageBreakBefore w:val="0"/>
        <w:widowControl/>
        <w:suppressLineNumbers w:val="0"/>
        <w:kinsoku/>
        <w:wordWrap/>
        <w:overflowPunct/>
        <w:topLinePunct w:val="0"/>
        <w:autoSpaceDE/>
        <w:autoSpaceDN/>
        <w:bidi w:val="0"/>
        <w:spacing w:before="0" w:beforeAutospacing="0" w:after="0" w:afterAutospacing="0" w:line="240" w:lineRule="atLeast"/>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采购需求：</w:t>
      </w:r>
      <w:bookmarkStart w:id="0" w:name="_Hlk153374904"/>
      <w:r>
        <w:rPr>
          <w:rFonts w:hint="eastAsia" w:ascii="宋体" w:hAnsi="宋体" w:eastAsia="宋体" w:cs="宋体"/>
          <w:bCs/>
          <w:sz w:val="24"/>
          <w:szCs w:val="24"/>
        </w:rPr>
        <w:t>本工程包括地基基础工程检测、见证取样检测、主体结构工程现场检测、建筑物附属设备安装工程检测、钢结构检测、消防检测、</w:t>
      </w:r>
      <w:bookmarkEnd w:id="0"/>
      <w:r>
        <w:rPr>
          <w:rFonts w:hint="eastAsia" w:ascii="宋体" w:hAnsi="宋体" w:eastAsia="宋体" w:cs="宋体"/>
          <w:bCs/>
          <w:sz w:val="24"/>
          <w:szCs w:val="24"/>
        </w:rPr>
        <w:t>防雷检测及根据国家相关规定或规范要求必须进行的其他检测等。</w:t>
      </w:r>
    </w:p>
    <w:p>
      <w:pPr>
        <w:keepNext w:val="0"/>
        <w:keepLines w:val="0"/>
        <w:pageBreakBefore w:val="0"/>
        <w:kinsoku/>
        <w:wordWrap/>
        <w:overflowPunct/>
        <w:topLinePunct w:val="0"/>
        <w:autoSpaceDE/>
        <w:autoSpaceDN/>
        <w:bidi w:val="0"/>
        <w:spacing w:line="240" w:lineRule="atLeast"/>
        <w:ind w:firstLine="480" w:firstLineChars="200"/>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合同履行期限：</w:t>
      </w:r>
      <w:r>
        <w:rPr>
          <w:rFonts w:hint="eastAsia" w:ascii="宋体" w:hAnsi="宋体" w:eastAsia="宋体" w:cs="宋体"/>
          <w:bCs/>
          <w:sz w:val="24"/>
          <w:szCs w:val="24"/>
        </w:rPr>
        <w:t>自签订合同至工程竣工验收合格止</w:t>
      </w:r>
      <w:r>
        <w:rPr>
          <w:rFonts w:hint="eastAsia" w:ascii="宋体" w:hAnsi="宋体" w:eastAsia="宋体" w:cs="宋体"/>
          <w:bCs/>
          <w:sz w:val="24"/>
          <w:szCs w:val="24"/>
          <w:lang w:eastAsia="zh-CN"/>
        </w:rPr>
        <w:t>。</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本项目不接受联合体。</w:t>
      </w:r>
    </w:p>
    <w:p>
      <w:pPr>
        <w:keepNext w:val="0"/>
        <w:keepLines w:val="0"/>
        <w:pageBreakBefore w:val="0"/>
        <w:kinsoku/>
        <w:wordWrap/>
        <w:overflowPunct/>
        <w:topLinePunct w:val="0"/>
        <w:autoSpaceDE/>
        <w:autoSpaceDN/>
        <w:bidi w:val="0"/>
        <w:spacing w:line="240" w:lineRule="atLeast"/>
        <w:textAlignment w:val="auto"/>
        <w:rPr>
          <w:rFonts w:ascii="宋体" w:hAnsi="宋体" w:eastAsia="宋体" w:cs="宋体"/>
          <w:b/>
          <w:bCs/>
          <w:sz w:val="24"/>
          <w:szCs w:val="24"/>
        </w:rPr>
      </w:pPr>
      <w:r>
        <w:rPr>
          <w:rFonts w:hint="eastAsia" w:ascii="宋体" w:hAnsi="宋体" w:eastAsia="宋体" w:cs="宋体"/>
          <w:b/>
          <w:bCs/>
          <w:sz w:val="24"/>
          <w:szCs w:val="24"/>
        </w:rPr>
        <w:t>二、服务商的资格要求</w:t>
      </w:r>
    </w:p>
    <w:p>
      <w:pPr>
        <w:keepNext w:val="0"/>
        <w:keepLines w:val="0"/>
        <w:pageBreakBefore w:val="0"/>
        <w:kinsoku/>
        <w:wordWrap/>
        <w:overflowPunct/>
        <w:topLinePunct w:val="0"/>
        <w:autoSpaceDE/>
        <w:autoSpaceDN/>
        <w:bidi w:val="0"/>
        <w:spacing w:line="240" w:lineRule="atLeast"/>
        <w:ind w:left="1199" w:leftChars="228" w:hanging="720" w:hangingChars="300"/>
        <w:textAlignment w:val="auto"/>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.服务商应当具备下列条件：</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14:textFill>
            <w14:solidFill>
              <w14:schemeClr w14:val="tx1"/>
            </w14:solidFill>
          </w14:textFill>
        </w:rPr>
        <w:t>1</w:t>
      </w:r>
      <w:r>
        <w:rPr>
          <w:rFonts w:hint="eastAsia" w:ascii="宋体" w:hAnsi="宋体" w:eastAsia="宋体" w:cs="宋体"/>
          <w:bCs/>
          <w:color w:val="000000" w:themeColor="text1"/>
          <w:sz w:val="24"/>
          <w14:textFill>
            <w14:solidFill>
              <w14:schemeClr w14:val="tx1"/>
            </w14:solidFill>
          </w14:textFill>
        </w:rPr>
        <w:t>）具有独立承担民事责任的能力</w:t>
      </w:r>
      <w:r>
        <w:rPr>
          <w:rFonts w:hint="eastAsia" w:ascii="宋体" w:hAnsi="宋体" w:eastAsia="宋体" w:cs="宋体"/>
          <w:bCs/>
          <w:color w:val="000000" w:themeColor="text1"/>
          <w:sz w:val="24"/>
          <w:lang w:val="en-US" w:eastAsia="zh-CN"/>
          <w14:textFill>
            <w14:solidFill>
              <w14:schemeClr w14:val="tx1"/>
            </w14:solidFill>
          </w14:textFill>
        </w:rPr>
        <w:t>；</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trike/>
          <w:color w:val="FF0000"/>
          <w:sz w:val="24"/>
        </w:rPr>
      </w:pPr>
      <w:r>
        <w:rPr>
          <w:rFonts w:hint="eastAsia" w:ascii="宋体" w:hAnsi="宋体" w:eastAsia="宋体" w:cs="宋体"/>
          <w:bCs/>
          <w:color w:val="FF0000"/>
          <w:sz w:val="24"/>
        </w:rPr>
        <w:t>（</w:t>
      </w:r>
      <w:r>
        <w:rPr>
          <w:rFonts w:hint="eastAsia" w:ascii="Times New Roman" w:hAnsi="Times New Roman" w:eastAsia="宋体" w:cs="Times New Roman"/>
          <w:bCs/>
          <w:color w:val="FF0000"/>
          <w:sz w:val="24"/>
        </w:rPr>
        <w:t>2</w:t>
      </w:r>
      <w:r>
        <w:rPr>
          <w:rFonts w:hint="eastAsia" w:ascii="宋体" w:hAnsi="宋体" w:eastAsia="宋体" w:cs="宋体"/>
          <w:bCs/>
          <w:color w:val="FF0000"/>
          <w:sz w:val="24"/>
        </w:rPr>
        <w:t>）</w:t>
      </w:r>
      <w:r>
        <w:rPr>
          <w:rFonts w:hint="eastAsia" w:ascii="宋体" w:hAnsi="宋体" w:eastAsia="宋体" w:cs="宋体"/>
          <w:bCs/>
          <w:color w:val="000000" w:themeColor="text1"/>
          <w:sz w:val="24"/>
          <w14:textFill>
            <w14:solidFill>
              <w14:schemeClr w14:val="tx1"/>
            </w14:solidFill>
          </w14:textFill>
        </w:rPr>
        <w:t>拥有工程检测咨询业务</w:t>
      </w:r>
      <w:r>
        <w:rPr>
          <w:rFonts w:hint="eastAsia" w:ascii="宋体" w:hAnsi="宋体" w:eastAsia="宋体" w:cs="宋体"/>
          <w:bCs/>
          <w:color w:val="000000" w:themeColor="text1"/>
          <w:sz w:val="24"/>
          <w:lang w:eastAsia="zh-CN"/>
          <w14:textFill>
            <w14:solidFill>
              <w14:schemeClr w14:val="tx1"/>
            </w14:solidFill>
          </w14:textFill>
        </w:rPr>
        <w:t>（</w:t>
      </w:r>
      <w:r>
        <w:rPr>
          <w:rFonts w:hint="eastAsia" w:ascii="宋体" w:hAnsi="宋体" w:eastAsia="宋体" w:cs="宋体"/>
          <w:bCs/>
          <w:color w:val="000000" w:themeColor="text1"/>
          <w:sz w:val="24"/>
          <w14:textFill>
            <w14:solidFill>
              <w14:schemeClr w14:val="tx1"/>
            </w14:solidFill>
          </w14:textFill>
        </w:rPr>
        <w:t>营业执照复印件、法人身份证复印件）</w:t>
      </w:r>
      <w:r>
        <w:rPr>
          <w:rFonts w:hint="eastAsia" w:ascii="宋体" w:hAnsi="宋体" w:eastAsia="宋体" w:cs="宋体"/>
          <w:bCs/>
          <w:color w:val="FF0000"/>
          <w:sz w:val="24"/>
        </w:rPr>
        <w:t>；</w:t>
      </w:r>
    </w:p>
    <w:p>
      <w:pPr>
        <w:keepNext w:val="0"/>
        <w:keepLines w:val="0"/>
        <w:pageBreakBefore w:val="0"/>
        <w:kinsoku/>
        <w:wordWrap/>
        <w:overflowPunct/>
        <w:topLinePunct w:val="0"/>
        <w:autoSpaceDE/>
        <w:autoSpaceDN/>
        <w:bidi w:val="0"/>
        <w:spacing w:line="240" w:lineRule="atLeast"/>
        <w:ind w:firstLine="480" w:firstLineChars="200"/>
        <w:textAlignment w:val="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14:textFill>
            <w14:solidFill>
              <w14:schemeClr w14:val="tx1"/>
            </w14:solidFill>
          </w14:textFill>
        </w:rPr>
        <w:t>3</w:t>
      </w:r>
      <w:r>
        <w:rPr>
          <w:rFonts w:hint="eastAsia" w:ascii="宋体" w:hAnsi="宋体" w:eastAsia="宋体" w:cs="宋体"/>
          <w:bCs/>
          <w:color w:val="000000" w:themeColor="text1"/>
          <w:sz w:val="24"/>
          <w14:textFill>
            <w14:solidFill>
              <w14:schemeClr w14:val="tx1"/>
            </w14:solidFill>
          </w14:textFill>
        </w:rPr>
        <w:t>）参加采购活动前三年内，在经营活动中没有重大违法记录（由竞标人提供证明或采购人在“信用中国”网站查询）；</w:t>
      </w:r>
    </w:p>
    <w:p>
      <w:pPr>
        <w:keepNext w:val="0"/>
        <w:keepLines w:val="0"/>
        <w:pageBreakBefore w:val="0"/>
        <w:kinsoku/>
        <w:wordWrap/>
        <w:overflowPunct/>
        <w:topLinePunct w:val="0"/>
        <w:autoSpaceDE/>
        <w:autoSpaceDN/>
        <w:bidi w:val="0"/>
        <w:spacing w:line="240" w:lineRule="atLeas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r>
        <w:rPr>
          <w:rFonts w:hint="eastAsia" w:ascii="Times New Roman" w:hAnsi="Times New Roman" w:eastAsia="宋体" w:cs="Times New Roman"/>
          <w:bCs/>
          <w:color w:val="000000" w:themeColor="text1"/>
          <w:sz w:val="24"/>
          <w:highlight w:val="none"/>
          <w14:textFill>
            <w14:solidFill>
              <w14:schemeClr w14:val="tx1"/>
            </w14:solidFill>
          </w14:textFill>
        </w:rPr>
        <w:t>4</w:t>
      </w:r>
      <w:r>
        <w:rPr>
          <w:rFonts w:hint="eastAsia" w:ascii="宋体" w:hAnsi="宋体" w:eastAsia="宋体" w:cs="宋体"/>
          <w:bCs/>
          <w:color w:val="000000" w:themeColor="text1"/>
          <w:sz w:val="24"/>
          <w:highlight w:val="none"/>
          <w14:textFill>
            <w14:solidFill>
              <w14:schemeClr w14:val="tx1"/>
            </w14:solidFill>
          </w14:textFill>
        </w:rPr>
        <w:t>）近</w:t>
      </w:r>
      <w:r>
        <w:rPr>
          <w:rFonts w:ascii="Times New Roman" w:hAnsi="Times New Roman" w:eastAsia="宋体" w:cs="Times New Roman"/>
          <w:bCs/>
          <w:color w:val="000000" w:themeColor="text1"/>
          <w:sz w:val="24"/>
          <w:highlight w:val="none"/>
          <w14:textFill>
            <w14:solidFill>
              <w14:schemeClr w14:val="tx1"/>
            </w14:solidFill>
          </w14:textFill>
        </w:rPr>
        <w:t>2</w:t>
      </w:r>
      <w:r>
        <w:rPr>
          <w:rFonts w:hint="eastAsia" w:ascii="宋体" w:hAnsi="宋体" w:eastAsia="宋体" w:cs="宋体"/>
          <w:bCs/>
          <w:color w:val="000000" w:themeColor="text1"/>
          <w:sz w:val="24"/>
          <w:highlight w:val="none"/>
          <w14:textFill>
            <w14:solidFill>
              <w14:schemeClr w14:val="tx1"/>
            </w14:solidFill>
          </w14:textFill>
        </w:rPr>
        <w:t>年内具有</w:t>
      </w:r>
      <w:r>
        <w:rPr>
          <w:rFonts w:hint="eastAsia" w:ascii="宋体" w:hAnsi="宋体" w:eastAsia="宋体" w:cs="宋体"/>
          <w:bCs/>
          <w:color w:val="000000" w:themeColor="text1"/>
          <w:sz w:val="24"/>
          <w14:textFill>
            <w14:solidFill>
              <w14:schemeClr w14:val="tx1"/>
            </w14:solidFill>
          </w14:textFill>
        </w:rPr>
        <w:t>相应或类似的工程业绩</w:t>
      </w:r>
      <w:r>
        <w:rPr>
          <w:rFonts w:hint="eastAsia" w:ascii="宋体" w:hAnsi="宋体" w:eastAsia="宋体" w:cs="宋体"/>
          <w:bCs/>
          <w:color w:val="000000" w:themeColor="text1"/>
          <w:sz w:val="24"/>
          <w:highlight w:val="none"/>
          <w14:textFill>
            <w14:solidFill>
              <w14:schemeClr w14:val="tx1"/>
            </w14:solidFill>
          </w14:textFill>
        </w:rPr>
        <w:t>，并附上相应的合同复印件，需提供</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2</w:t>
      </w:r>
      <w:r>
        <w:rPr>
          <w:rFonts w:hint="eastAsia" w:ascii="宋体" w:hAnsi="宋体" w:eastAsia="宋体" w:cs="宋体"/>
          <w:bCs/>
          <w:color w:val="000000" w:themeColor="text1"/>
          <w:sz w:val="24"/>
          <w:highlight w:val="none"/>
          <w14:textFill>
            <w14:solidFill>
              <w14:schemeClr w14:val="tx1"/>
            </w14:solidFill>
          </w14:textFill>
        </w:rPr>
        <w:t>个及以上的</w:t>
      </w:r>
      <w:r>
        <w:rPr>
          <w:rFonts w:hint="eastAsia" w:ascii="宋体" w:hAnsi="宋体" w:eastAsia="宋体" w:cs="宋体"/>
          <w:bCs/>
          <w:sz w:val="24"/>
          <w:szCs w:val="24"/>
          <w:lang w:val="en-US" w:eastAsia="zh-CN"/>
        </w:rPr>
        <w:t>服务</w:t>
      </w:r>
      <w:r>
        <w:rPr>
          <w:rFonts w:hint="eastAsia" w:ascii="宋体" w:hAnsi="宋体" w:eastAsia="宋体" w:cs="宋体"/>
          <w:bCs/>
          <w:color w:val="000000" w:themeColor="text1"/>
          <w:sz w:val="24"/>
          <w:highlight w:val="none"/>
          <w14:textFill>
            <w14:solidFill>
              <w14:schemeClr w14:val="tx1"/>
            </w14:solidFill>
          </w14:textFill>
        </w:rPr>
        <w:t>业绩。</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w:t>
      </w:r>
      <w:r>
        <w:rPr>
          <w:rFonts w:hint="eastAsia" w:ascii="宋体" w:hAnsi="宋体" w:eastAsia="宋体" w:cs="宋体"/>
          <w:bCs/>
          <w:color w:val="000000" w:themeColor="text1"/>
          <w:sz w:val="24"/>
          <w:szCs w:val="24"/>
          <w14:textFill>
            <w14:solidFill>
              <w14:schemeClr w14:val="tx1"/>
            </w14:solidFill>
          </w14:textFill>
        </w:rPr>
        <w:t>.单位负责人为同一人或者存在直接控股、管理关系的不同服务商，不得参加同一合同项下的采购活动。</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ascii="Times New Roman" w:hAnsi="Times New Roman" w:eastAsia="宋体" w:cs="Times New Roman"/>
          <w:bCs/>
          <w:sz w:val="24"/>
          <w:szCs w:val="24"/>
        </w:rPr>
        <w:t>4</w:t>
      </w:r>
      <w:r>
        <w:rPr>
          <w:rFonts w:hint="eastAsia" w:ascii="宋体" w:hAnsi="宋体" w:eastAsia="宋体" w:cs="宋体"/>
          <w:bCs/>
          <w:sz w:val="24"/>
          <w:szCs w:val="24"/>
        </w:rPr>
        <w:t>.法律、行政法规规定的其他条件。</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ascii="Times New Roman" w:hAnsi="Times New Roman" w:eastAsia="宋体" w:cs="Times New Roman"/>
          <w:bCs/>
          <w:sz w:val="24"/>
          <w:szCs w:val="24"/>
        </w:rPr>
        <w:t>5</w:t>
      </w:r>
      <w:r>
        <w:rPr>
          <w:rFonts w:hint="eastAsia" w:ascii="宋体" w:hAnsi="宋体" w:eastAsia="宋体" w:cs="宋体"/>
          <w:bCs/>
          <w:sz w:val="24"/>
          <w:szCs w:val="24"/>
        </w:rPr>
        <w:t>.本项目的特定资格要求：无</w:t>
      </w:r>
    </w:p>
    <w:p>
      <w:pPr>
        <w:keepNext w:val="0"/>
        <w:keepLines w:val="0"/>
        <w:pageBreakBefore w:val="0"/>
        <w:kinsoku/>
        <w:wordWrap/>
        <w:overflowPunct/>
        <w:topLinePunct w:val="0"/>
        <w:autoSpaceDE/>
        <w:autoSpaceDN/>
        <w:bidi w:val="0"/>
        <w:spacing w:line="240" w:lineRule="atLeast"/>
        <w:textAlignment w:val="auto"/>
        <w:rPr>
          <w:rFonts w:ascii="宋体" w:hAnsi="宋体" w:eastAsia="宋体" w:cs="宋体"/>
          <w:b/>
          <w:bCs/>
          <w:sz w:val="24"/>
          <w:szCs w:val="24"/>
        </w:rPr>
      </w:pPr>
      <w:r>
        <w:rPr>
          <w:rFonts w:hint="eastAsia" w:ascii="宋体" w:hAnsi="宋体" w:eastAsia="宋体" w:cs="宋体"/>
          <w:b/>
          <w:bCs/>
          <w:sz w:val="24"/>
          <w:szCs w:val="24"/>
        </w:rPr>
        <w:t>三、获取采购文件</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时间：</w:t>
      </w:r>
      <w:r>
        <w:rPr>
          <w:rFonts w:hint="eastAsia" w:ascii="Times New Roman" w:hAnsi="Times New Roman" w:eastAsia="宋体" w:cs="Times New Roman"/>
          <w:bCs/>
          <w:color w:val="FF0000"/>
          <w:sz w:val="24"/>
          <w:szCs w:val="24"/>
          <w:u w:val="single"/>
          <w:lang w:eastAsia="zh-CN"/>
        </w:rPr>
        <w:t>2024年7月</w:t>
      </w:r>
      <w:r>
        <w:rPr>
          <w:rFonts w:hint="eastAsia" w:ascii="宋体" w:hAnsi="宋体" w:eastAsia="宋体" w:cs="宋体"/>
          <w:bCs/>
          <w:color w:val="FF0000"/>
          <w:sz w:val="24"/>
          <w:szCs w:val="24"/>
          <w:u w:val="single"/>
          <w:lang w:val="en-US" w:eastAsia="zh-CN"/>
        </w:rPr>
        <w:t>8</w:t>
      </w:r>
      <w:r>
        <w:rPr>
          <w:rFonts w:hint="eastAsia" w:ascii="宋体" w:hAnsi="宋体" w:eastAsia="宋体" w:cs="宋体"/>
          <w:bCs/>
          <w:color w:val="FF0000"/>
          <w:sz w:val="24"/>
          <w:szCs w:val="24"/>
          <w:u w:val="single"/>
        </w:rPr>
        <w:t>日</w:t>
      </w:r>
      <w:r>
        <w:rPr>
          <w:rFonts w:hint="eastAsia" w:ascii="宋体" w:hAnsi="宋体" w:eastAsia="宋体" w:cs="宋体"/>
          <w:bCs/>
          <w:sz w:val="24"/>
          <w:szCs w:val="24"/>
        </w:rPr>
        <w:t>至</w:t>
      </w:r>
      <w:r>
        <w:rPr>
          <w:rFonts w:hint="eastAsia" w:ascii="宋体" w:hAnsi="宋体" w:eastAsia="宋体" w:cs="宋体"/>
          <w:bCs/>
          <w:color w:val="FF0000"/>
          <w:sz w:val="24"/>
          <w:szCs w:val="24"/>
          <w:u w:val="single"/>
        </w:rPr>
        <w:t xml:space="preserve"> </w:t>
      </w:r>
      <w:r>
        <w:rPr>
          <w:rFonts w:hint="eastAsia" w:ascii="Times New Roman" w:hAnsi="Times New Roman" w:eastAsia="宋体" w:cs="Times New Roman"/>
          <w:bCs/>
          <w:color w:val="FF0000"/>
          <w:sz w:val="24"/>
          <w:szCs w:val="24"/>
          <w:u w:val="single"/>
          <w:lang w:eastAsia="zh-CN"/>
        </w:rPr>
        <w:t>2024年7月</w:t>
      </w:r>
      <w:r>
        <w:rPr>
          <w:rFonts w:hint="eastAsia" w:ascii="宋体" w:hAnsi="宋体" w:eastAsia="宋体" w:cs="宋体"/>
          <w:bCs/>
          <w:color w:val="FF0000"/>
          <w:sz w:val="24"/>
          <w:szCs w:val="24"/>
          <w:u w:val="single"/>
          <w:lang w:val="en-US" w:eastAsia="zh-CN"/>
        </w:rPr>
        <w:t>11</w:t>
      </w:r>
      <w:r>
        <w:rPr>
          <w:rFonts w:hint="eastAsia" w:ascii="宋体" w:hAnsi="宋体" w:eastAsia="宋体" w:cs="宋体"/>
          <w:bCs/>
          <w:color w:val="FF0000"/>
          <w:sz w:val="24"/>
          <w:szCs w:val="24"/>
          <w:u w:val="single"/>
        </w:rPr>
        <w:t>日</w:t>
      </w:r>
      <w:r>
        <w:rPr>
          <w:rFonts w:hint="eastAsia" w:ascii="宋体" w:hAnsi="宋体" w:eastAsia="宋体" w:cs="宋体"/>
          <w:bCs/>
          <w:sz w:val="24"/>
          <w:szCs w:val="24"/>
        </w:rPr>
        <w:t>，每天上午</w:t>
      </w:r>
      <w:r>
        <w:rPr>
          <w:rFonts w:ascii="Times New Roman" w:hAnsi="Times New Roman" w:eastAsia="宋体" w:cs="Times New Roman"/>
          <w:bCs/>
          <w:color w:val="FF0000"/>
          <w:sz w:val="24"/>
          <w:szCs w:val="24"/>
          <w:u w:val="single"/>
        </w:rPr>
        <w:t>08</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30</w:t>
      </w:r>
      <w:r>
        <w:rPr>
          <w:rFonts w:hint="eastAsia" w:ascii="宋体" w:hAnsi="宋体" w:eastAsia="宋体" w:cs="宋体"/>
          <w:bCs/>
          <w:color w:val="FF0000"/>
          <w:sz w:val="24"/>
          <w:szCs w:val="24"/>
          <w:u w:val="single"/>
        </w:rPr>
        <w:t>至</w:t>
      </w:r>
      <w:r>
        <w:rPr>
          <w:rFonts w:ascii="Times New Roman" w:hAnsi="Times New Roman" w:eastAsia="宋体" w:cs="Times New Roman"/>
          <w:bCs/>
          <w:color w:val="FF0000"/>
          <w:sz w:val="24"/>
          <w:szCs w:val="24"/>
          <w:u w:val="single"/>
        </w:rPr>
        <w:t>12</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00</w:t>
      </w:r>
      <w:r>
        <w:rPr>
          <w:rFonts w:hint="eastAsia" w:ascii="宋体" w:hAnsi="宋体" w:eastAsia="宋体" w:cs="宋体"/>
          <w:bCs/>
          <w:sz w:val="24"/>
          <w:szCs w:val="24"/>
        </w:rPr>
        <w:t>，下午</w:t>
      </w:r>
      <w:r>
        <w:rPr>
          <w:rFonts w:ascii="Times New Roman" w:hAnsi="Times New Roman" w:eastAsia="宋体" w:cs="Times New Roman"/>
          <w:bCs/>
          <w:color w:val="FF0000"/>
          <w:sz w:val="24"/>
          <w:szCs w:val="24"/>
          <w:u w:val="single"/>
        </w:rPr>
        <w:t>14</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00</w:t>
      </w:r>
      <w:r>
        <w:rPr>
          <w:rFonts w:hint="eastAsia" w:ascii="宋体" w:hAnsi="宋体" w:eastAsia="宋体" w:cs="宋体"/>
          <w:bCs/>
          <w:color w:val="FF0000"/>
          <w:sz w:val="24"/>
          <w:szCs w:val="24"/>
          <w:u w:val="single"/>
        </w:rPr>
        <w:t>至</w:t>
      </w:r>
      <w:r>
        <w:rPr>
          <w:rFonts w:ascii="Times New Roman" w:hAnsi="Times New Roman" w:eastAsia="宋体" w:cs="Times New Roman"/>
          <w:bCs/>
          <w:color w:val="FF0000"/>
          <w:sz w:val="24"/>
          <w:szCs w:val="24"/>
          <w:u w:val="single"/>
        </w:rPr>
        <w:t>17</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30</w:t>
      </w:r>
      <w:r>
        <w:rPr>
          <w:rFonts w:hint="eastAsia" w:ascii="宋体" w:hAnsi="宋体" w:eastAsia="宋体" w:cs="宋体"/>
          <w:bCs/>
          <w:sz w:val="24"/>
          <w:szCs w:val="24"/>
        </w:rPr>
        <w:t>（北京时间，法定节假日除外）</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u w:val="single"/>
        </w:rPr>
      </w:pPr>
      <w:r>
        <w:rPr>
          <w:rFonts w:hint="eastAsia" w:ascii="宋体" w:hAnsi="宋体" w:eastAsia="宋体" w:cs="宋体"/>
          <w:bCs/>
          <w:sz w:val="24"/>
          <w:szCs w:val="24"/>
        </w:rPr>
        <w:t>地点（网址）：</w:t>
      </w:r>
      <w:r>
        <w:rPr>
          <w:rFonts w:hint="eastAsia" w:ascii="宋体" w:hAnsi="宋体" w:eastAsia="宋体" w:cs="宋体"/>
          <w:bCs/>
          <w:sz w:val="24"/>
          <w:szCs w:val="24"/>
          <w:u w:val="single"/>
        </w:rPr>
        <w:t>广西自贸区钦州港片区开发投资集团有限责任公司网站</w:t>
      </w:r>
      <w:r>
        <w:fldChar w:fldCharType="begin"/>
      </w:r>
      <w:r>
        <w:instrText xml:space="preserve"> HYPERLINK "http://www.qbtzjt.com" </w:instrText>
      </w:r>
      <w:r>
        <w:fldChar w:fldCharType="separate"/>
      </w:r>
      <w:r>
        <w:rPr>
          <w:rFonts w:hint="eastAsia"/>
          <w:lang w:eastAsia="zh-CN"/>
        </w:rPr>
        <w:t>http://www.qzmktjt.com/</w:t>
      </w:r>
      <w:r>
        <w:rPr>
          <w:rStyle w:val="25"/>
          <w:rFonts w:hint="eastAsia" w:ascii="宋体" w:hAnsi="宋体" w:eastAsia="宋体" w:cs="宋体"/>
          <w:bCs/>
          <w:sz w:val="24"/>
          <w:szCs w:val="24"/>
        </w:rPr>
        <w:fldChar w:fldCharType="end"/>
      </w:r>
      <w:r>
        <w:rPr>
          <w:rFonts w:hint="eastAsia" w:ascii="宋体" w:hAnsi="宋体" w:eastAsia="宋体" w:cs="宋体"/>
          <w:bCs/>
          <w:sz w:val="24"/>
          <w:szCs w:val="24"/>
          <w:u w:val="single"/>
        </w:rPr>
        <w:t>获取（下载）。</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方式：在</w:t>
      </w:r>
      <w:r>
        <w:rPr>
          <w:rFonts w:hint="eastAsia" w:ascii="Times New Roman" w:hAnsi="Times New Roman" w:eastAsia="宋体" w:cs="Times New Roman"/>
          <w:bCs/>
          <w:color w:val="FF0000"/>
          <w:sz w:val="24"/>
          <w:szCs w:val="24"/>
          <w:u w:val="single"/>
          <w:lang w:eastAsia="zh-CN"/>
        </w:rPr>
        <w:t>2024年7月</w:t>
      </w:r>
      <w:r>
        <w:rPr>
          <w:rFonts w:hint="eastAsia" w:ascii="宋体" w:hAnsi="宋体" w:eastAsia="宋体" w:cs="宋体"/>
          <w:bCs/>
          <w:color w:val="FF0000"/>
          <w:sz w:val="24"/>
          <w:szCs w:val="24"/>
          <w:u w:val="single"/>
          <w:lang w:val="en-US" w:eastAsia="zh-CN"/>
        </w:rPr>
        <w:t>11</w:t>
      </w:r>
      <w:r>
        <w:rPr>
          <w:rFonts w:hint="eastAsia" w:ascii="宋体" w:hAnsi="宋体" w:eastAsia="宋体" w:cs="宋体"/>
          <w:bCs/>
          <w:color w:val="FF0000"/>
          <w:sz w:val="24"/>
          <w:szCs w:val="24"/>
          <w:u w:val="single"/>
        </w:rPr>
        <w:t>日</w:t>
      </w:r>
      <w:r>
        <w:rPr>
          <w:rFonts w:hint="eastAsia" w:ascii="Times New Roman" w:hAnsi="Times New Roman" w:eastAsia="宋体" w:cs="Times New Roman"/>
          <w:bCs/>
          <w:color w:val="FF0000"/>
          <w:sz w:val="24"/>
          <w:szCs w:val="24"/>
          <w:u w:val="single"/>
          <w:lang w:val="en-US" w:eastAsia="zh-CN"/>
        </w:rPr>
        <w:t>17</w:t>
      </w:r>
      <w:r>
        <w:rPr>
          <w:rFonts w:hint="eastAsia" w:ascii="宋体" w:hAnsi="宋体" w:eastAsia="宋体" w:cs="宋体"/>
          <w:bCs/>
          <w:color w:val="FF0000"/>
          <w:sz w:val="24"/>
          <w:szCs w:val="24"/>
          <w:u w:val="single"/>
        </w:rPr>
        <w:t>时</w:t>
      </w:r>
      <w:r>
        <w:rPr>
          <w:rFonts w:ascii="Times New Roman" w:hAnsi="Times New Roman" w:eastAsia="宋体" w:cs="Times New Roman"/>
          <w:bCs/>
          <w:color w:val="FF0000"/>
          <w:sz w:val="24"/>
          <w:szCs w:val="24"/>
          <w:u w:val="single"/>
        </w:rPr>
        <w:t>30</w:t>
      </w:r>
      <w:r>
        <w:rPr>
          <w:rFonts w:hint="eastAsia" w:ascii="宋体" w:hAnsi="宋体" w:eastAsia="宋体" w:cs="宋体"/>
          <w:bCs/>
          <w:color w:val="FF0000"/>
          <w:sz w:val="24"/>
          <w:szCs w:val="24"/>
          <w:u w:val="single"/>
        </w:rPr>
        <w:t>分</w:t>
      </w:r>
      <w:r>
        <w:rPr>
          <w:rFonts w:hint="eastAsia" w:ascii="宋体" w:hAnsi="宋体" w:eastAsia="宋体" w:cs="宋体"/>
          <w:bCs/>
          <w:sz w:val="24"/>
          <w:szCs w:val="24"/>
        </w:rPr>
        <w:t>前（北京时间）自行获取（下载）。</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售价：</w:t>
      </w:r>
      <w:r>
        <w:rPr>
          <w:rFonts w:ascii="Times New Roman" w:hAnsi="Times New Roman" w:eastAsia="宋体" w:cs="Times New Roman"/>
          <w:bCs/>
          <w:sz w:val="24"/>
          <w:szCs w:val="24"/>
        </w:rPr>
        <w:t>0</w:t>
      </w:r>
      <w:r>
        <w:rPr>
          <w:rFonts w:hint="eastAsia" w:ascii="宋体" w:hAnsi="宋体" w:eastAsia="宋体" w:cs="宋体"/>
          <w:bCs/>
          <w:sz w:val="24"/>
          <w:szCs w:val="24"/>
        </w:rPr>
        <w:t>元。</w:t>
      </w:r>
    </w:p>
    <w:p>
      <w:pPr>
        <w:keepNext w:val="0"/>
        <w:keepLines w:val="0"/>
        <w:pageBreakBefore w:val="0"/>
        <w:kinsoku/>
        <w:wordWrap/>
        <w:overflowPunct/>
        <w:topLinePunct w:val="0"/>
        <w:autoSpaceDE/>
        <w:autoSpaceDN/>
        <w:bidi w:val="0"/>
        <w:spacing w:line="240" w:lineRule="atLeast"/>
        <w:textAlignment w:val="auto"/>
        <w:rPr>
          <w:rFonts w:ascii="宋体" w:hAnsi="宋体" w:eastAsia="宋体" w:cs="宋体"/>
          <w:b/>
          <w:bCs/>
          <w:sz w:val="24"/>
          <w:szCs w:val="24"/>
        </w:rPr>
      </w:pPr>
      <w:r>
        <w:rPr>
          <w:rFonts w:hint="eastAsia" w:ascii="宋体" w:hAnsi="宋体" w:eastAsia="宋体" w:cs="宋体"/>
          <w:b/>
          <w:bCs/>
          <w:sz w:val="24"/>
          <w:szCs w:val="24"/>
        </w:rPr>
        <w:t>四、响应文件提交</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截止时间：</w:t>
      </w:r>
      <w:r>
        <w:rPr>
          <w:rFonts w:hint="eastAsia" w:ascii="宋体" w:hAnsi="宋体" w:eastAsia="宋体" w:cs="宋体"/>
          <w:bCs/>
          <w:color w:val="FF0000"/>
          <w:sz w:val="24"/>
          <w:szCs w:val="24"/>
          <w:u w:val="single"/>
          <w:lang w:eastAsia="zh-CN"/>
        </w:rPr>
        <w:t xml:space="preserve"> 2024年7月</w:t>
      </w:r>
      <w:r>
        <w:rPr>
          <w:rFonts w:hint="eastAsia" w:ascii="宋体" w:hAnsi="宋体" w:eastAsia="宋体" w:cs="宋体"/>
          <w:bCs/>
          <w:color w:val="FF0000"/>
          <w:sz w:val="24"/>
          <w:szCs w:val="24"/>
          <w:u w:val="single"/>
          <w:lang w:val="en-US" w:eastAsia="zh-CN"/>
        </w:rPr>
        <w:t>12</w:t>
      </w:r>
      <w:r>
        <w:rPr>
          <w:rFonts w:hint="eastAsia" w:ascii="宋体" w:hAnsi="宋体" w:eastAsia="宋体" w:cs="宋体"/>
          <w:bCs/>
          <w:color w:val="FF0000"/>
          <w:sz w:val="24"/>
          <w:szCs w:val="24"/>
          <w:u w:val="single"/>
          <w:lang w:eastAsia="zh-CN"/>
        </w:rPr>
        <w:t>日</w:t>
      </w:r>
      <w:r>
        <w:rPr>
          <w:rFonts w:hint="eastAsia" w:ascii="宋体" w:hAnsi="宋体" w:eastAsia="宋体" w:cs="宋体"/>
          <w:bCs/>
          <w:color w:val="FF0000"/>
          <w:sz w:val="24"/>
          <w:szCs w:val="24"/>
          <w:u w:val="single"/>
          <w:lang w:val="en-US" w:eastAsia="zh-CN"/>
        </w:rPr>
        <w:t>15</w:t>
      </w:r>
      <w:r>
        <w:rPr>
          <w:rFonts w:hint="eastAsia" w:ascii="宋体" w:hAnsi="宋体" w:eastAsia="宋体" w:cs="宋体"/>
          <w:bCs/>
          <w:color w:val="FF0000"/>
          <w:sz w:val="24"/>
          <w:szCs w:val="24"/>
          <w:u w:val="single"/>
          <w:lang w:eastAsia="zh-CN"/>
        </w:rPr>
        <w:t>时</w:t>
      </w:r>
      <w:r>
        <w:rPr>
          <w:rFonts w:hint="eastAsia" w:ascii="宋体" w:hAnsi="宋体" w:eastAsia="宋体" w:cs="宋体"/>
          <w:bCs/>
          <w:color w:val="FF0000"/>
          <w:sz w:val="24"/>
          <w:szCs w:val="24"/>
          <w:u w:val="single"/>
          <w:lang w:val="en-US" w:eastAsia="zh-CN"/>
        </w:rPr>
        <w:t>00</w:t>
      </w:r>
      <w:r>
        <w:rPr>
          <w:rFonts w:hint="eastAsia" w:ascii="宋体" w:hAnsi="宋体" w:eastAsia="宋体" w:cs="宋体"/>
          <w:bCs/>
          <w:color w:val="FF0000"/>
          <w:sz w:val="24"/>
          <w:szCs w:val="24"/>
          <w:u w:val="single"/>
          <w:lang w:eastAsia="zh-CN"/>
        </w:rPr>
        <w:t>分</w:t>
      </w:r>
      <w:r>
        <w:rPr>
          <w:rFonts w:hint="eastAsia" w:ascii="宋体" w:hAnsi="宋体" w:eastAsia="宋体" w:cs="宋体"/>
          <w:bCs/>
          <w:sz w:val="24"/>
          <w:szCs w:val="24"/>
        </w:rPr>
        <w:t>（北京时间）</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u w:val="single"/>
        </w:rPr>
      </w:pPr>
      <w:r>
        <w:rPr>
          <w:rFonts w:hint="eastAsia" w:ascii="宋体" w:hAnsi="宋体" w:eastAsia="宋体" w:cs="宋体"/>
          <w:bCs/>
          <w:sz w:val="24"/>
          <w:szCs w:val="24"/>
        </w:rPr>
        <w:t>提交响应文件地点：</w:t>
      </w:r>
      <w:r>
        <w:rPr>
          <w:rFonts w:hint="eastAsia" w:ascii="宋体" w:hAnsi="宋体" w:eastAsia="宋体" w:cs="宋体"/>
          <w:bCs/>
          <w:sz w:val="24"/>
          <w:szCs w:val="24"/>
          <w:lang w:eastAsia="zh-CN"/>
        </w:rPr>
        <w:t>钦州市钦州港区友谊大道1号自贸中心</w:t>
      </w:r>
      <w:r>
        <w:rPr>
          <w:rFonts w:ascii="Times New Roman" w:hAnsi="Times New Roman" w:eastAsia="宋体" w:cs="Times New Roman"/>
          <w:bCs/>
          <w:sz w:val="24"/>
          <w:szCs w:val="24"/>
        </w:rPr>
        <w:t>23</w:t>
      </w:r>
      <w:r>
        <w:rPr>
          <w:rFonts w:hint="eastAsia" w:ascii="宋体" w:hAnsi="宋体" w:eastAsia="宋体" w:cs="宋体"/>
          <w:bCs/>
          <w:sz w:val="24"/>
          <w:szCs w:val="24"/>
        </w:rPr>
        <w:t>楼风控审计部，联系人及电话：</w:t>
      </w:r>
      <w:r>
        <w:rPr>
          <w:rFonts w:hint="eastAsia" w:ascii="宋体" w:hAnsi="宋体" w:eastAsia="宋体" w:cs="宋体"/>
          <w:bCs/>
          <w:sz w:val="24"/>
          <w:szCs w:val="24"/>
          <w:u w:val="single"/>
        </w:rPr>
        <w:t>黄全炳</w:t>
      </w:r>
      <w:r>
        <w:rPr>
          <w:rFonts w:ascii="Times New Roman" w:hAnsi="Times New Roman" w:eastAsia="宋体" w:cs="Times New Roman"/>
          <w:bCs/>
          <w:sz w:val="24"/>
          <w:szCs w:val="24"/>
          <w:u w:val="single"/>
        </w:rPr>
        <w:t>07775881380</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不按规定密封、逾期送达的或者未送达指定地点的，采购人不予受理。</w:t>
      </w:r>
    </w:p>
    <w:p>
      <w:pPr>
        <w:keepNext w:val="0"/>
        <w:keepLines w:val="0"/>
        <w:pageBreakBefore w:val="0"/>
        <w:numPr>
          <w:ins w:id="0" w:author="风控审计部 黄全炳" w:date=""/>
        </w:numPr>
        <w:kinsoku/>
        <w:wordWrap/>
        <w:overflowPunct/>
        <w:topLinePunct w:val="0"/>
        <w:autoSpaceDE/>
        <w:autoSpaceDN/>
        <w:bidi w:val="0"/>
        <w:spacing w:line="240" w:lineRule="atLeast"/>
        <w:ind w:firstLine="480" w:firstLineChars="200"/>
        <w:textAlignment w:val="auto"/>
      </w:pPr>
      <w:r>
        <w:rPr>
          <w:rFonts w:ascii="宋体" w:hAnsi="宋体" w:eastAsia="宋体" w:cs="宋体"/>
          <w:bCs/>
          <w:sz w:val="24"/>
          <w:szCs w:val="24"/>
        </w:rPr>
        <w:t>注：以邮寄方式</w:t>
      </w:r>
      <w:r>
        <w:rPr>
          <w:rFonts w:hint="eastAsia" w:ascii="宋体" w:hAnsi="宋体" w:eastAsia="宋体" w:cs="宋体"/>
          <w:bCs/>
          <w:sz w:val="24"/>
          <w:szCs w:val="24"/>
        </w:rPr>
        <w:t>（建议寄顺丰）</w:t>
      </w:r>
      <w:r>
        <w:rPr>
          <w:rFonts w:ascii="宋体" w:hAnsi="宋体" w:eastAsia="宋体" w:cs="宋体"/>
          <w:bCs/>
          <w:sz w:val="24"/>
          <w:szCs w:val="24"/>
        </w:rPr>
        <w:t>提交的，应在截止时间前送达指定地点</w:t>
      </w:r>
      <w:r>
        <w:rPr>
          <w:rFonts w:hint="eastAsia" w:ascii="宋体" w:hAnsi="宋体" w:eastAsia="宋体" w:cs="宋体"/>
          <w:bCs/>
          <w:sz w:val="24"/>
          <w:szCs w:val="24"/>
          <w:lang w:eastAsia="zh-CN"/>
        </w:rPr>
        <w:t>并</w:t>
      </w:r>
      <w:r>
        <w:rPr>
          <w:rFonts w:ascii="宋体" w:hAnsi="宋体" w:eastAsia="宋体" w:cs="宋体"/>
          <w:bCs/>
          <w:sz w:val="24"/>
          <w:szCs w:val="24"/>
        </w:rPr>
        <w:t>签收，不按规定密封、逾期送达的按无效竞标处理。</w:t>
      </w:r>
    </w:p>
    <w:p>
      <w:pPr>
        <w:keepNext w:val="0"/>
        <w:keepLines w:val="0"/>
        <w:pageBreakBefore w:val="0"/>
        <w:kinsoku/>
        <w:wordWrap/>
        <w:overflowPunct/>
        <w:topLinePunct w:val="0"/>
        <w:autoSpaceDE/>
        <w:autoSpaceDN/>
        <w:bidi w:val="0"/>
        <w:spacing w:line="240" w:lineRule="atLeast"/>
        <w:textAlignment w:val="auto"/>
        <w:rPr>
          <w:rFonts w:ascii="宋体" w:hAnsi="宋体" w:eastAsia="宋体" w:cs="宋体"/>
          <w:b/>
          <w:bCs/>
          <w:sz w:val="24"/>
          <w:szCs w:val="24"/>
        </w:rPr>
      </w:pPr>
      <w:r>
        <w:rPr>
          <w:rFonts w:hint="eastAsia" w:ascii="宋体" w:hAnsi="宋体" w:eastAsia="宋体" w:cs="宋体"/>
          <w:b/>
          <w:bCs/>
          <w:sz w:val="24"/>
          <w:szCs w:val="24"/>
        </w:rPr>
        <w:t>五、开启</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时间：</w:t>
      </w:r>
      <w:r>
        <w:rPr>
          <w:rFonts w:hint="eastAsia" w:ascii="宋体" w:hAnsi="宋体" w:eastAsia="宋体" w:cs="宋体"/>
          <w:bCs/>
          <w:color w:val="FF0000"/>
          <w:sz w:val="24"/>
          <w:szCs w:val="24"/>
          <w:u w:val="single"/>
          <w:lang w:eastAsia="zh-CN"/>
        </w:rPr>
        <w:t xml:space="preserve"> 2024年7月</w:t>
      </w:r>
      <w:r>
        <w:rPr>
          <w:rFonts w:hint="eastAsia" w:ascii="宋体" w:hAnsi="宋体" w:eastAsia="宋体" w:cs="宋体"/>
          <w:bCs/>
          <w:color w:val="FF0000"/>
          <w:sz w:val="24"/>
          <w:szCs w:val="24"/>
          <w:u w:val="single"/>
          <w:lang w:val="en-US" w:eastAsia="zh-CN"/>
        </w:rPr>
        <w:t>12</w:t>
      </w:r>
      <w:bookmarkStart w:id="8" w:name="_GoBack"/>
      <w:bookmarkEnd w:id="8"/>
      <w:r>
        <w:rPr>
          <w:rFonts w:hint="eastAsia" w:ascii="宋体" w:hAnsi="宋体" w:eastAsia="宋体" w:cs="宋体"/>
          <w:bCs/>
          <w:color w:val="FF0000"/>
          <w:sz w:val="24"/>
          <w:szCs w:val="24"/>
          <w:u w:val="single"/>
          <w:lang w:eastAsia="zh-CN"/>
        </w:rPr>
        <w:t>日</w:t>
      </w:r>
      <w:r>
        <w:rPr>
          <w:rFonts w:hint="eastAsia" w:ascii="Times New Roman" w:hAnsi="Times New Roman" w:eastAsia="宋体" w:cs="Times New Roman"/>
          <w:bCs/>
          <w:color w:val="FF0000"/>
          <w:sz w:val="24"/>
          <w:szCs w:val="24"/>
          <w:u w:val="single"/>
          <w:lang w:val="en-US" w:eastAsia="zh-CN"/>
        </w:rPr>
        <w:t>15</w:t>
      </w:r>
      <w:r>
        <w:rPr>
          <w:rFonts w:hint="eastAsia" w:ascii="Times New Roman" w:hAnsi="Times New Roman" w:eastAsia="宋体" w:cs="Times New Roman"/>
          <w:bCs/>
          <w:color w:val="FF0000"/>
          <w:sz w:val="24"/>
          <w:szCs w:val="24"/>
          <w:u w:val="single"/>
          <w:lang w:eastAsia="zh-CN"/>
        </w:rPr>
        <w:t>时</w:t>
      </w:r>
      <w:r>
        <w:rPr>
          <w:rFonts w:hint="eastAsia" w:ascii="Times New Roman" w:hAnsi="Times New Roman" w:eastAsia="宋体" w:cs="Times New Roman"/>
          <w:bCs/>
          <w:color w:val="FF0000"/>
          <w:sz w:val="24"/>
          <w:szCs w:val="24"/>
          <w:u w:val="single"/>
          <w:lang w:val="en-US" w:eastAsia="zh-CN"/>
        </w:rPr>
        <w:t>00</w:t>
      </w:r>
      <w:r>
        <w:rPr>
          <w:rFonts w:hint="eastAsia" w:ascii="Times New Roman" w:hAnsi="Times New Roman" w:eastAsia="宋体" w:cs="Times New Roman"/>
          <w:bCs/>
          <w:color w:val="FF0000"/>
          <w:sz w:val="24"/>
          <w:szCs w:val="24"/>
          <w:u w:val="single"/>
          <w:lang w:eastAsia="zh-CN"/>
        </w:rPr>
        <w:t>分</w:t>
      </w:r>
      <w:r>
        <w:rPr>
          <w:rFonts w:hint="eastAsia" w:ascii="宋体" w:hAnsi="宋体" w:eastAsia="宋体" w:cs="宋体"/>
          <w:bCs/>
          <w:sz w:val="24"/>
          <w:szCs w:val="24"/>
        </w:rPr>
        <w:t>（北京时间）后；</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地点：</w:t>
      </w:r>
      <w:r>
        <w:rPr>
          <w:rFonts w:hint="eastAsia" w:ascii="宋体" w:hAnsi="宋体" w:eastAsia="宋体" w:cs="宋体"/>
          <w:bCs/>
          <w:sz w:val="24"/>
          <w:szCs w:val="24"/>
          <w:lang w:eastAsia="zh-CN"/>
        </w:rPr>
        <w:t>钦州市钦州港区友谊大道1号自贸中心</w:t>
      </w:r>
      <w:r>
        <w:rPr>
          <w:rFonts w:ascii="Times New Roman" w:hAnsi="Times New Roman" w:eastAsia="宋体" w:cs="Times New Roman"/>
          <w:bCs/>
          <w:sz w:val="24"/>
          <w:szCs w:val="24"/>
        </w:rPr>
        <w:t>23</w:t>
      </w:r>
      <w:r>
        <w:rPr>
          <w:rFonts w:hint="eastAsia" w:ascii="宋体" w:hAnsi="宋体" w:eastAsia="宋体" w:cs="宋体"/>
          <w:bCs/>
          <w:sz w:val="24"/>
          <w:szCs w:val="24"/>
        </w:rPr>
        <w:t>楼</w:t>
      </w:r>
    </w:p>
    <w:p>
      <w:pPr>
        <w:keepNext w:val="0"/>
        <w:keepLines w:val="0"/>
        <w:pageBreakBefore w:val="0"/>
        <w:kinsoku/>
        <w:wordWrap/>
        <w:overflowPunct/>
        <w:topLinePunct w:val="0"/>
        <w:autoSpaceDE/>
        <w:autoSpaceDN/>
        <w:bidi w:val="0"/>
        <w:spacing w:line="240" w:lineRule="atLeast"/>
        <w:textAlignment w:val="auto"/>
        <w:rPr>
          <w:rFonts w:ascii="宋体" w:hAnsi="宋体" w:eastAsia="宋体" w:cs="宋体"/>
          <w:b/>
          <w:bCs/>
          <w:sz w:val="24"/>
          <w:szCs w:val="24"/>
        </w:rPr>
      </w:pPr>
      <w:r>
        <w:rPr>
          <w:rFonts w:hint="eastAsia" w:ascii="宋体" w:hAnsi="宋体" w:eastAsia="宋体" w:cs="宋体"/>
          <w:b/>
          <w:bCs/>
          <w:sz w:val="24"/>
          <w:szCs w:val="24"/>
        </w:rPr>
        <w:t>六、公告期限</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自本公告发布之日起</w:t>
      </w:r>
      <w:r>
        <w:rPr>
          <w:rFonts w:ascii="Times New Roman" w:hAnsi="Times New Roman" w:eastAsia="宋体" w:cs="Times New Roman"/>
          <w:bCs/>
          <w:sz w:val="24"/>
          <w:szCs w:val="24"/>
        </w:rPr>
        <w:t>3</w:t>
      </w:r>
      <w:r>
        <w:rPr>
          <w:rFonts w:hint="eastAsia" w:ascii="宋体" w:hAnsi="宋体" w:eastAsia="宋体" w:cs="宋体"/>
          <w:bCs/>
          <w:sz w:val="24"/>
          <w:szCs w:val="24"/>
        </w:rPr>
        <w:t>个工作日。</w:t>
      </w:r>
    </w:p>
    <w:p>
      <w:pPr>
        <w:keepNext w:val="0"/>
        <w:keepLines w:val="0"/>
        <w:pageBreakBefore w:val="0"/>
        <w:kinsoku/>
        <w:wordWrap/>
        <w:overflowPunct/>
        <w:topLinePunct w:val="0"/>
        <w:autoSpaceDE/>
        <w:autoSpaceDN/>
        <w:bidi w:val="0"/>
        <w:spacing w:line="240" w:lineRule="atLeast"/>
        <w:textAlignment w:val="auto"/>
        <w:rPr>
          <w:rFonts w:ascii="宋体" w:hAnsi="宋体" w:eastAsia="宋体" w:cs="宋体"/>
          <w:b/>
          <w:bCs/>
          <w:sz w:val="24"/>
          <w:szCs w:val="24"/>
        </w:rPr>
      </w:pPr>
      <w:r>
        <w:rPr>
          <w:rFonts w:hint="eastAsia" w:ascii="宋体" w:hAnsi="宋体" w:eastAsia="宋体" w:cs="宋体"/>
          <w:b/>
          <w:bCs/>
          <w:sz w:val="24"/>
          <w:szCs w:val="24"/>
        </w:rPr>
        <w:t>七、其他</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ascii="Times New Roman" w:hAnsi="Times New Roman" w:eastAsia="宋体" w:cs="Times New Roman"/>
          <w:bCs/>
          <w:sz w:val="24"/>
          <w:szCs w:val="24"/>
        </w:rPr>
        <w:t>1</w:t>
      </w:r>
      <w:r>
        <w:rPr>
          <w:rFonts w:ascii="宋体" w:hAnsi="宋体" w:eastAsia="宋体" w:cs="宋体"/>
          <w:bCs/>
          <w:sz w:val="24"/>
          <w:szCs w:val="24"/>
        </w:rPr>
        <w:t>.响应文件应装在一个密封袋内，并进行密封，加盖密封章或单位公章。密封袋外应注明项目名称。</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ascii="Times New Roman" w:hAnsi="Times New Roman" w:eastAsia="宋体" w:cs="Times New Roman"/>
          <w:bCs/>
          <w:sz w:val="24"/>
          <w:szCs w:val="24"/>
        </w:rPr>
        <w:t>2</w:t>
      </w:r>
      <w:r>
        <w:rPr>
          <w:rFonts w:ascii="宋体" w:hAnsi="宋体" w:eastAsia="宋体" w:cs="宋体"/>
          <w:bCs/>
          <w:sz w:val="24"/>
          <w:szCs w:val="24"/>
        </w:rPr>
        <w:t>.有关招标采购事务和本项目的补充公告，敬请关注本网站发布的信息。竞标人或潜在竞标人未及时关注相关信息的，所造成的一切后果由竞标人或潜在竞标人自行承担。</w:t>
      </w:r>
    </w:p>
    <w:p>
      <w:pPr>
        <w:keepNext w:val="0"/>
        <w:keepLines w:val="0"/>
        <w:pageBreakBefore w:val="0"/>
        <w:kinsoku/>
        <w:wordWrap/>
        <w:overflowPunct/>
        <w:topLinePunct w:val="0"/>
        <w:autoSpaceDE/>
        <w:autoSpaceDN/>
        <w:bidi w:val="0"/>
        <w:spacing w:line="240" w:lineRule="atLeast"/>
        <w:textAlignment w:val="auto"/>
        <w:rPr>
          <w:rFonts w:ascii="宋体" w:hAnsi="宋体" w:eastAsia="宋体" w:cs="宋体"/>
          <w:b/>
          <w:bCs/>
          <w:sz w:val="24"/>
          <w:szCs w:val="24"/>
        </w:rPr>
      </w:pPr>
      <w:r>
        <w:rPr>
          <w:rFonts w:hint="eastAsia" w:ascii="宋体" w:hAnsi="宋体" w:eastAsia="宋体" w:cs="宋体"/>
          <w:b/>
          <w:bCs/>
          <w:sz w:val="24"/>
          <w:szCs w:val="24"/>
        </w:rPr>
        <w:t>八、凡对本次采购提出询问的请按以下方式联系</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ascii="Times New Roman" w:hAnsi="Times New Roman" w:eastAsia="宋体" w:cs="Times New Roman"/>
          <w:bCs/>
          <w:sz w:val="24"/>
          <w:szCs w:val="24"/>
        </w:rPr>
        <w:t>1</w:t>
      </w:r>
      <w:r>
        <w:rPr>
          <w:rFonts w:hint="eastAsia" w:ascii="宋体" w:hAnsi="宋体" w:eastAsia="宋体" w:cs="宋体"/>
          <w:bCs/>
          <w:sz w:val="24"/>
          <w:szCs w:val="24"/>
        </w:rPr>
        <w:t>.采购人信息</w:t>
      </w:r>
    </w:p>
    <w:p>
      <w:pPr>
        <w:pStyle w:val="20"/>
        <w:keepNext w:val="0"/>
        <w:keepLines w:val="0"/>
        <w:pageBreakBefore w:val="0"/>
        <w:widowControl/>
        <w:suppressLineNumbers w:val="0"/>
        <w:kinsoku/>
        <w:wordWrap/>
        <w:overflowPunct/>
        <w:topLinePunct w:val="0"/>
        <w:autoSpaceDE/>
        <w:autoSpaceDN/>
        <w:bidi w:val="0"/>
        <w:spacing w:before="0" w:beforeAutospacing="0" w:after="0" w:afterAutospacing="0" w:line="240" w:lineRule="atLeast"/>
        <w:ind w:left="0" w:firstLine="480" w:firstLineChars="200"/>
        <w:jc w:val="left"/>
        <w:textAlignment w:val="auto"/>
        <w:rPr>
          <w:rFonts w:ascii="宋体" w:hAnsi="宋体" w:eastAsia="宋体" w:cs="宋体"/>
          <w:bCs/>
          <w:sz w:val="24"/>
          <w:szCs w:val="24"/>
          <w:u w:val="single"/>
        </w:rPr>
      </w:pPr>
      <w:r>
        <w:rPr>
          <w:rFonts w:hint="eastAsia" w:ascii="宋体" w:hAnsi="宋体" w:eastAsia="宋体" w:cs="宋体"/>
          <w:bCs/>
          <w:sz w:val="24"/>
          <w:szCs w:val="24"/>
        </w:rPr>
        <w:t>名称：</w:t>
      </w:r>
      <w:r>
        <w:rPr>
          <w:rFonts w:hint="eastAsia" w:ascii="宋体" w:hAnsi="宋体" w:eastAsia="宋体" w:cs="宋体"/>
          <w:b w:val="0"/>
          <w:bCs/>
          <w:sz w:val="24"/>
          <w:szCs w:val="24"/>
          <w:u w:val="single"/>
          <w:lang w:val="en-US" w:eastAsia="zh-CN"/>
        </w:rPr>
        <w:t>广西自贸区产融城市运营管理有限公司</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Cs/>
          <w:sz w:val="24"/>
          <w:szCs w:val="24"/>
        </w:rPr>
        <w:t>地址：</w:t>
      </w:r>
      <w:r>
        <w:rPr>
          <w:rFonts w:hint="eastAsia" w:ascii="宋体" w:hAnsi="宋体" w:eastAsia="宋体" w:cs="宋体"/>
          <w:b w:val="0"/>
          <w:bCs/>
          <w:sz w:val="24"/>
          <w:szCs w:val="24"/>
          <w:u w:val="single"/>
          <w:lang w:val="en-US" w:eastAsia="zh-CN"/>
        </w:rPr>
        <w:t>钦州市钦州港区友谊大道1号自贸中心23楼</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firstLine="480" w:firstLineChars="200"/>
        <w:jc w:val="left"/>
        <w:textAlignment w:val="auto"/>
        <w:rPr>
          <w:rFonts w:hint="eastAsia" w:ascii="宋体" w:hAnsi="宋体" w:eastAsia="宋体" w:cs="宋体"/>
          <w:bCs/>
          <w:sz w:val="24"/>
          <w:szCs w:val="24"/>
          <w:u w:val="single"/>
        </w:rPr>
      </w:pPr>
      <w:r>
        <w:rPr>
          <w:rFonts w:hint="eastAsia" w:ascii="宋体" w:hAnsi="宋体" w:eastAsia="宋体" w:cs="宋体"/>
          <w:bCs/>
          <w:sz w:val="24"/>
          <w:szCs w:val="24"/>
        </w:rPr>
        <w:t>联系方式：</w:t>
      </w:r>
      <w:r>
        <w:rPr>
          <w:rFonts w:hint="eastAsia" w:ascii="宋体" w:hAnsi="宋体" w:eastAsia="宋体" w:cs="宋体"/>
          <w:b w:val="0"/>
          <w:bCs/>
          <w:sz w:val="24"/>
          <w:szCs w:val="24"/>
          <w:u w:val="single"/>
          <w:lang w:val="en-US" w:eastAsia="zh-CN"/>
        </w:rPr>
        <w:t>15307775265（马武伟）</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ascii="Times New Roman" w:hAnsi="Times New Roman" w:eastAsia="宋体" w:cs="Times New Roman"/>
          <w:bCs/>
          <w:sz w:val="24"/>
          <w:szCs w:val="24"/>
        </w:rPr>
        <w:t>2</w:t>
      </w:r>
      <w:r>
        <w:rPr>
          <w:rFonts w:hint="eastAsia" w:ascii="宋体" w:hAnsi="宋体" w:eastAsia="宋体" w:cs="宋体"/>
          <w:bCs/>
          <w:sz w:val="24"/>
          <w:szCs w:val="24"/>
        </w:rPr>
        <w:t>.监督部门信息</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名称：</w:t>
      </w:r>
      <w:r>
        <w:rPr>
          <w:rFonts w:hint="eastAsia" w:ascii="宋体" w:hAnsi="宋体" w:eastAsia="宋体" w:cs="宋体"/>
          <w:bCs/>
          <w:sz w:val="24"/>
          <w:szCs w:val="24"/>
          <w:u w:val="single"/>
        </w:rPr>
        <w:t>广西自贸区钦州港</w:t>
      </w:r>
      <w:r>
        <w:rPr>
          <w:rFonts w:hint="eastAsia" w:ascii="宋体" w:hAnsi="宋体" w:eastAsia="宋体" w:cs="宋体"/>
          <w:bCs/>
          <w:sz w:val="24"/>
          <w:szCs w:val="24"/>
          <w:u w:val="single"/>
          <w:lang w:val="en-US" w:eastAsia="zh-CN"/>
        </w:rPr>
        <w:t>片</w:t>
      </w:r>
      <w:r>
        <w:rPr>
          <w:rFonts w:hint="eastAsia" w:ascii="宋体" w:hAnsi="宋体" w:eastAsia="宋体" w:cs="宋体"/>
          <w:bCs/>
          <w:sz w:val="24"/>
          <w:szCs w:val="24"/>
          <w:u w:val="single"/>
        </w:rPr>
        <w:t>区开发投资集团有限责任公司风控审计部（</w:t>
      </w:r>
      <w:r>
        <w:rPr>
          <w:rFonts w:hint="eastAsia" w:ascii="宋体" w:hAnsi="宋体" w:eastAsia="宋体" w:cs="宋体"/>
          <w:bCs/>
          <w:sz w:val="24"/>
          <w:szCs w:val="24"/>
          <w:u w:val="single"/>
          <w:lang w:eastAsia="zh-CN"/>
        </w:rPr>
        <w:t>办公室</w:t>
      </w:r>
      <w:r>
        <w:rPr>
          <w:rFonts w:hint="eastAsia" w:ascii="宋体" w:hAnsi="宋体" w:eastAsia="宋体" w:cs="宋体"/>
          <w:bCs/>
          <w:sz w:val="24"/>
          <w:szCs w:val="24"/>
          <w:u w:val="single"/>
        </w:rPr>
        <w:t>或财务部）</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地址：</w:t>
      </w:r>
      <w:r>
        <w:rPr>
          <w:rFonts w:hint="eastAsia" w:ascii="宋体" w:hAnsi="宋体" w:eastAsia="宋体" w:cs="宋体"/>
          <w:bCs/>
          <w:sz w:val="24"/>
          <w:szCs w:val="24"/>
          <w:u w:val="single"/>
          <w:lang w:eastAsia="zh-CN"/>
        </w:rPr>
        <w:t>钦州市钦州港区友谊大道1号自贸中心</w:t>
      </w:r>
      <w:r>
        <w:rPr>
          <w:rFonts w:ascii="Times New Roman" w:hAnsi="Times New Roman" w:eastAsia="宋体" w:cs="Times New Roman"/>
          <w:bCs/>
          <w:sz w:val="24"/>
          <w:szCs w:val="24"/>
          <w:u w:val="single"/>
        </w:rPr>
        <w:t>23</w:t>
      </w:r>
      <w:r>
        <w:rPr>
          <w:rFonts w:hint="eastAsia" w:ascii="宋体" w:hAnsi="宋体" w:eastAsia="宋体" w:cs="宋体"/>
          <w:bCs/>
          <w:sz w:val="24"/>
          <w:szCs w:val="24"/>
          <w:u w:val="single"/>
        </w:rPr>
        <w:t>、</w:t>
      </w:r>
      <w:r>
        <w:rPr>
          <w:rFonts w:ascii="Times New Roman" w:hAnsi="Times New Roman" w:eastAsia="宋体" w:cs="Times New Roman"/>
          <w:bCs/>
          <w:sz w:val="24"/>
          <w:szCs w:val="24"/>
          <w:u w:val="single"/>
        </w:rPr>
        <w:t>24</w:t>
      </w:r>
      <w:r>
        <w:rPr>
          <w:rFonts w:hint="eastAsia" w:ascii="宋体" w:hAnsi="宋体" w:eastAsia="宋体" w:cs="宋体"/>
          <w:bCs/>
          <w:sz w:val="24"/>
          <w:szCs w:val="24"/>
          <w:u w:val="single"/>
        </w:rPr>
        <w:t>楼</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u w:val="single"/>
        </w:rPr>
      </w:pPr>
      <w:r>
        <w:rPr>
          <w:rFonts w:hint="eastAsia" w:ascii="宋体" w:hAnsi="宋体" w:eastAsia="宋体" w:cs="宋体"/>
          <w:bCs/>
          <w:sz w:val="24"/>
          <w:szCs w:val="24"/>
        </w:rPr>
        <w:t>联系方式：</w:t>
      </w:r>
      <w:r>
        <w:rPr>
          <w:rFonts w:ascii="Times New Roman" w:hAnsi="Times New Roman" w:eastAsia="宋体" w:cs="Times New Roman"/>
          <w:bCs/>
          <w:sz w:val="24"/>
          <w:szCs w:val="24"/>
          <w:u w:val="single"/>
        </w:rPr>
        <w:t>07775881380</w:t>
      </w:r>
      <w:r>
        <w:rPr>
          <w:rFonts w:hint="eastAsia" w:ascii="宋体" w:hAnsi="宋体" w:eastAsia="宋体" w:cs="宋体"/>
          <w:bCs/>
          <w:sz w:val="24"/>
          <w:szCs w:val="24"/>
          <w:u w:val="single"/>
        </w:rPr>
        <w:t>（风控-黄全炳）、</w:t>
      </w:r>
      <w:r>
        <w:rPr>
          <w:rFonts w:ascii="Times New Roman" w:hAnsi="Times New Roman" w:eastAsia="宋体" w:cs="Times New Roman"/>
          <w:bCs/>
          <w:sz w:val="24"/>
          <w:szCs w:val="24"/>
          <w:u w:val="single"/>
        </w:rPr>
        <w:t>0777</w:t>
      </w:r>
      <w:r>
        <w:rPr>
          <w:rFonts w:hint="eastAsia" w:ascii="宋体" w:hAnsi="宋体" w:eastAsia="宋体" w:cs="宋体"/>
          <w:bCs/>
          <w:sz w:val="24"/>
          <w:szCs w:val="24"/>
          <w:u w:val="single"/>
        </w:rPr>
        <w:t>-</w:t>
      </w:r>
      <w:r>
        <w:rPr>
          <w:rFonts w:ascii="Times New Roman" w:hAnsi="Times New Roman" w:eastAsia="宋体" w:cs="Times New Roman"/>
          <w:bCs/>
          <w:sz w:val="24"/>
          <w:szCs w:val="24"/>
          <w:u w:val="single"/>
        </w:rPr>
        <w:t>5818333</w:t>
      </w:r>
      <w:r>
        <w:rPr>
          <w:rFonts w:hint="eastAsia" w:ascii="宋体" w:hAnsi="宋体" w:eastAsia="宋体" w:cs="宋体"/>
          <w:bCs/>
          <w:sz w:val="24"/>
          <w:szCs w:val="24"/>
          <w:u w:val="single"/>
        </w:rPr>
        <w:t>（</w:t>
      </w:r>
      <w:r>
        <w:rPr>
          <w:rFonts w:hint="eastAsia" w:ascii="宋体" w:hAnsi="宋体" w:eastAsia="宋体" w:cs="宋体"/>
          <w:bCs/>
          <w:sz w:val="24"/>
          <w:szCs w:val="24"/>
          <w:u w:val="single"/>
          <w:lang w:eastAsia="zh-CN"/>
        </w:rPr>
        <w:t>办公室</w:t>
      </w:r>
      <w:r>
        <w:rPr>
          <w:rFonts w:hint="eastAsia" w:ascii="宋体" w:hAnsi="宋体" w:eastAsia="宋体" w:cs="宋体"/>
          <w:bCs/>
          <w:sz w:val="24"/>
          <w:szCs w:val="24"/>
          <w:u w:val="single"/>
        </w:rPr>
        <w:t>-曾斌繁）</w:t>
      </w:r>
    </w:p>
    <w:p>
      <w:pPr>
        <w:jc w:val="left"/>
        <w:rPr>
          <w:rFonts w:ascii="宋体" w:hAnsi="宋体" w:eastAsia="宋体" w:cs="宋体"/>
          <w:b/>
          <w:bCs/>
          <w:sz w:val="36"/>
          <w:szCs w:val="36"/>
        </w:rPr>
      </w:pPr>
      <w:r>
        <w:rPr>
          <w:rFonts w:hint="eastAsia" w:ascii="宋体" w:hAnsi="宋体" w:eastAsia="宋体" w:cs="宋体"/>
          <w:b/>
          <w:bCs/>
          <w:sz w:val="36"/>
          <w:szCs w:val="36"/>
        </w:rPr>
        <w:br w:type="page"/>
      </w:r>
    </w:p>
    <w:p>
      <w:pPr>
        <w:numPr>
          <w:ilvl w:val="255"/>
          <w:numId w:val="0"/>
        </w:numPr>
        <w:adjustRightInd w:val="0"/>
        <w:snapToGrid w:val="0"/>
        <w:ind w:firstLine="482" w:firstLineChars="200"/>
        <w:jc w:val="left"/>
        <w:rPr>
          <w:rFonts w:ascii="宋体" w:hAnsi="宋体" w:eastAsia="宋体" w:cs="宋体"/>
          <w:b/>
          <w:bCs/>
          <w:sz w:val="24"/>
          <w:szCs w:val="24"/>
          <w:lang w:bidi="zh-CN"/>
        </w:rPr>
      </w:pPr>
      <w:r>
        <w:rPr>
          <w:rFonts w:hint="eastAsia" w:ascii="宋体" w:hAnsi="宋体" w:eastAsia="宋体" w:cs="宋体"/>
          <w:b/>
          <w:bCs/>
          <w:sz w:val="24"/>
          <w:szCs w:val="24"/>
          <w:lang w:bidi="zh-CN"/>
        </w:rPr>
        <w:t>说明：</w:t>
      </w:r>
    </w:p>
    <w:p>
      <w:pPr>
        <w:numPr>
          <w:ilvl w:val="0"/>
          <w:numId w:val="2"/>
        </w:num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pPr>
        <w:numPr>
          <w:ilvl w:val="0"/>
          <w:numId w:val="2"/>
        </w:num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未标注★号的内容负偏离达到</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项以上（含</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项）则被认为是实质性要求和条件不响应，作竞标无效处理。</w:t>
      </w:r>
    </w:p>
    <w:p>
      <w:pPr>
        <w:numPr>
          <w:ilvl w:val="255"/>
          <w:numId w:val="0"/>
        </w:numPr>
        <w:adjustRightInd w:val="0"/>
        <w:snapToGrid w:val="0"/>
        <w:spacing w:beforeLines="50"/>
        <w:jc w:val="center"/>
        <w:rPr>
          <w:rFonts w:ascii="宋体" w:hAnsi="宋体" w:eastAsia="宋体" w:cs="宋体"/>
          <w:b/>
          <w:bCs/>
          <w:sz w:val="28"/>
          <w:szCs w:val="28"/>
          <w:lang w:bidi="zh-CN"/>
        </w:rPr>
      </w:pPr>
      <w:r>
        <w:rPr>
          <w:rFonts w:hint="eastAsia" w:ascii="宋体" w:hAnsi="宋体" w:eastAsia="宋体" w:cs="宋体"/>
          <w:b/>
          <w:bCs/>
          <w:sz w:val="28"/>
          <w:szCs w:val="28"/>
          <w:lang w:bidi="zh-CN"/>
        </w:rPr>
        <w:t>采购需求表</w:t>
      </w:r>
    </w:p>
    <w:tbl>
      <w:tblPr>
        <w:tblStyle w:val="22"/>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sz w:val="24"/>
                <w:szCs w:val="24"/>
                <w:lang w:bidi="zh-CN"/>
              </w:rPr>
              <w:t>★</w:t>
            </w:r>
            <w:r>
              <w:rPr>
                <w:rFonts w:hint="eastAsia" w:ascii="宋体" w:hAnsi="宋体" w:eastAsia="宋体" w:cs="宋体"/>
                <w:sz w:val="28"/>
                <w:szCs w:val="28"/>
                <w:lang w:bidi="zh-CN"/>
              </w:rPr>
              <w:t>一</w:t>
            </w:r>
            <w:r>
              <w:rPr>
                <w:rFonts w:hint="eastAsia" w:ascii="宋体" w:hAnsi="宋体" w:eastAsia="宋体" w:cs="宋体"/>
                <w:b/>
                <w:bCs/>
                <w:kern w:val="0"/>
                <w:szCs w:val="21"/>
              </w:rPr>
              <w:t>、商务要求</w:t>
            </w:r>
          </w:p>
        </w:tc>
      </w:tr>
      <w:tr>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宋体" w:hAnsi="宋体" w:eastAsia="宋体" w:cs="宋体"/>
                <w:kern w:val="0"/>
                <w:sz w:val="22"/>
                <w:lang w:val="en-US" w:eastAsia="zh-CN"/>
              </w:rPr>
            </w:pPr>
            <w:r>
              <w:rPr>
                <w:rFonts w:hint="eastAsia" w:ascii="宋体" w:hAnsi="宋体" w:eastAsia="宋体" w:cs="宋体"/>
                <w:b/>
                <w:szCs w:val="21"/>
                <w:lang w:val="en-US" w:eastAsia="zh-CN"/>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宋体" w:hAnsi="宋体" w:eastAsia="宋体" w:cs="宋体"/>
                <w:kern w:val="0"/>
                <w:sz w:val="22"/>
              </w:rPr>
            </w:pPr>
            <w:r>
              <w:rPr>
                <w:rFonts w:hint="eastAsia" w:ascii="宋体" w:hAnsi="宋体" w:eastAsia="宋体" w:cs="宋体"/>
                <w:bCs/>
                <w:szCs w:val="21"/>
              </w:rPr>
              <w:t>自签订合同至工程竣工验收合格止</w:t>
            </w:r>
            <w:r>
              <w:rPr>
                <w:rFonts w:hint="eastAsia" w:ascii="宋体" w:hAnsi="宋体"/>
                <w:sz w:val="24"/>
              </w:rPr>
              <w:t>。</w:t>
            </w:r>
          </w:p>
        </w:tc>
      </w:tr>
      <w:tr>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eastAsia="宋体" w:cs="宋体"/>
                <w:b/>
                <w:bCs/>
                <w:kern w:val="0"/>
                <w:sz w:val="22"/>
              </w:rPr>
            </w:pPr>
            <w:r>
              <w:rPr>
                <w:rFonts w:hint="eastAsia" w:ascii="宋体" w:hAnsi="宋体" w:eastAsia="宋体" w:cs="宋体"/>
                <w:b/>
                <w:bCs/>
                <w:kern w:val="0"/>
                <w:sz w:val="22"/>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宋体" w:hAnsi="宋体" w:eastAsia="宋体" w:cs="宋体"/>
                <w:kern w:val="0"/>
                <w:sz w:val="22"/>
              </w:rPr>
            </w:pPr>
            <w:r>
              <w:rPr>
                <w:rFonts w:hint="eastAsia" w:ascii="宋体" w:hAnsi="宋体" w:eastAsia="宋体" w:cs="宋体"/>
                <w:kern w:val="0"/>
                <w:sz w:val="22"/>
                <w:lang w:bidi="ar"/>
              </w:rPr>
              <w:t>符合国家现行标准、技术规范及本项目的特定要求。</w:t>
            </w:r>
          </w:p>
        </w:tc>
      </w:tr>
      <w:tr>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eastAsia="宋体" w:cs="宋体"/>
                <w:b/>
                <w:bCs/>
                <w:kern w:val="0"/>
                <w:sz w:val="22"/>
              </w:rPr>
            </w:pPr>
            <w:r>
              <w:rPr>
                <w:rFonts w:hint="eastAsia" w:ascii="宋体" w:hAnsi="宋体" w:eastAsia="宋体" w:cs="宋体"/>
                <w:b/>
                <w:bCs/>
                <w:kern w:val="0"/>
                <w:sz w:val="22"/>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rPr>
                <w:rFonts w:ascii="宋体" w:hAnsi="宋体" w:eastAsia="宋体"/>
                <w:kern w:val="0"/>
                <w:sz w:val="24"/>
                <w:szCs w:val="21"/>
                <w:lang w:bidi="zh-CN"/>
              </w:rPr>
            </w:pPr>
            <w:r>
              <w:rPr>
                <w:rFonts w:hint="default" w:ascii="Times New Roman" w:hAnsi="Times New Roman" w:eastAsia="宋体" w:cs="Times New Roman"/>
                <w:bCs/>
                <w:szCs w:val="21"/>
              </w:rPr>
              <w:t>1</w:t>
            </w:r>
            <w:r>
              <w:rPr>
                <w:rFonts w:hint="eastAsia" w:ascii="宋体" w:hAnsi="宋体" w:eastAsia="宋体"/>
                <w:bCs/>
                <w:kern w:val="0"/>
                <w:szCs w:val="21"/>
              </w:rPr>
              <w:t>.</w:t>
            </w:r>
            <w:r>
              <w:rPr>
                <w:rFonts w:hint="eastAsia" w:hAnsi="宋体" w:eastAsia="宋体"/>
                <w:kern w:val="0"/>
                <w:szCs w:val="21"/>
              </w:rPr>
              <w:t>本工程无预付款。完成全部检测工作量的</w:t>
            </w:r>
            <w:r>
              <w:rPr>
                <w:rFonts w:hint="default" w:ascii="Times New Roman" w:hAnsi="Times New Roman" w:eastAsia="宋体" w:cs="Times New Roman"/>
                <w:kern w:val="0"/>
                <w:szCs w:val="21"/>
              </w:rPr>
              <w:t>60</w:t>
            </w:r>
            <w:r>
              <w:rPr>
                <w:rFonts w:hint="eastAsia" w:hAnsi="宋体" w:eastAsia="宋体"/>
                <w:kern w:val="0"/>
                <w:szCs w:val="21"/>
              </w:rPr>
              <w:t>%，支付至合同价</w:t>
            </w:r>
            <w:r>
              <w:rPr>
                <w:rFonts w:hint="default" w:ascii="Times New Roman" w:hAnsi="Times New Roman" w:eastAsia="宋体" w:cs="Times New Roman"/>
                <w:kern w:val="0"/>
                <w:szCs w:val="21"/>
              </w:rPr>
              <w:t>40</w:t>
            </w:r>
            <w:r>
              <w:rPr>
                <w:rFonts w:hint="eastAsia" w:hAnsi="宋体" w:eastAsia="宋体"/>
                <w:kern w:val="0"/>
                <w:szCs w:val="21"/>
              </w:rPr>
              <w:t>%费用，检测工作完成，并提交所有检测成果报告，经甲方书面验收合格，支付至合同检测费用的</w:t>
            </w:r>
            <w:r>
              <w:rPr>
                <w:rFonts w:hint="default" w:ascii="Times New Roman" w:hAnsi="Times New Roman" w:eastAsia="宋体" w:cs="Times New Roman"/>
                <w:kern w:val="0"/>
                <w:szCs w:val="21"/>
              </w:rPr>
              <w:t>100</w:t>
            </w:r>
            <w:r>
              <w:rPr>
                <w:rFonts w:hint="eastAsia" w:hAnsi="宋体" w:eastAsia="宋体"/>
                <w:kern w:val="0"/>
                <w:szCs w:val="21"/>
              </w:rPr>
              <w:t>%费用，如遇工程停工半年（含半年）以上，工程进度未达到进度款支付节点，甲方双方应就停工前的进度按百分比</w:t>
            </w:r>
            <w:r>
              <w:rPr>
                <w:rFonts w:hint="eastAsia" w:hAnsi="宋体" w:eastAsia="宋体"/>
                <w:kern w:val="0"/>
                <w:szCs w:val="21"/>
                <w:lang w:eastAsia="zh-CN"/>
              </w:rPr>
              <w:t>协商</w:t>
            </w:r>
            <w:r>
              <w:rPr>
                <w:rFonts w:hint="eastAsia" w:hAnsi="宋体" w:eastAsia="宋体"/>
                <w:kern w:val="0"/>
                <w:szCs w:val="21"/>
              </w:rPr>
              <w:t>支付测费用。乙方应在甲方付款前提供合格、有效且等额发票给甲方。</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kern w:val="0"/>
                <w:sz w:val="22"/>
                <w:lang w:val="en-US" w:eastAsia="zh-CN"/>
              </w:rPr>
            </w:pPr>
            <w:r>
              <w:rPr>
                <w:rFonts w:hint="default" w:ascii="Times New Roman" w:hAnsi="Times New Roman" w:eastAsia="宋体" w:cs="Times New Roman"/>
                <w:bCs/>
                <w:kern w:val="0"/>
                <w:szCs w:val="21"/>
              </w:rPr>
              <w:t>2</w:t>
            </w:r>
            <w:r>
              <w:rPr>
                <w:rFonts w:hint="eastAsia" w:ascii="宋体" w:hAnsi="宋体" w:eastAsia="宋体" w:cs="宋体"/>
                <w:szCs w:val="21"/>
              </w:rPr>
              <w:t>.</w:t>
            </w:r>
            <w:r>
              <w:rPr>
                <w:rFonts w:hint="eastAsia" w:hAnsi="宋体" w:eastAsia="宋体"/>
                <w:kern w:val="0"/>
                <w:szCs w:val="21"/>
              </w:rPr>
              <w:t>采购人</w:t>
            </w:r>
            <w:r>
              <w:rPr>
                <w:rFonts w:hint="eastAsia" w:ascii="宋体" w:hAnsi="宋体" w:eastAsia="宋体" w:cs="Times New Roman"/>
                <w:kern w:val="0"/>
                <w:szCs w:val="21"/>
              </w:rPr>
              <w:t>付款前，</w:t>
            </w:r>
            <w:r>
              <w:rPr>
                <w:rFonts w:hint="eastAsia" w:ascii="宋体" w:hAnsi="宋体" w:eastAsia="宋体" w:cs="宋体"/>
                <w:szCs w:val="21"/>
              </w:rPr>
              <w:t>成交人</w:t>
            </w:r>
            <w:r>
              <w:rPr>
                <w:rFonts w:hint="eastAsia" w:ascii="宋体" w:hAnsi="宋体" w:eastAsia="宋体" w:cs="Times New Roman"/>
                <w:kern w:val="0"/>
                <w:szCs w:val="21"/>
              </w:rPr>
              <w:t>应向</w:t>
            </w:r>
            <w:r>
              <w:rPr>
                <w:rFonts w:hint="eastAsia" w:hAnsi="宋体" w:eastAsia="宋体"/>
                <w:kern w:val="0"/>
                <w:szCs w:val="21"/>
              </w:rPr>
              <w:t>采购人</w:t>
            </w:r>
            <w:r>
              <w:rPr>
                <w:rFonts w:hint="eastAsia" w:ascii="宋体" w:hAnsi="宋体" w:eastAsia="宋体" w:cs="Times New Roman"/>
                <w:kern w:val="0"/>
                <w:szCs w:val="21"/>
              </w:rPr>
              <w:t>提交书面付款申请（说明应付款的理由、金额、收款账户等）及增值税专用发票，否则</w:t>
            </w:r>
            <w:r>
              <w:rPr>
                <w:rFonts w:hint="eastAsia" w:hAnsi="宋体" w:eastAsia="宋体"/>
                <w:kern w:val="0"/>
                <w:szCs w:val="21"/>
              </w:rPr>
              <w:t>采购人</w:t>
            </w:r>
            <w:r>
              <w:rPr>
                <w:rFonts w:hint="eastAsia" w:ascii="宋体" w:hAnsi="宋体" w:eastAsia="宋体" w:cs="Times New Roman"/>
                <w:kern w:val="0"/>
                <w:szCs w:val="21"/>
              </w:rPr>
              <w:t>有权拒绝付款，且不构成违约。</w:t>
            </w:r>
          </w:p>
        </w:tc>
      </w:tr>
      <w:tr>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eastAsia="宋体" w:cs="宋体"/>
                <w:b/>
                <w:bCs/>
                <w:kern w:val="0"/>
                <w:sz w:val="22"/>
              </w:rPr>
            </w:pPr>
            <w:r>
              <w:rPr>
                <w:rFonts w:hint="eastAsia" w:ascii="宋体" w:hAnsi="宋体" w:eastAsia="宋体" w:cs="宋体"/>
                <w:b/>
                <w:bCs/>
                <w:kern w:val="0"/>
                <w:sz w:val="22"/>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宋体" w:hAnsi="宋体" w:eastAsia="宋体" w:cs="宋体"/>
                <w:kern w:val="0"/>
                <w:sz w:val="22"/>
              </w:rPr>
            </w:pPr>
            <w:r>
              <w:rPr>
                <w:rFonts w:hint="eastAsia" w:ascii="宋体" w:hAnsi="宋体" w:eastAsia="宋体" w:cs="宋体"/>
                <w:kern w:val="0"/>
                <w:sz w:val="22"/>
              </w:rPr>
              <w:t>无</w:t>
            </w:r>
          </w:p>
        </w:tc>
      </w:tr>
    </w:tbl>
    <w:p>
      <w:pPr>
        <w:ind w:firstLine="420"/>
        <w:rPr>
          <w:rFonts w:ascii="宋体" w:hAnsi="宋体" w:eastAsia="宋体" w:cs="宋体"/>
          <w:kern w:val="0"/>
          <w:szCs w:val="21"/>
          <w:lang w:bidi="zh-CN"/>
        </w:rPr>
      </w:pPr>
    </w:p>
    <w:p>
      <w:pPr>
        <w:rPr>
          <w:rFonts w:ascii="宋体" w:hAnsi="宋体" w:eastAsia="宋体" w:cs="宋体"/>
          <w:sz w:val="24"/>
          <w:szCs w:val="24"/>
          <w:lang w:bidi="zh-CN"/>
        </w:rPr>
      </w:pPr>
    </w:p>
    <w:p>
      <w:r>
        <w:rPr>
          <w:rFonts w:hint="eastAsia"/>
        </w:rPr>
        <w:br w:type="page"/>
      </w:r>
    </w:p>
    <w:p>
      <w:pPr>
        <w:pStyle w:val="40"/>
        <w:spacing w:after="312"/>
        <w:rPr>
          <w:rFonts w:hint="default"/>
        </w:rPr>
      </w:pPr>
      <w:r>
        <w:t>第</w:t>
      </w:r>
      <w:r>
        <w:rPr>
          <w:rFonts w:hint="eastAsia"/>
          <w:lang w:val="en-US" w:eastAsia="zh-CN"/>
        </w:rPr>
        <w:t>二</w:t>
      </w:r>
      <w:r>
        <w:t>章  服务商须知</w:t>
      </w:r>
    </w:p>
    <w:p>
      <w:pPr>
        <w:pStyle w:val="41"/>
        <w:spacing w:before="156"/>
        <w:rPr>
          <w:rFonts w:hint="default"/>
        </w:rPr>
      </w:pPr>
      <w:r>
        <w:t>服务商须知前附表</w:t>
      </w:r>
    </w:p>
    <w:tbl>
      <w:tblPr>
        <w:tblStyle w:val="22"/>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adjustRightInd w:val="0"/>
              <w:spacing w:line="360" w:lineRule="exact"/>
              <w:jc w:val="center"/>
              <w:rPr>
                <w:rFonts w:hAnsi="宋体" w:cs="宋体"/>
                <w:b/>
              </w:rPr>
            </w:pPr>
            <w:r>
              <w:rPr>
                <w:rFonts w:hint="eastAsia" w:hAnsi="宋体" w:cs="宋体"/>
                <w:b/>
              </w:rPr>
              <w:t>条款号</w:t>
            </w:r>
          </w:p>
        </w:tc>
        <w:tc>
          <w:tcPr>
            <w:tcW w:w="1711" w:type="dxa"/>
            <w:vAlign w:val="center"/>
          </w:tcPr>
          <w:p>
            <w:pPr>
              <w:pStyle w:val="12"/>
              <w:spacing w:line="360" w:lineRule="exact"/>
              <w:jc w:val="center"/>
              <w:rPr>
                <w:rFonts w:hAnsi="宋体" w:cs="宋体"/>
                <w:b/>
              </w:rPr>
            </w:pPr>
            <w:r>
              <w:rPr>
                <w:rFonts w:hint="eastAsia" w:hAnsi="宋体" w:cs="宋体"/>
                <w:b/>
              </w:rPr>
              <w:t>条款名称</w:t>
            </w:r>
          </w:p>
        </w:tc>
        <w:tc>
          <w:tcPr>
            <w:tcW w:w="6418" w:type="dxa"/>
          </w:tcPr>
          <w:p>
            <w:pPr>
              <w:pStyle w:val="12"/>
              <w:spacing w:line="360" w:lineRule="exact"/>
              <w:jc w:val="center"/>
              <w:rPr>
                <w:rFonts w:hAnsi="宋体" w:cs="宋体"/>
                <w:b/>
              </w:rPr>
            </w:pPr>
            <w:r>
              <w:rPr>
                <w:rFonts w:hint="eastAsia" w:hAnsi="宋体" w:cs="宋体"/>
                <w:b/>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ascii="Times New Roman" w:hAnsi="Times New Roman" w:cs="Times New Roman"/>
              </w:rPr>
              <w:t>1</w:t>
            </w:r>
          </w:p>
        </w:tc>
        <w:tc>
          <w:tcPr>
            <w:tcW w:w="1711" w:type="dxa"/>
            <w:vAlign w:val="center"/>
          </w:tcPr>
          <w:p>
            <w:pPr>
              <w:pStyle w:val="12"/>
              <w:spacing w:line="360" w:lineRule="exact"/>
              <w:jc w:val="center"/>
              <w:rPr>
                <w:rFonts w:hAnsi="宋体" w:cs="宋体"/>
              </w:rPr>
            </w:pPr>
            <w:r>
              <w:rPr>
                <w:rFonts w:hint="eastAsia" w:hAnsi="宋体" w:cs="宋体"/>
              </w:rPr>
              <w:t>采购人</w:t>
            </w:r>
          </w:p>
        </w:tc>
        <w:tc>
          <w:tcPr>
            <w:tcW w:w="6418" w:type="dxa"/>
            <w:vAlign w:val="center"/>
          </w:tcPr>
          <w:p>
            <w:pPr>
              <w:pStyle w:val="12"/>
              <w:spacing w:line="360" w:lineRule="exact"/>
              <w:jc w:val="left"/>
              <w:rPr>
                <w:rFonts w:hint="eastAsia" w:hAnsi="宋体" w:cs="宋体"/>
              </w:rPr>
            </w:pPr>
            <w:r>
              <w:rPr>
                <w:rFonts w:hint="eastAsia" w:hAnsi="宋体" w:cs="宋体"/>
              </w:rPr>
              <w:t>采购人：</w:t>
            </w:r>
            <w:r>
              <w:rPr>
                <w:rFonts w:hint="eastAsia" w:hAnsi="宋体" w:cs="宋体"/>
                <w:lang w:val="en-US" w:eastAsia="zh-CN"/>
              </w:rPr>
              <w:t>广西自贸区产融城市运营管理有限公司</w:t>
            </w:r>
          </w:p>
          <w:p>
            <w:pPr>
              <w:pStyle w:val="12"/>
              <w:spacing w:line="360" w:lineRule="exact"/>
              <w:jc w:val="left"/>
              <w:rPr>
                <w:rFonts w:hint="default" w:hAnsi="宋体" w:cs="宋体"/>
                <w:lang w:val="en-US" w:eastAsia="zh-CN"/>
              </w:rPr>
            </w:pPr>
            <w:r>
              <w:rPr>
                <w:rFonts w:hint="eastAsia" w:hAnsi="宋体" w:cs="宋体"/>
              </w:rPr>
              <w:t>项目联系人：</w:t>
            </w:r>
            <w:r>
              <w:rPr>
                <w:rFonts w:hint="eastAsia" w:hAnsi="宋体" w:cs="宋体"/>
                <w:lang w:val="en-US" w:eastAsia="zh-CN"/>
              </w:rPr>
              <w:t>马武伟</w:t>
            </w:r>
          </w:p>
          <w:p>
            <w:pPr>
              <w:pStyle w:val="12"/>
              <w:spacing w:line="360" w:lineRule="exact"/>
              <w:jc w:val="left"/>
              <w:rPr>
                <w:rFonts w:hint="default" w:hAnsi="宋体" w:eastAsia="宋体" w:cs="宋体"/>
                <w:lang w:val="en-US" w:eastAsia="zh-CN"/>
              </w:rPr>
            </w:pPr>
            <w:r>
              <w:rPr>
                <w:rFonts w:hint="eastAsia" w:hAnsi="宋体" w:cs="宋体"/>
              </w:rPr>
              <w:t>电话：</w:t>
            </w:r>
            <w:r>
              <w:rPr>
                <w:rFonts w:hint="eastAsia" w:hAnsi="宋体" w:cs="宋体"/>
                <w:lang w:val="en-US" w:eastAsia="zh-CN"/>
              </w:rPr>
              <w:t>15307775265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ascii="Times New Roman" w:hAnsi="Times New Roman" w:cs="Times New Roman"/>
              </w:rPr>
              <w:t>2</w:t>
            </w:r>
          </w:p>
        </w:tc>
        <w:tc>
          <w:tcPr>
            <w:tcW w:w="1711" w:type="dxa"/>
            <w:vAlign w:val="center"/>
          </w:tcPr>
          <w:p>
            <w:pPr>
              <w:pStyle w:val="12"/>
              <w:spacing w:line="360" w:lineRule="exact"/>
              <w:jc w:val="center"/>
              <w:rPr>
                <w:rFonts w:hAnsi="宋体" w:cs="宋体"/>
              </w:rPr>
            </w:pPr>
            <w:r>
              <w:rPr>
                <w:rFonts w:hint="eastAsia" w:hAnsi="宋体" w:cs="宋体"/>
              </w:rPr>
              <w:t>项目名称</w:t>
            </w:r>
          </w:p>
        </w:tc>
        <w:tc>
          <w:tcPr>
            <w:tcW w:w="64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Ansi="宋体" w:cs="宋体"/>
              </w:rPr>
            </w:pPr>
            <w:r>
              <w:rPr>
                <w:rFonts w:hint="eastAsia" w:ascii="宋体" w:hAnsi="宋体" w:eastAsia="宋体" w:cs="宋体"/>
                <w:bCs/>
                <w:sz w:val="24"/>
                <w:szCs w:val="24"/>
                <w:lang w:val="en-US" w:eastAsia="zh-CN"/>
              </w:rPr>
              <w:t>广西自贸区产融城市运营管理有限公司新建修理厂厂房项目及钦保机动车检测有限公司检测线扩建工程土建改造工程项目建设工程质量综合检测服务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ascii="Times New Roman" w:hAnsi="Times New Roman" w:cs="Times New Roman"/>
              </w:rPr>
              <w:t>3</w:t>
            </w:r>
          </w:p>
        </w:tc>
        <w:tc>
          <w:tcPr>
            <w:tcW w:w="1711" w:type="dxa"/>
            <w:vAlign w:val="center"/>
          </w:tcPr>
          <w:p>
            <w:pPr>
              <w:pStyle w:val="12"/>
              <w:spacing w:line="360" w:lineRule="exact"/>
              <w:jc w:val="center"/>
              <w:rPr>
                <w:rFonts w:hAnsi="宋体" w:cs="宋体"/>
              </w:rPr>
            </w:pPr>
            <w:r>
              <w:rPr>
                <w:rFonts w:hint="eastAsia" w:hAnsi="宋体" w:cs="宋体"/>
              </w:rPr>
              <w:t>采购预算</w:t>
            </w:r>
          </w:p>
        </w:tc>
        <w:tc>
          <w:tcPr>
            <w:tcW w:w="6418" w:type="dxa"/>
            <w:vAlign w:val="center"/>
          </w:tcPr>
          <w:p>
            <w:pPr>
              <w:spacing w:line="360" w:lineRule="exact"/>
              <w:rPr>
                <w:rFonts w:hAnsi="宋体" w:cs="宋体"/>
              </w:rPr>
            </w:pPr>
            <w:r>
              <w:rPr>
                <w:rFonts w:hint="eastAsia" w:ascii="宋体" w:hAnsi="宋体" w:eastAsia="宋体" w:cs="宋体"/>
                <w:sz w:val="24"/>
                <w:szCs w:val="24"/>
              </w:rPr>
              <w:t>人民币（大写）</w:t>
            </w:r>
            <w:r>
              <w:rPr>
                <w:rFonts w:hint="eastAsia" w:ascii="宋体" w:hAnsi="宋体" w:eastAsia="宋体" w:cs="宋体"/>
                <w:sz w:val="24"/>
                <w:szCs w:val="24"/>
                <w:lang w:val="en-US" w:eastAsia="zh-CN"/>
              </w:rPr>
              <w:t>壹拾伍万陆仟陆佰陆拾伍元整（¥156,665.00元）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ascii="Times New Roman" w:hAnsi="Times New Roman" w:cs="Times New Roman"/>
              </w:rPr>
              <w:t>4</w:t>
            </w:r>
          </w:p>
        </w:tc>
        <w:tc>
          <w:tcPr>
            <w:tcW w:w="1711" w:type="dxa"/>
            <w:vAlign w:val="center"/>
          </w:tcPr>
          <w:p>
            <w:pPr>
              <w:pStyle w:val="12"/>
              <w:spacing w:line="360" w:lineRule="exact"/>
              <w:jc w:val="center"/>
              <w:rPr>
                <w:rFonts w:hAnsi="宋体" w:cs="宋体"/>
              </w:rPr>
            </w:pPr>
            <w:r>
              <w:rPr>
                <w:rFonts w:hint="eastAsia" w:hAnsi="宋体" w:cs="宋体"/>
              </w:rPr>
              <w:t>最高限价</w:t>
            </w:r>
          </w:p>
        </w:tc>
        <w:tc>
          <w:tcPr>
            <w:tcW w:w="6418" w:type="dxa"/>
            <w:vAlign w:val="center"/>
          </w:tcPr>
          <w:p>
            <w:pPr>
              <w:spacing w:line="360" w:lineRule="exact"/>
              <w:rPr>
                <w:rFonts w:hAnsi="宋体" w:cs="宋体"/>
              </w:rPr>
            </w:pPr>
            <w:r>
              <w:rPr>
                <w:rFonts w:hint="eastAsia" w:ascii="宋体" w:hAnsi="宋体" w:eastAsia="宋体" w:cs="宋体"/>
                <w:sz w:val="24"/>
                <w:szCs w:val="24"/>
              </w:rPr>
              <w:t>人民币（大写）</w:t>
            </w:r>
            <w:r>
              <w:rPr>
                <w:rFonts w:hint="eastAsia" w:ascii="宋体" w:hAnsi="宋体" w:eastAsia="宋体" w:cs="宋体"/>
                <w:sz w:val="24"/>
                <w:szCs w:val="24"/>
                <w:lang w:val="en-US" w:eastAsia="zh-CN"/>
              </w:rPr>
              <w:t>壹拾伍万陆仟陆佰陆拾伍元整（¥156,665.00元）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eastAsia="zh-CN"/>
              </w:rPr>
            </w:pPr>
            <w:r>
              <w:rPr>
                <w:rFonts w:hint="eastAsia" w:ascii="Times New Roman" w:hAnsi="Times New Roman" w:cs="Times New Roman"/>
                <w:lang w:val="en-US" w:eastAsia="zh-CN"/>
              </w:rPr>
              <w:t>5</w:t>
            </w:r>
          </w:p>
        </w:tc>
        <w:tc>
          <w:tcPr>
            <w:tcW w:w="1711" w:type="dxa"/>
            <w:vAlign w:val="center"/>
          </w:tcPr>
          <w:p>
            <w:pPr>
              <w:pStyle w:val="12"/>
              <w:spacing w:line="360" w:lineRule="exact"/>
              <w:jc w:val="center"/>
              <w:rPr>
                <w:rFonts w:hAnsi="宋体" w:cs="宋体"/>
              </w:rPr>
            </w:pPr>
            <w:r>
              <w:rPr>
                <w:rFonts w:hint="eastAsia" w:hAnsi="宋体" w:cs="宋体"/>
              </w:rPr>
              <w:t>资金来源</w:t>
            </w:r>
          </w:p>
        </w:tc>
        <w:tc>
          <w:tcPr>
            <w:tcW w:w="6418" w:type="dxa"/>
            <w:vAlign w:val="center"/>
          </w:tcPr>
          <w:p>
            <w:pPr>
              <w:pStyle w:val="12"/>
              <w:spacing w:line="360" w:lineRule="exact"/>
              <w:rPr>
                <w:rFonts w:hAnsi="宋体" w:cs="宋体"/>
              </w:rPr>
            </w:pPr>
            <w:r>
              <w:rPr>
                <w:rFonts w:hint="eastAsia" w:hAnsi="宋体" w:cs="宋体"/>
                <w:lang w:val="en-US" w:eastAsia="zh-CN"/>
              </w:rPr>
              <w:t>自</w:t>
            </w:r>
            <w:r>
              <w:rPr>
                <w:rFonts w:hAnsi="宋体" w:cs="宋体"/>
              </w:rPr>
              <w:t>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hint="eastAsia" w:ascii="Times New Roman" w:hAnsi="Times New Roman" w:cs="Times New Roman"/>
                <w:lang w:val="en-US" w:eastAsia="zh-CN"/>
              </w:rPr>
              <w:t>6</w:t>
            </w:r>
          </w:p>
        </w:tc>
        <w:tc>
          <w:tcPr>
            <w:tcW w:w="1711" w:type="dxa"/>
            <w:vAlign w:val="center"/>
          </w:tcPr>
          <w:p>
            <w:pPr>
              <w:pStyle w:val="12"/>
              <w:spacing w:line="360" w:lineRule="exact"/>
              <w:jc w:val="center"/>
              <w:rPr>
                <w:rFonts w:hAnsi="宋体" w:cs="宋体"/>
              </w:rPr>
            </w:pPr>
            <w:r>
              <w:rPr>
                <w:rFonts w:hint="eastAsia" w:hAnsi="宋体" w:cs="宋体"/>
              </w:rPr>
              <w:t>采购文件的获取</w:t>
            </w:r>
          </w:p>
        </w:tc>
        <w:tc>
          <w:tcPr>
            <w:tcW w:w="6418" w:type="dxa"/>
            <w:vAlign w:val="center"/>
          </w:tcPr>
          <w:p>
            <w:pPr>
              <w:pStyle w:val="12"/>
              <w:spacing w:line="360" w:lineRule="exact"/>
              <w:rPr>
                <w:rFonts w:hAnsi="宋体" w:cs="宋体"/>
                <w:spacing w:val="6"/>
                <w:kern w:val="48"/>
              </w:rPr>
            </w:pPr>
            <w:r>
              <w:rPr>
                <w:rFonts w:hint="eastAsia" w:hAnsi="宋体" w:cs="宋体"/>
              </w:rPr>
              <w:t>服务商在广西自贸区钦州港片区开发投资集团有限责任公司网站</w:t>
            </w:r>
            <w:r>
              <w:fldChar w:fldCharType="begin"/>
            </w:r>
            <w:r>
              <w:instrText xml:space="preserve"> HYPERLINK "http://www.qbtzjt.com" </w:instrText>
            </w:r>
            <w:r>
              <w:fldChar w:fldCharType="separate"/>
            </w:r>
            <w:r>
              <w:rPr>
                <w:rFonts w:hint="eastAsia"/>
                <w:lang w:eastAsia="zh-CN"/>
              </w:rPr>
              <w:t>http:</w:t>
            </w:r>
            <w:r>
              <w:rPr>
                <w:rStyle w:val="25"/>
                <w:rFonts w:hint="eastAsia" w:hAnsi="宋体" w:cs="宋体"/>
                <w:color w:val="auto"/>
                <w:lang w:eastAsia="zh-CN"/>
              </w:rPr>
              <w:t>//www.qzmktjt.com/</w:t>
            </w:r>
            <w:r>
              <w:rPr>
                <w:rStyle w:val="25"/>
                <w:rFonts w:hint="eastAsia" w:hAnsi="宋体" w:cs="宋体"/>
                <w:color w:val="auto"/>
              </w:rPr>
              <w:fldChar w:fldCharType="end"/>
            </w:r>
            <w:r>
              <w:rPr>
                <w:rFonts w:hint="eastAsia" w:hAnsi="宋体" w:cs="宋体"/>
              </w:rPr>
              <w:t>获取（下载）采购文件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eastAsia="zh-CN"/>
              </w:rPr>
            </w:pPr>
            <w:r>
              <w:rPr>
                <w:rFonts w:hint="eastAsia" w:ascii="Times New Roman" w:hAnsi="Times New Roman" w:cs="Times New Roman"/>
                <w:lang w:val="en-US" w:eastAsia="zh-CN"/>
              </w:rPr>
              <w:t>7</w:t>
            </w:r>
          </w:p>
        </w:tc>
        <w:tc>
          <w:tcPr>
            <w:tcW w:w="1711" w:type="dxa"/>
            <w:vAlign w:val="center"/>
          </w:tcPr>
          <w:p>
            <w:pPr>
              <w:pStyle w:val="12"/>
              <w:spacing w:line="360" w:lineRule="exact"/>
              <w:jc w:val="center"/>
              <w:rPr>
                <w:rFonts w:hAnsi="宋体" w:cs="宋体"/>
              </w:rPr>
            </w:pPr>
            <w:r>
              <w:rPr>
                <w:rFonts w:hint="eastAsia"/>
              </w:rPr>
              <w:t>服务商</w:t>
            </w:r>
            <w:r>
              <w:rPr>
                <w:rFonts w:hint="eastAsia" w:hAnsi="宋体" w:cs="宋体"/>
              </w:rPr>
              <w:t>应具备的资格条件</w:t>
            </w:r>
          </w:p>
        </w:tc>
        <w:tc>
          <w:tcPr>
            <w:tcW w:w="6418" w:type="dxa"/>
            <w:vAlign w:val="center"/>
          </w:tcPr>
          <w:p>
            <w:pPr>
              <w:spacing w:line="400" w:lineRule="exact"/>
              <w:jc w:val="left"/>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.服务商应当具备下列条件：</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14:textFill>
                  <w14:solidFill>
                    <w14:schemeClr w14:val="tx1"/>
                  </w14:solidFill>
                </w14:textFill>
              </w:rPr>
              <w:t>1</w:t>
            </w:r>
            <w:r>
              <w:rPr>
                <w:rFonts w:hint="eastAsia" w:ascii="宋体" w:hAnsi="宋体" w:eastAsia="宋体" w:cs="宋体"/>
                <w:bCs/>
                <w:color w:val="000000" w:themeColor="text1"/>
                <w:sz w:val="24"/>
                <w14:textFill>
                  <w14:solidFill>
                    <w14:schemeClr w14:val="tx1"/>
                  </w14:solidFill>
                </w14:textFill>
              </w:rPr>
              <w:t>）具有独立承担民事责任的能力</w:t>
            </w:r>
            <w:r>
              <w:rPr>
                <w:rFonts w:hint="eastAsia" w:ascii="宋体" w:hAnsi="宋体" w:eastAsia="宋体" w:cs="宋体"/>
                <w:bCs/>
                <w:color w:val="000000" w:themeColor="text1"/>
                <w:sz w:val="24"/>
                <w:lang w:val="en-US" w:eastAsia="zh-CN"/>
                <w14:textFill>
                  <w14:solidFill>
                    <w14:schemeClr w14:val="tx1"/>
                  </w14:solidFill>
                </w14:textFill>
              </w:rPr>
              <w:t>；</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trike/>
                <w:color w:val="FF0000"/>
                <w:sz w:val="24"/>
              </w:rPr>
            </w:pPr>
            <w:r>
              <w:rPr>
                <w:rFonts w:hint="eastAsia" w:ascii="宋体" w:hAnsi="宋体" w:eastAsia="宋体" w:cs="宋体"/>
                <w:bCs/>
                <w:color w:val="FF0000"/>
                <w:sz w:val="24"/>
              </w:rPr>
              <w:t>（</w:t>
            </w:r>
            <w:r>
              <w:rPr>
                <w:rFonts w:hint="eastAsia" w:ascii="Times New Roman" w:hAnsi="Times New Roman" w:eastAsia="宋体" w:cs="Times New Roman"/>
                <w:bCs/>
                <w:color w:val="FF0000"/>
                <w:sz w:val="24"/>
              </w:rPr>
              <w:t>2</w:t>
            </w:r>
            <w:r>
              <w:rPr>
                <w:rFonts w:hint="eastAsia" w:ascii="宋体" w:hAnsi="宋体" w:eastAsia="宋体" w:cs="宋体"/>
                <w:bCs/>
                <w:color w:val="FF0000"/>
                <w:sz w:val="24"/>
              </w:rPr>
              <w:t>）拥有工程检测咨询业务</w:t>
            </w:r>
            <w:r>
              <w:rPr>
                <w:rFonts w:hint="eastAsia" w:ascii="宋体" w:hAnsi="宋体" w:eastAsia="宋体" w:cs="宋体"/>
                <w:bCs/>
                <w:color w:val="FF0000"/>
                <w:sz w:val="24"/>
                <w:lang w:eastAsia="zh-CN"/>
              </w:rPr>
              <w:t>（</w:t>
            </w:r>
            <w:r>
              <w:rPr>
                <w:rFonts w:hint="eastAsia" w:ascii="宋体" w:hAnsi="宋体" w:eastAsia="宋体" w:cs="宋体"/>
                <w:bCs/>
                <w:color w:val="FF0000"/>
                <w:sz w:val="24"/>
              </w:rPr>
              <w:t>营业执照复印件、法人身份证复印件）；</w:t>
            </w:r>
          </w:p>
          <w:p>
            <w:pPr>
              <w:keepNext w:val="0"/>
              <w:keepLines w:val="0"/>
              <w:pageBreakBefore w:val="0"/>
              <w:kinsoku/>
              <w:wordWrap/>
              <w:overflowPunct/>
              <w:topLinePunct w:val="0"/>
              <w:autoSpaceDE/>
              <w:autoSpaceDN/>
              <w:bidi w:val="0"/>
              <w:spacing w:line="240" w:lineRule="atLeast"/>
              <w:ind w:firstLine="480" w:firstLineChars="200"/>
              <w:textAlignment w:val="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14:textFill>
                  <w14:solidFill>
                    <w14:schemeClr w14:val="tx1"/>
                  </w14:solidFill>
                </w14:textFill>
              </w:rPr>
              <w:t>3</w:t>
            </w:r>
            <w:r>
              <w:rPr>
                <w:rFonts w:hint="eastAsia" w:ascii="宋体" w:hAnsi="宋体" w:eastAsia="宋体" w:cs="宋体"/>
                <w:bCs/>
                <w:color w:val="000000" w:themeColor="text1"/>
                <w:sz w:val="24"/>
                <w14:textFill>
                  <w14:solidFill>
                    <w14:schemeClr w14:val="tx1"/>
                  </w14:solidFill>
                </w14:textFill>
              </w:rPr>
              <w:t>）参加采购活动前三年内，在经营活动中没有重大违法记录（由竞标人提供证明或采购人在“信用中国”网站查询）；</w:t>
            </w:r>
          </w:p>
          <w:p>
            <w:pPr>
              <w:keepNext w:val="0"/>
              <w:keepLines w:val="0"/>
              <w:pageBreakBefore w:val="0"/>
              <w:kinsoku/>
              <w:wordWrap/>
              <w:overflowPunct/>
              <w:topLinePunct w:val="0"/>
              <w:autoSpaceDE/>
              <w:autoSpaceDN/>
              <w:bidi w:val="0"/>
              <w:spacing w:line="240" w:lineRule="atLeas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r>
              <w:rPr>
                <w:rFonts w:hint="eastAsia" w:ascii="Times New Roman" w:hAnsi="Times New Roman" w:eastAsia="宋体" w:cs="Times New Roman"/>
                <w:bCs/>
                <w:color w:val="000000" w:themeColor="text1"/>
                <w:sz w:val="24"/>
                <w:highlight w:val="none"/>
                <w14:textFill>
                  <w14:solidFill>
                    <w14:schemeClr w14:val="tx1"/>
                  </w14:solidFill>
                </w14:textFill>
              </w:rPr>
              <w:t>4</w:t>
            </w:r>
            <w:r>
              <w:rPr>
                <w:rFonts w:hint="eastAsia" w:ascii="宋体" w:hAnsi="宋体" w:eastAsia="宋体" w:cs="宋体"/>
                <w:bCs/>
                <w:color w:val="000000" w:themeColor="text1"/>
                <w:sz w:val="24"/>
                <w:highlight w:val="none"/>
                <w14:textFill>
                  <w14:solidFill>
                    <w14:schemeClr w14:val="tx1"/>
                  </w14:solidFill>
                </w14:textFill>
              </w:rPr>
              <w:t>）近</w:t>
            </w:r>
            <w:r>
              <w:rPr>
                <w:rFonts w:ascii="Times New Roman" w:hAnsi="Times New Roman" w:eastAsia="宋体" w:cs="Times New Roman"/>
                <w:bCs/>
                <w:color w:val="000000" w:themeColor="text1"/>
                <w:sz w:val="24"/>
                <w:highlight w:val="none"/>
                <w14:textFill>
                  <w14:solidFill>
                    <w14:schemeClr w14:val="tx1"/>
                  </w14:solidFill>
                </w14:textFill>
              </w:rPr>
              <w:t>2</w:t>
            </w:r>
            <w:r>
              <w:rPr>
                <w:rFonts w:hint="eastAsia" w:ascii="宋体" w:hAnsi="宋体" w:eastAsia="宋体" w:cs="宋体"/>
                <w:bCs/>
                <w:color w:val="000000" w:themeColor="text1"/>
                <w:sz w:val="24"/>
                <w:highlight w:val="none"/>
                <w14:textFill>
                  <w14:solidFill>
                    <w14:schemeClr w14:val="tx1"/>
                  </w14:solidFill>
                </w14:textFill>
              </w:rPr>
              <w:t>年内具有</w:t>
            </w:r>
            <w:r>
              <w:rPr>
                <w:rFonts w:hint="eastAsia" w:ascii="宋体" w:hAnsi="宋体" w:eastAsia="宋体" w:cs="宋体"/>
                <w:bCs/>
                <w:color w:val="000000" w:themeColor="text1"/>
                <w:sz w:val="24"/>
                <w14:textFill>
                  <w14:solidFill>
                    <w14:schemeClr w14:val="tx1"/>
                  </w14:solidFill>
                </w14:textFill>
              </w:rPr>
              <w:t>相应或类似的工程业绩</w:t>
            </w:r>
            <w:r>
              <w:rPr>
                <w:rFonts w:hint="eastAsia" w:ascii="宋体" w:hAnsi="宋体" w:eastAsia="宋体" w:cs="宋体"/>
                <w:bCs/>
                <w:color w:val="000000" w:themeColor="text1"/>
                <w:sz w:val="24"/>
                <w:highlight w:val="none"/>
                <w14:textFill>
                  <w14:solidFill>
                    <w14:schemeClr w14:val="tx1"/>
                  </w14:solidFill>
                </w14:textFill>
              </w:rPr>
              <w:t>，并附上相应的合同复印件，需提供</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2</w:t>
            </w:r>
            <w:r>
              <w:rPr>
                <w:rFonts w:hint="eastAsia" w:ascii="宋体" w:hAnsi="宋体" w:eastAsia="宋体" w:cs="宋体"/>
                <w:bCs/>
                <w:color w:val="000000" w:themeColor="text1"/>
                <w:sz w:val="24"/>
                <w:highlight w:val="none"/>
                <w14:textFill>
                  <w14:solidFill>
                    <w14:schemeClr w14:val="tx1"/>
                  </w14:solidFill>
                </w14:textFill>
              </w:rPr>
              <w:t>个及以上的</w:t>
            </w:r>
            <w:r>
              <w:rPr>
                <w:rFonts w:hint="eastAsia" w:ascii="宋体" w:hAnsi="宋体" w:eastAsia="宋体" w:cs="宋体"/>
                <w:bCs/>
                <w:sz w:val="24"/>
                <w:szCs w:val="24"/>
                <w:lang w:val="en-US" w:eastAsia="zh-CN"/>
              </w:rPr>
              <w:t>服务</w:t>
            </w:r>
            <w:r>
              <w:rPr>
                <w:rFonts w:hint="eastAsia" w:ascii="宋体" w:hAnsi="宋体" w:eastAsia="宋体" w:cs="宋体"/>
                <w:bCs/>
                <w:color w:val="000000" w:themeColor="text1"/>
                <w:sz w:val="24"/>
                <w:highlight w:val="none"/>
                <w14:textFill>
                  <w14:solidFill>
                    <w14:schemeClr w14:val="tx1"/>
                  </w14:solidFill>
                </w14:textFill>
              </w:rPr>
              <w:t>业绩。</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w:t>
            </w:r>
            <w:r>
              <w:rPr>
                <w:rFonts w:hint="eastAsia" w:ascii="宋体" w:hAnsi="宋体" w:eastAsia="宋体" w:cs="宋体"/>
                <w:bCs/>
                <w:color w:val="000000" w:themeColor="text1"/>
                <w:sz w:val="24"/>
                <w:szCs w:val="24"/>
                <w14:textFill>
                  <w14:solidFill>
                    <w14:schemeClr w14:val="tx1"/>
                  </w14:solidFill>
                </w14:textFill>
              </w:rPr>
              <w:t>.单位负责人为同一人或者存在直接控股、管理关系的不同服务商，不得参加同一合同项下的采购活动。</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ascii="Times New Roman" w:hAnsi="Times New Roman" w:eastAsia="宋体" w:cs="Times New Roman"/>
                <w:bCs/>
                <w:sz w:val="24"/>
                <w:szCs w:val="24"/>
              </w:rPr>
              <w:t>4</w:t>
            </w:r>
            <w:r>
              <w:rPr>
                <w:rFonts w:hint="eastAsia" w:ascii="宋体" w:hAnsi="宋体" w:eastAsia="宋体" w:cs="宋体"/>
                <w:bCs/>
                <w:sz w:val="24"/>
                <w:szCs w:val="24"/>
              </w:rPr>
              <w:t>.法律、行政法规规定的其他条件。</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ascii="Times New Roman" w:hAnsi="Times New Roman" w:eastAsia="宋体" w:cs="Times New Roman"/>
                <w:bCs/>
                <w:sz w:val="24"/>
                <w:szCs w:val="24"/>
              </w:rPr>
              <w:t>5</w:t>
            </w:r>
            <w:r>
              <w:rPr>
                <w:rFonts w:hint="eastAsia" w:ascii="宋体" w:hAnsi="宋体" w:eastAsia="宋体" w:cs="宋体"/>
                <w:bCs/>
                <w:sz w:val="24"/>
                <w:szCs w:val="24"/>
              </w:rPr>
              <w:t>.本项目的特定资格要求：无</w:t>
            </w:r>
          </w:p>
          <w:p>
            <w:pPr>
              <w:spacing w:line="400" w:lineRule="exact"/>
              <w:jc w:val="left"/>
              <w:rPr>
                <w:rFonts w:hAnsi="宋体" w:cs="宋体"/>
                <w:spacing w:val="6"/>
                <w:kern w:val="4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hAnsi="宋体" w:eastAsia="宋体" w:cs="宋体"/>
                <w:lang w:val="en-US" w:eastAsia="zh-CN"/>
              </w:rPr>
            </w:pPr>
            <w:r>
              <w:rPr>
                <w:rFonts w:hint="eastAsia" w:hAnsi="宋体" w:cs="宋体"/>
                <w:lang w:val="en-US" w:eastAsia="zh-CN"/>
              </w:rPr>
              <w:t>8</w:t>
            </w:r>
          </w:p>
        </w:tc>
        <w:tc>
          <w:tcPr>
            <w:tcW w:w="1711" w:type="dxa"/>
            <w:vAlign w:val="center"/>
          </w:tcPr>
          <w:p>
            <w:pPr>
              <w:pStyle w:val="12"/>
              <w:spacing w:line="360" w:lineRule="exact"/>
              <w:jc w:val="center"/>
              <w:rPr>
                <w:rFonts w:hint="default" w:hAnsi="宋体" w:eastAsia="宋体" w:cs="宋体"/>
                <w:lang w:val="en-US" w:eastAsia="zh-CN"/>
              </w:rPr>
            </w:pPr>
            <w:r>
              <w:rPr>
                <w:rFonts w:hint="eastAsia" w:hAnsi="宋体" w:cs="宋体"/>
              </w:rPr>
              <w:t>是否接受联合体是否允许分包</w:t>
            </w:r>
            <w:r>
              <w:rPr>
                <w:rFonts w:hint="eastAsia" w:hAnsi="宋体" w:cs="宋体"/>
                <w:lang w:eastAsia="zh-CN"/>
              </w:rPr>
              <w:t>、</w:t>
            </w:r>
            <w:r>
              <w:rPr>
                <w:rFonts w:hint="eastAsia" w:hAnsi="宋体" w:cs="宋体"/>
                <w:lang w:val="en-US" w:eastAsia="zh-CN"/>
              </w:rPr>
              <w:t>转包</w:t>
            </w:r>
          </w:p>
          <w:p>
            <w:pPr>
              <w:pStyle w:val="13"/>
              <w:jc w:val="center"/>
            </w:pPr>
          </w:p>
        </w:tc>
        <w:tc>
          <w:tcPr>
            <w:tcW w:w="6418" w:type="dxa"/>
            <w:vAlign w:val="center"/>
          </w:tcPr>
          <w:p>
            <w:pPr>
              <w:pStyle w:val="12"/>
              <w:spacing w:line="360" w:lineRule="exact"/>
              <w:jc w:val="center"/>
              <w:rPr>
                <w:rFonts w:hint="eastAsia" w:hAnsi="宋体" w:cs="宋体"/>
              </w:rPr>
            </w:pPr>
            <w:r>
              <w:rPr>
                <w:rFonts w:hint="eastAsia" w:hAnsi="宋体" w:cs="宋体"/>
              </w:rPr>
              <w:sym w:font="Wingdings 2" w:char="00A3"/>
            </w:r>
            <w:r>
              <w:rPr>
                <w:rFonts w:hint="eastAsia" w:hAnsi="宋体" w:cs="宋体"/>
              </w:rPr>
              <w:t xml:space="preserve">接受联合体竞标  </w:t>
            </w:r>
            <w:r>
              <w:rPr>
                <w:rFonts w:hint="eastAsia" w:hAnsi="宋体" w:cs="宋体"/>
              </w:rPr>
              <w:sym w:font="Wingdings 2" w:char="0052"/>
            </w:r>
            <w:r>
              <w:rPr>
                <w:rFonts w:hint="eastAsia" w:hAnsi="宋体" w:cs="宋体"/>
              </w:rPr>
              <w:t>不接受联合体竞标</w:t>
            </w:r>
          </w:p>
          <w:p>
            <w:pPr>
              <w:pStyle w:val="13"/>
              <w:ind w:left="0" w:leftChars="0" w:firstLine="0" w:firstLineChars="0"/>
              <w:jc w:val="center"/>
              <w:rPr>
                <w:rFonts w:hint="default" w:eastAsiaTheme="minorEastAsia"/>
                <w:lang w:val="en-US" w:eastAsia="zh-CN"/>
              </w:rPr>
            </w:pPr>
            <w:r>
              <w:rPr>
                <w:rFonts w:hint="eastAsia" w:ascii="宋体" w:hAnsi="宋体" w:eastAsia="宋体" w:cs="宋体"/>
                <w:kern w:val="2"/>
                <w:sz w:val="21"/>
                <w:szCs w:val="21"/>
                <w:lang w:val="en-US" w:eastAsia="zh-CN" w:bidi="ar-SA"/>
              </w:rPr>
              <w:sym w:font="Wingdings" w:char="00A8"/>
            </w:r>
            <w:r>
              <w:rPr>
                <w:rFonts w:hint="eastAsia" w:ascii="宋体" w:hAnsi="宋体" w:eastAsia="宋体" w:cs="宋体"/>
                <w:kern w:val="2"/>
                <w:sz w:val="21"/>
                <w:szCs w:val="21"/>
                <w:lang w:val="en-US" w:eastAsia="zh-CN" w:bidi="ar-SA"/>
              </w:rPr>
              <w:t xml:space="preserve">允许分包、转包  </w:t>
            </w:r>
            <w:r>
              <w:rPr>
                <w:rFonts w:hint="eastAsia" w:ascii="宋体" w:hAnsi="宋体" w:eastAsia="宋体" w:cs="宋体"/>
                <w:kern w:val="2"/>
                <w:sz w:val="21"/>
                <w:szCs w:val="21"/>
                <w:lang w:val="en-US" w:eastAsia="zh-CN" w:bidi="ar-SA"/>
              </w:rPr>
              <w:sym w:font="Wingdings" w:char="00FE"/>
            </w:r>
            <w:r>
              <w:rPr>
                <w:rFonts w:hint="eastAsia" w:ascii="宋体" w:hAnsi="宋体" w:eastAsia="宋体" w:cs="宋体"/>
                <w:kern w:val="2"/>
                <w:sz w:val="21"/>
                <w:szCs w:val="21"/>
                <w:lang w:val="en-US" w:eastAsia="zh-CN" w:bidi="ar-SA"/>
              </w:rPr>
              <w:t>不允许分包、转包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val="en-US" w:eastAsia="zh-CN"/>
              </w:rPr>
            </w:pPr>
            <w:r>
              <w:rPr>
                <w:rFonts w:hint="eastAsia" w:hAnsi="宋体" w:cs="宋体"/>
                <w:lang w:val="en-US" w:eastAsia="zh-CN"/>
              </w:rPr>
              <w:t>9</w:t>
            </w:r>
          </w:p>
        </w:tc>
        <w:tc>
          <w:tcPr>
            <w:tcW w:w="1711" w:type="dxa"/>
            <w:vAlign w:val="center"/>
          </w:tcPr>
          <w:p>
            <w:pPr>
              <w:pStyle w:val="12"/>
              <w:spacing w:line="360" w:lineRule="exact"/>
              <w:jc w:val="center"/>
              <w:rPr>
                <w:rFonts w:hAnsi="宋体" w:cs="宋体"/>
              </w:rPr>
            </w:pPr>
            <w:r>
              <w:rPr>
                <w:rFonts w:hint="eastAsia" w:hAnsi="宋体" w:cs="宋体"/>
              </w:rPr>
              <w:t>响应文件份数</w:t>
            </w:r>
          </w:p>
        </w:tc>
        <w:tc>
          <w:tcPr>
            <w:tcW w:w="6418" w:type="dxa"/>
            <w:vAlign w:val="center"/>
          </w:tcPr>
          <w:p>
            <w:pPr>
              <w:pStyle w:val="12"/>
              <w:spacing w:line="360" w:lineRule="exact"/>
            </w:pPr>
            <w:r>
              <w:rPr>
                <w:rFonts w:hint="eastAsia"/>
              </w:rPr>
              <w:t>响应文件：</w:t>
            </w:r>
            <w:r>
              <w:rPr>
                <w:rFonts w:hint="eastAsia"/>
                <w:b/>
                <w:bCs/>
              </w:rPr>
              <w:t>正本</w:t>
            </w:r>
            <w:r>
              <w:rPr>
                <w:rFonts w:ascii="Times New Roman" w:hAnsi="Times New Roman" w:cs="Times New Roman"/>
                <w:b/>
                <w:bCs/>
              </w:rPr>
              <w:t>1</w:t>
            </w:r>
            <w:r>
              <w:rPr>
                <w:rFonts w:hint="eastAsia"/>
                <w:b/>
                <w:bCs/>
              </w:rPr>
              <w:t>份，副本</w:t>
            </w:r>
            <w:r>
              <w:rPr>
                <w:rFonts w:hint="eastAsia" w:ascii="Times New Roman" w:hAnsi="Times New Roman" w:cs="Times New Roman"/>
                <w:b/>
                <w:bCs/>
                <w:lang w:val="en-US" w:eastAsia="zh-CN"/>
              </w:rPr>
              <w:t>2</w:t>
            </w:r>
            <w:r>
              <w:rPr>
                <w:rFonts w:hint="eastAsia"/>
                <w:b/>
                <w:bCs/>
              </w:rPr>
              <w:t>份</w:t>
            </w:r>
          </w:p>
          <w:p>
            <w:r>
              <w:rPr>
                <w:rFonts w:hint="eastAsia" w:ascii="宋体" w:hAnsi="宋体" w:eastAsia="宋体" w:cs="宋体"/>
                <w:spacing w:val="6"/>
                <w:kern w:val="48"/>
                <w:szCs w:val="21"/>
              </w:rPr>
              <w:t>服务商必须在首次</w:t>
            </w:r>
            <w:r>
              <w:rPr>
                <w:rFonts w:hint="eastAsia" w:ascii="宋体" w:hAnsi="宋体" w:eastAsia="宋体" w:cs="宋体"/>
              </w:rPr>
              <w:t>响应文件提交截止时间</w:t>
            </w:r>
            <w:r>
              <w:rPr>
                <w:rFonts w:hint="eastAsia" w:ascii="宋体" w:hAnsi="宋体" w:eastAsia="宋体" w:cs="宋体"/>
                <w:spacing w:val="6"/>
                <w:kern w:val="48"/>
                <w:szCs w:val="21"/>
              </w:rPr>
              <w:t>前，将响应文件密封送达指定地点。在首次响应文件提交截止时间后送达的响应文件为无效文件，采购人应当拒收。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hAnsi="宋体" w:eastAsia="宋体" w:cs="宋体"/>
                <w:lang w:val="en-US" w:eastAsia="zh-CN"/>
              </w:rPr>
            </w:pPr>
            <w:r>
              <w:rPr>
                <w:rFonts w:hint="eastAsia" w:hAnsi="宋体" w:cs="宋体"/>
                <w:lang w:val="en-US" w:eastAsia="zh-CN"/>
              </w:rPr>
              <w:t>10</w:t>
            </w:r>
          </w:p>
        </w:tc>
        <w:tc>
          <w:tcPr>
            <w:tcW w:w="1711" w:type="dxa"/>
            <w:vAlign w:val="center"/>
          </w:tcPr>
          <w:p>
            <w:pPr>
              <w:pStyle w:val="12"/>
              <w:spacing w:line="360" w:lineRule="exact"/>
              <w:jc w:val="center"/>
              <w:rPr>
                <w:rFonts w:hAnsi="宋体" w:cs="宋体"/>
              </w:rPr>
            </w:pPr>
            <w:r>
              <w:rPr>
                <w:rFonts w:hint="eastAsia" w:hAnsi="宋体" w:cs="宋体"/>
              </w:rPr>
              <w:t>评审方法</w:t>
            </w:r>
          </w:p>
        </w:tc>
        <w:tc>
          <w:tcPr>
            <w:tcW w:w="6418" w:type="dxa"/>
            <w:vAlign w:val="center"/>
          </w:tcPr>
          <w:p>
            <w:pPr>
              <w:pStyle w:val="12"/>
              <w:spacing w:line="360" w:lineRule="exact"/>
              <w:rPr>
                <w:rFonts w:hint="eastAsia" w:hAnsi="宋体" w:eastAsia="宋体" w:cs="宋体"/>
                <w:lang w:eastAsia="zh-CN"/>
              </w:rPr>
            </w:pPr>
            <w:r>
              <w:rPr>
                <w:rFonts w:hint="eastAsia" w:hAnsi="宋体" w:cs="宋体"/>
                <w:lang w:eastAsia="zh-CN"/>
              </w:rPr>
              <w:t>满足采购文件实质性要求，且报价最低的原则确定成交服务商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pPr>
              <w:pStyle w:val="12"/>
              <w:spacing w:line="360" w:lineRule="exact"/>
              <w:jc w:val="center"/>
              <w:rPr>
                <w:rFonts w:hint="default" w:hAnsi="宋体" w:eastAsia="宋体" w:cs="宋体"/>
                <w:lang w:val="en-US" w:eastAsia="zh-CN"/>
              </w:rPr>
            </w:pPr>
            <w:r>
              <w:rPr>
                <w:rFonts w:hint="eastAsia" w:hAnsi="宋体" w:cs="宋体"/>
                <w:lang w:val="en-US" w:eastAsia="zh-CN"/>
              </w:rPr>
              <w:t>11</w:t>
            </w:r>
          </w:p>
        </w:tc>
        <w:tc>
          <w:tcPr>
            <w:tcW w:w="1711" w:type="dxa"/>
            <w:vAlign w:val="center"/>
          </w:tcPr>
          <w:p>
            <w:pPr>
              <w:pStyle w:val="12"/>
              <w:spacing w:line="360" w:lineRule="exact"/>
              <w:jc w:val="center"/>
              <w:rPr>
                <w:rFonts w:hAnsi="宋体" w:cs="宋体"/>
              </w:rPr>
            </w:pPr>
            <w:r>
              <w:rPr>
                <w:rFonts w:hint="eastAsia" w:hAnsi="宋体" w:cs="宋体"/>
              </w:rPr>
              <w:t>竞标有效期</w:t>
            </w:r>
          </w:p>
        </w:tc>
        <w:tc>
          <w:tcPr>
            <w:tcW w:w="6418" w:type="dxa"/>
            <w:vAlign w:val="center"/>
          </w:tcPr>
          <w:p>
            <w:pPr>
              <w:pStyle w:val="12"/>
              <w:spacing w:line="360" w:lineRule="exact"/>
              <w:rPr>
                <w:rFonts w:hAnsi="宋体" w:cs="宋体"/>
              </w:rPr>
            </w:pPr>
            <w:r>
              <w:rPr>
                <w:rFonts w:hint="eastAsia" w:hAnsi="宋体" w:cs="宋体"/>
              </w:rPr>
              <w:t>自竞标截止时间起</w:t>
            </w:r>
            <w:r>
              <w:rPr>
                <w:rFonts w:ascii="Times New Roman" w:hAnsi="Times New Roman" w:cs="Times New Roman"/>
              </w:rPr>
              <w:t>60</w:t>
            </w:r>
            <w:r>
              <w:rPr>
                <w:rFonts w:hint="eastAsia" w:hAnsi="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val="en-US" w:eastAsia="zh-CN"/>
              </w:rPr>
            </w:pPr>
            <w:r>
              <w:rPr>
                <w:rFonts w:ascii="Times New Roman" w:hAnsi="Times New Roman" w:cs="Times New Roman"/>
              </w:rPr>
              <w:t>1</w:t>
            </w:r>
            <w:r>
              <w:rPr>
                <w:rFonts w:hint="eastAsia" w:ascii="Times New Roman" w:hAnsi="Times New Roman" w:cs="Times New Roman"/>
                <w:lang w:val="en-US" w:eastAsia="zh-CN"/>
              </w:rPr>
              <w:t>2</w:t>
            </w:r>
          </w:p>
        </w:tc>
        <w:tc>
          <w:tcPr>
            <w:tcW w:w="1711" w:type="dxa"/>
            <w:vAlign w:val="center"/>
          </w:tcPr>
          <w:p>
            <w:pPr>
              <w:pStyle w:val="12"/>
              <w:spacing w:line="360" w:lineRule="exact"/>
              <w:jc w:val="center"/>
              <w:rPr>
                <w:rFonts w:hAnsi="宋体" w:cs="宋体"/>
              </w:rPr>
            </w:pPr>
            <w:r>
              <w:rPr>
                <w:rFonts w:hint="eastAsia" w:hAnsi="宋体" w:cs="宋体"/>
              </w:rPr>
              <w:t>竞标保证金金额</w:t>
            </w:r>
          </w:p>
        </w:tc>
        <w:tc>
          <w:tcPr>
            <w:tcW w:w="6418" w:type="dxa"/>
            <w:vAlign w:val="center"/>
          </w:tcPr>
          <w:p>
            <w:pPr>
              <w:pStyle w:val="12"/>
              <w:spacing w:line="360" w:lineRule="exact"/>
              <w:rPr>
                <w:rFonts w:hAnsi="宋体" w:cs="宋体"/>
              </w:rPr>
            </w:pPr>
            <w:r>
              <w:rPr>
                <w:rFonts w:hint="eastAsia" w:hAnsi="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val="en-US" w:eastAsia="zh-CN"/>
              </w:rPr>
            </w:pPr>
            <w:r>
              <w:rPr>
                <w:rFonts w:ascii="Times New Roman" w:hAnsi="Times New Roman" w:cs="Times New Roman"/>
              </w:rPr>
              <w:t>1</w:t>
            </w:r>
            <w:r>
              <w:rPr>
                <w:rFonts w:hint="eastAsia" w:ascii="Times New Roman" w:hAnsi="Times New Roman" w:cs="Times New Roman"/>
                <w:lang w:val="en-US" w:eastAsia="zh-CN"/>
              </w:rPr>
              <w:t>3</w:t>
            </w:r>
          </w:p>
        </w:tc>
        <w:tc>
          <w:tcPr>
            <w:tcW w:w="1711" w:type="dxa"/>
            <w:vAlign w:val="center"/>
          </w:tcPr>
          <w:p>
            <w:pPr>
              <w:pStyle w:val="12"/>
              <w:spacing w:line="360" w:lineRule="exact"/>
              <w:jc w:val="center"/>
              <w:rPr>
                <w:rFonts w:hAnsi="宋体" w:cs="宋体"/>
              </w:rPr>
            </w:pPr>
            <w:r>
              <w:rPr>
                <w:rFonts w:hint="eastAsia" w:hAnsi="宋体" w:cs="宋体"/>
              </w:rPr>
              <w:t>竞标截止时间</w:t>
            </w:r>
          </w:p>
        </w:tc>
        <w:tc>
          <w:tcPr>
            <w:tcW w:w="6418" w:type="dxa"/>
            <w:vAlign w:val="center"/>
          </w:tcPr>
          <w:p>
            <w:pPr>
              <w:pStyle w:val="12"/>
              <w:spacing w:line="360" w:lineRule="exact"/>
              <w:rPr>
                <w:rFonts w:hAnsi="宋体" w:cs="宋体"/>
              </w:rPr>
            </w:pPr>
            <w:r>
              <w:rPr>
                <w:rFonts w:hint="eastAsia" w:hAnsi="宋体" w:cs="宋体"/>
                <w:szCs w:val="24"/>
              </w:rPr>
              <w:t>与第一章公告</w:t>
            </w:r>
            <w:r>
              <w:rPr>
                <w:rFonts w:hint="eastAsia" w:hAnsi="宋体" w:cs="宋体"/>
              </w:rPr>
              <w:t>响应文件提交截止时间</w:t>
            </w:r>
            <w:r>
              <w:rPr>
                <w:rFonts w:hint="eastAsia" w:hAnsi="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val="en-US" w:eastAsia="zh-CN"/>
              </w:rPr>
            </w:pPr>
            <w:r>
              <w:rPr>
                <w:rFonts w:ascii="Times New Roman" w:hAnsi="Times New Roman" w:cs="Times New Roman"/>
              </w:rPr>
              <w:t>1</w:t>
            </w:r>
            <w:r>
              <w:rPr>
                <w:rFonts w:hint="eastAsia" w:ascii="Times New Roman" w:hAnsi="Times New Roman" w:cs="Times New Roman"/>
                <w:lang w:val="en-US" w:eastAsia="zh-CN"/>
              </w:rPr>
              <w:t>4</w:t>
            </w:r>
          </w:p>
        </w:tc>
        <w:tc>
          <w:tcPr>
            <w:tcW w:w="1711" w:type="dxa"/>
            <w:vAlign w:val="center"/>
          </w:tcPr>
          <w:p>
            <w:pPr>
              <w:pStyle w:val="12"/>
              <w:spacing w:line="360" w:lineRule="exact"/>
              <w:jc w:val="center"/>
              <w:rPr>
                <w:rFonts w:hAnsi="宋体" w:cs="宋体"/>
              </w:rPr>
            </w:pPr>
            <w:r>
              <w:rPr>
                <w:rFonts w:hint="eastAsia" w:hAnsi="宋体" w:cs="宋体"/>
              </w:rPr>
              <w:t>响应文件提交</w:t>
            </w:r>
          </w:p>
          <w:p>
            <w:pPr>
              <w:pStyle w:val="12"/>
              <w:spacing w:line="360" w:lineRule="exact"/>
              <w:jc w:val="center"/>
              <w:rPr>
                <w:rFonts w:hAnsi="宋体" w:cs="宋体"/>
              </w:rPr>
            </w:pPr>
            <w:r>
              <w:rPr>
                <w:rFonts w:hint="eastAsia" w:hAnsi="宋体" w:cs="宋体"/>
              </w:rPr>
              <w:t>截止时间和地点</w:t>
            </w:r>
          </w:p>
        </w:tc>
        <w:tc>
          <w:tcPr>
            <w:tcW w:w="6418" w:type="dxa"/>
            <w:vAlign w:val="center"/>
          </w:tcPr>
          <w:p>
            <w:pPr>
              <w:pStyle w:val="12"/>
              <w:spacing w:line="360" w:lineRule="exact"/>
              <w:rPr>
                <w:rFonts w:hAnsi="宋体" w:cs="宋体"/>
              </w:rPr>
            </w:pPr>
            <w:r>
              <w:rPr>
                <w:rFonts w:hint="eastAsia" w:hAnsi="宋体" w:cs="宋体"/>
                <w:szCs w:val="24"/>
              </w:rPr>
              <w:t>与第一章公告</w:t>
            </w:r>
            <w:r>
              <w:rPr>
                <w:rFonts w:hint="eastAsia" w:hAnsi="宋体" w:cs="宋体"/>
              </w:rPr>
              <w:t>响应文件提交截止时间、地点</w:t>
            </w:r>
            <w:r>
              <w:rPr>
                <w:rFonts w:hint="eastAsia" w:hAnsi="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val="en-US" w:eastAsia="zh-CN"/>
              </w:rPr>
            </w:pPr>
            <w:r>
              <w:rPr>
                <w:rFonts w:ascii="Times New Roman" w:hAnsi="Times New Roman" w:cs="Times New Roman"/>
              </w:rPr>
              <w:t>1</w:t>
            </w:r>
            <w:r>
              <w:rPr>
                <w:rFonts w:hint="eastAsia" w:ascii="Times New Roman" w:hAnsi="Times New Roman" w:cs="Times New Roman"/>
                <w:lang w:val="en-US" w:eastAsia="zh-CN"/>
              </w:rPr>
              <w:t>5</w:t>
            </w:r>
          </w:p>
        </w:tc>
        <w:tc>
          <w:tcPr>
            <w:tcW w:w="1711" w:type="dxa"/>
            <w:vAlign w:val="center"/>
          </w:tcPr>
          <w:p>
            <w:pPr>
              <w:pStyle w:val="12"/>
              <w:spacing w:line="360" w:lineRule="exact"/>
              <w:jc w:val="center"/>
              <w:rPr>
                <w:rFonts w:hAnsi="宋体" w:cs="宋体"/>
              </w:rPr>
            </w:pPr>
            <w:r>
              <w:rPr>
                <w:rFonts w:hint="eastAsia" w:hAnsi="宋体" w:cs="宋体"/>
              </w:rPr>
              <w:t>开标时间和地点</w:t>
            </w:r>
          </w:p>
        </w:tc>
        <w:tc>
          <w:tcPr>
            <w:tcW w:w="6418" w:type="dxa"/>
            <w:vAlign w:val="center"/>
          </w:tcPr>
          <w:p>
            <w:pPr>
              <w:pStyle w:val="12"/>
              <w:spacing w:line="360" w:lineRule="exact"/>
              <w:rPr>
                <w:rFonts w:hAnsi="宋体" w:cs="宋体"/>
              </w:rPr>
            </w:pPr>
            <w:r>
              <w:rPr>
                <w:rFonts w:hint="eastAsia" w:hAnsi="宋体" w:cs="宋体"/>
              </w:rPr>
              <w:t>服务商不需要到达开标现场。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adjustRightInd w:val="0"/>
              <w:spacing w:line="360" w:lineRule="exact"/>
              <w:jc w:val="center"/>
              <w:rPr>
                <w:rFonts w:hint="eastAsia" w:hAnsi="宋体" w:eastAsia="宋体" w:cs="宋体"/>
                <w:lang w:val="en-US" w:eastAsia="zh-CN"/>
              </w:rPr>
            </w:pPr>
            <w:r>
              <w:rPr>
                <w:rFonts w:ascii="Times New Roman" w:hAnsi="Times New Roman" w:cs="Times New Roman"/>
              </w:rPr>
              <w:t>1</w:t>
            </w:r>
            <w:r>
              <w:rPr>
                <w:rFonts w:hint="eastAsia" w:ascii="Times New Roman" w:hAnsi="Times New Roman" w:cs="Times New Roman"/>
                <w:lang w:val="en-US" w:eastAsia="zh-CN"/>
              </w:rPr>
              <w:t>6</w:t>
            </w:r>
          </w:p>
        </w:tc>
        <w:tc>
          <w:tcPr>
            <w:tcW w:w="1711" w:type="dxa"/>
            <w:vAlign w:val="center"/>
          </w:tcPr>
          <w:p>
            <w:pPr>
              <w:autoSpaceDE w:val="0"/>
              <w:autoSpaceDN w:val="0"/>
              <w:spacing w:line="360" w:lineRule="exact"/>
              <w:jc w:val="center"/>
              <w:rPr>
                <w:rFonts w:ascii="宋体" w:hAnsi="宋体" w:eastAsia="宋体" w:cs="宋体"/>
                <w:szCs w:val="20"/>
              </w:rPr>
            </w:pPr>
            <w:r>
              <w:rPr>
                <w:rFonts w:hint="eastAsia" w:ascii="宋体" w:hAnsi="宋体" w:eastAsia="宋体" w:cs="宋体"/>
                <w:szCs w:val="20"/>
              </w:rPr>
              <w:t>需要补充的其他内容</w:t>
            </w:r>
          </w:p>
        </w:tc>
        <w:tc>
          <w:tcPr>
            <w:tcW w:w="6418" w:type="dxa"/>
            <w:vAlign w:val="center"/>
          </w:tcPr>
          <w:p>
            <w:pPr>
              <w:pStyle w:val="12"/>
              <w:spacing w:line="360" w:lineRule="exact"/>
              <w:rPr>
                <w:rFonts w:hAnsi="宋体" w:cs="宋体"/>
              </w:rPr>
            </w:pPr>
            <w:r>
              <w:rPr>
                <w:rFonts w:hint="eastAsia" w:hAnsi="宋体" w:cs="宋体"/>
              </w:rPr>
              <w:t>无</w:t>
            </w:r>
          </w:p>
        </w:tc>
      </w:tr>
    </w:tbl>
    <w:p>
      <w:pPr>
        <w:rPr>
          <w:rFonts w:ascii="宋体" w:hAnsi="宋体" w:eastAsia="宋体" w:cs="宋体"/>
        </w:rPr>
      </w:pPr>
      <w:r>
        <w:rPr>
          <w:rFonts w:hint="eastAsia" w:ascii="宋体" w:hAnsi="宋体" w:eastAsia="宋体" w:cs="宋体"/>
        </w:rPr>
        <w:br w:type="page"/>
      </w:r>
    </w:p>
    <w:p>
      <w:pPr>
        <w:pStyle w:val="41"/>
        <w:spacing w:before="156"/>
        <w:rPr>
          <w:rFonts w:hint="default"/>
          <w:lang w:bidi="zh-CN"/>
        </w:rPr>
      </w:pPr>
      <w:r>
        <w:t>一、</w:t>
      </w:r>
      <w:r>
        <w:rPr>
          <w:lang w:bidi="zh-CN"/>
        </w:rPr>
        <w:t>总则</w:t>
      </w:r>
    </w:p>
    <w:p>
      <w:pPr>
        <w:pStyle w:val="42"/>
        <w:spacing w:before="156" w:after="156"/>
        <w:rPr>
          <w:rFonts w:hint="default"/>
        </w:rPr>
      </w:pPr>
      <w:r>
        <w:rPr>
          <w:rFonts w:hint="default" w:ascii="Times New Roman" w:hAnsi="Times New Roman" w:cs="Times New Roman"/>
        </w:rPr>
        <w:t>1</w:t>
      </w:r>
      <w:r>
        <w:rPr>
          <w:rFonts w:hint="default"/>
        </w:rPr>
        <w:t>.项目概况</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采购人：见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项目名称：见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资金来源：见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获取</w:t>
      </w:r>
      <w:r>
        <w:rPr>
          <w:rFonts w:hint="eastAsia" w:ascii="宋体" w:hAnsi="宋体" w:eastAsia="宋体" w:cs="宋体"/>
          <w:sz w:val="24"/>
          <w:szCs w:val="24"/>
          <w:lang w:bidi="zh-CN"/>
        </w:rPr>
        <w:t>采购</w:t>
      </w:r>
      <w:r>
        <w:rPr>
          <w:rFonts w:ascii="宋体" w:hAnsi="宋体" w:eastAsia="宋体" w:cs="宋体"/>
          <w:sz w:val="24"/>
          <w:szCs w:val="24"/>
          <w:lang w:bidi="zh-CN"/>
        </w:rPr>
        <w:t>文件的时间、地点、方式：见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采购文件：是指采购人为完成采购活动所制定的文件，包括价格性文件内容和商务性文件内容（包括但不限于</w:t>
      </w:r>
      <w:r>
        <w:rPr>
          <w:rFonts w:ascii="宋体" w:hAnsi="宋体" w:eastAsia="宋体" w:cs="宋体"/>
          <w:sz w:val="24"/>
          <w:szCs w:val="24"/>
        </w:rPr>
        <w:t>询价</w:t>
      </w:r>
      <w:r>
        <w:rPr>
          <w:rFonts w:hint="eastAsia" w:ascii="宋体" w:hAnsi="宋体" w:eastAsia="宋体" w:cs="宋体"/>
          <w:sz w:val="24"/>
          <w:szCs w:val="24"/>
          <w:lang w:bidi="zh-CN"/>
        </w:rPr>
        <w:t>采购文件、澄清或者更正公告等）。</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服务商：是指有能力向采购人提供符合本项目技术规格要求的货物、工程、服务的法人、其他组织和自然人。</w:t>
      </w:r>
    </w:p>
    <w:p>
      <w:pPr>
        <w:pStyle w:val="42"/>
        <w:spacing w:before="156" w:after="156"/>
        <w:rPr>
          <w:rFonts w:hint="default"/>
        </w:rPr>
      </w:pPr>
      <w:r>
        <w:rPr>
          <w:rFonts w:hint="default" w:ascii="Times New Roman" w:hAnsi="Times New Roman" w:cs="Times New Roman"/>
        </w:rPr>
        <w:t>2</w:t>
      </w:r>
      <w:r>
        <w:rPr>
          <w:rFonts w:hint="default"/>
        </w:rPr>
        <w:t>.采购信息发布媒体：</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fldChar w:fldCharType="begin"/>
      </w:r>
      <w:r>
        <w:instrText xml:space="preserve"> HYPERLINK "http://www.qbtzjt.com" </w:instrText>
      </w:r>
      <w:r>
        <w:fldChar w:fldCharType="separate"/>
      </w:r>
      <w:r>
        <w:rPr>
          <w:rFonts w:hint="eastAsia"/>
          <w:lang w:eastAsia="zh-CN"/>
        </w:rPr>
        <w:t>http:</w:t>
      </w:r>
      <w:r>
        <w:rPr>
          <w:rStyle w:val="25"/>
          <w:rFonts w:hint="eastAsia" w:ascii="宋体" w:hAnsi="宋体" w:eastAsia="宋体" w:cs="宋体"/>
          <w:sz w:val="24"/>
          <w:szCs w:val="24"/>
          <w:lang w:bidi="zh-CN"/>
        </w:rPr>
        <w:t>//www.qzmktjt.com/</w:t>
      </w:r>
      <w:r>
        <w:rPr>
          <w:rStyle w:val="25"/>
          <w:rFonts w:ascii="宋体" w:hAnsi="宋体" w:eastAsia="宋体" w:cs="宋体"/>
          <w:sz w:val="24"/>
          <w:szCs w:val="24"/>
          <w:lang w:bidi="zh-CN"/>
        </w:rPr>
        <w:fldChar w:fldCharType="end"/>
      </w:r>
      <w:r>
        <w:rPr>
          <w:rFonts w:ascii="宋体" w:hAnsi="宋体" w:eastAsia="宋体" w:cs="宋体"/>
          <w:sz w:val="24"/>
          <w:szCs w:val="24"/>
          <w:lang w:bidi="zh-CN"/>
        </w:rPr>
        <w:t>获取</w:t>
      </w:r>
      <w:r>
        <w:rPr>
          <w:rFonts w:hint="eastAsia" w:ascii="宋体" w:hAnsi="宋体" w:eastAsia="宋体" w:cs="宋体"/>
          <w:sz w:val="24"/>
          <w:szCs w:val="24"/>
          <w:lang w:bidi="zh-CN"/>
        </w:rPr>
        <w:t>（</w:t>
      </w:r>
      <w:r>
        <w:rPr>
          <w:rFonts w:ascii="宋体" w:hAnsi="宋体" w:eastAsia="宋体" w:cs="宋体"/>
          <w:sz w:val="24"/>
          <w:szCs w:val="24"/>
          <w:lang w:bidi="zh-CN"/>
        </w:rPr>
        <w:t>下载</w:t>
      </w:r>
      <w:r>
        <w:rPr>
          <w:rFonts w:hint="eastAsia" w:ascii="宋体" w:hAnsi="宋体" w:eastAsia="宋体" w:cs="宋体"/>
          <w:sz w:val="24"/>
          <w:szCs w:val="24"/>
          <w:lang w:bidi="zh-CN"/>
        </w:rPr>
        <w:t>）。</w:t>
      </w:r>
    </w:p>
    <w:p>
      <w:pPr>
        <w:pStyle w:val="42"/>
        <w:spacing w:before="156" w:after="156"/>
        <w:rPr>
          <w:rFonts w:hint="default"/>
        </w:rPr>
      </w:pPr>
      <w:r>
        <w:rPr>
          <w:rFonts w:hint="default" w:ascii="Times New Roman" w:hAnsi="Times New Roman" w:cs="Times New Roman"/>
        </w:rPr>
        <w:t>3</w:t>
      </w:r>
      <w:r>
        <w:rPr>
          <w:rFonts w:hint="default"/>
        </w:rPr>
        <w:t>.</w:t>
      </w:r>
      <w:r>
        <w:rPr>
          <w:szCs w:val="24"/>
        </w:rPr>
        <w:t>服务商</w:t>
      </w:r>
      <w:r>
        <w:rPr>
          <w:rFonts w:hint="default"/>
        </w:rPr>
        <w:t>资格要求：</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w:t>
      </w:r>
      <w:r>
        <w:rPr>
          <w:rFonts w:ascii="宋体" w:hAnsi="宋体" w:eastAsia="宋体" w:cs="宋体"/>
          <w:sz w:val="24"/>
          <w:szCs w:val="24"/>
          <w:lang w:bidi="zh-CN"/>
        </w:rPr>
        <w:t>的资格条件详见“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3</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pPr>
        <w:pStyle w:val="42"/>
        <w:spacing w:before="156" w:after="156"/>
        <w:rPr>
          <w:rFonts w:hint="default"/>
        </w:rPr>
      </w:pPr>
      <w:r>
        <w:rPr>
          <w:rFonts w:hint="default" w:ascii="Times New Roman" w:hAnsi="Times New Roman" w:cs="Times New Roman"/>
        </w:rPr>
        <w:t>4</w:t>
      </w:r>
      <w:r>
        <w:rPr>
          <w:rFonts w:hint="default"/>
        </w:rPr>
        <w:t>.费用承担</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服务商</w:t>
      </w:r>
      <w:r>
        <w:rPr>
          <w:rFonts w:ascii="宋体" w:hAnsi="宋体" w:eastAsia="宋体" w:cs="宋体"/>
          <w:sz w:val="24"/>
          <w:szCs w:val="24"/>
          <w:lang w:bidi="zh-CN"/>
        </w:rPr>
        <w:t>准备和参加</w:t>
      </w:r>
      <w:r>
        <w:rPr>
          <w:rFonts w:hint="eastAsia" w:ascii="宋体" w:hAnsi="宋体" w:eastAsia="宋体" w:cs="宋体"/>
          <w:sz w:val="24"/>
          <w:szCs w:val="24"/>
          <w:lang w:bidi="zh-CN"/>
        </w:rPr>
        <w:t>本次采购</w:t>
      </w:r>
      <w:r>
        <w:rPr>
          <w:rFonts w:ascii="宋体" w:hAnsi="宋体" w:eastAsia="宋体" w:cs="宋体"/>
          <w:sz w:val="24"/>
          <w:szCs w:val="24"/>
          <w:lang w:bidi="zh-CN"/>
        </w:rPr>
        <w:t>活动发生的费用自理。</w:t>
      </w:r>
    </w:p>
    <w:p>
      <w:pPr>
        <w:pStyle w:val="42"/>
        <w:spacing w:before="156" w:after="156"/>
        <w:rPr>
          <w:rFonts w:hint="default"/>
        </w:rPr>
      </w:pPr>
      <w:r>
        <w:rPr>
          <w:rFonts w:hint="default" w:ascii="Times New Roman" w:hAnsi="Times New Roman" w:cs="Times New Roman"/>
        </w:rPr>
        <w:t>5</w:t>
      </w:r>
      <w:r>
        <w:rPr>
          <w:rFonts w:hint="default"/>
        </w:rPr>
        <w:t>.联合体竞标</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5</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本项目是否接受联合体竞标</w:t>
      </w:r>
      <w:r>
        <w:rPr>
          <w:rFonts w:hint="eastAsia" w:ascii="宋体" w:hAnsi="宋体" w:eastAsia="宋体" w:cs="宋体"/>
          <w:sz w:val="24"/>
          <w:szCs w:val="24"/>
          <w:lang w:bidi="zh-CN"/>
        </w:rPr>
        <w:t>，</w:t>
      </w:r>
      <w:r>
        <w:rPr>
          <w:rFonts w:ascii="宋体" w:hAnsi="宋体" w:eastAsia="宋体" w:cs="宋体"/>
          <w:sz w:val="24"/>
          <w:szCs w:val="24"/>
          <w:lang w:bidi="zh-CN"/>
        </w:rPr>
        <w:t>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5</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如接受联合体竞标</w:t>
      </w:r>
      <w:r>
        <w:rPr>
          <w:rFonts w:hint="eastAsia" w:ascii="宋体" w:hAnsi="宋体" w:eastAsia="宋体" w:cs="宋体"/>
          <w:sz w:val="24"/>
          <w:szCs w:val="24"/>
          <w:lang w:bidi="zh-CN"/>
        </w:rPr>
        <w:t>，</w:t>
      </w:r>
      <w:r>
        <w:rPr>
          <w:rFonts w:ascii="宋体" w:hAnsi="宋体" w:eastAsia="宋体" w:cs="宋体"/>
          <w:sz w:val="24"/>
          <w:szCs w:val="24"/>
          <w:lang w:bidi="zh-CN"/>
        </w:rPr>
        <w:t>联合体竞标要求详见</w:t>
      </w:r>
      <w:r>
        <w:rPr>
          <w:rFonts w:hint="eastAsia" w:ascii="宋体" w:hAnsi="宋体" w:eastAsia="宋体" w:cs="宋体"/>
          <w:sz w:val="24"/>
          <w:szCs w:val="24"/>
          <w:lang w:bidi="zh-CN"/>
        </w:rPr>
        <w:t>第三章服务商须知“服务商资格要求”</w:t>
      </w:r>
      <w:r>
        <w:rPr>
          <w:rFonts w:ascii="宋体" w:hAnsi="宋体" w:eastAsia="宋体" w:cs="宋体"/>
          <w:sz w:val="24"/>
          <w:szCs w:val="24"/>
          <w:lang w:bidi="zh-CN"/>
        </w:rPr>
        <w:t>。</w:t>
      </w:r>
    </w:p>
    <w:p>
      <w:pPr>
        <w:pStyle w:val="42"/>
        <w:spacing w:before="156" w:after="156"/>
        <w:rPr>
          <w:rFonts w:hint="default"/>
        </w:rPr>
      </w:pPr>
      <w:r>
        <w:rPr>
          <w:rFonts w:hint="default" w:ascii="Times New Roman" w:hAnsi="Times New Roman" w:cs="Times New Roman"/>
        </w:rPr>
        <w:t>6</w:t>
      </w:r>
      <w:r>
        <w:rPr>
          <w:rFonts w:hint="default"/>
        </w:rPr>
        <w:t>.转包与分包</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6</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本项目</w:t>
      </w:r>
      <w:r>
        <w:rPr>
          <w:rFonts w:hint="eastAsia" w:ascii="宋体" w:hAnsi="宋体" w:eastAsia="宋体" w:cs="宋体"/>
          <w:sz w:val="24"/>
          <w:szCs w:val="24"/>
          <w:lang w:val="en-US" w:bidi="zh-CN"/>
        </w:rPr>
        <w:t>不</w:t>
      </w:r>
      <w:r>
        <w:rPr>
          <w:rFonts w:ascii="宋体" w:hAnsi="宋体" w:eastAsia="宋体" w:cs="宋体"/>
          <w:sz w:val="24"/>
          <w:szCs w:val="24"/>
          <w:lang w:bidi="zh-CN"/>
        </w:rPr>
        <w:t>允许转包。</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6</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本项目是否允许分包详见“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pStyle w:val="42"/>
        <w:spacing w:before="156" w:after="156"/>
        <w:rPr>
          <w:rFonts w:hint="default"/>
        </w:rPr>
      </w:pPr>
      <w:r>
        <w:rPr>
          <w:rFonts w:hint="default" w:ascii="Times New Roman" w:hAnsi="Times New Roman" w:cs="Times New Roman"/>
        </w:rPr>
        <w:t>7</w:t>
      </w:r>
      <w:r>
        <w:t>.</w:t>
      </w:r>
      <w:r>
        <w:rPr>
          <w:rFonts w:hint="default"/>
        </w:rPr>
        <w:t>语言文字</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除专用术语外</w:t>
      </w:r>
      <w:r>
        <w:rPr>
          <w:rFonts w:hint="eastAsia" w:ascii="宋体" w:hAnsi="宋体" w:eastAsia="宋体" w:cs="宋体"/>
          <w:sz w:val="24"/>
          <w:szCs w:val="24"/>
          <w:lang w:bidi="zh-CN"/>
        </w:rPr>
        <w:t>，</w:t>
      </w:r>
      <w:r>
        <w:rPr>
          <w:rFonts w:ascii="宋体" w:hAnsi="宋体" w:eastAsia="宋体" w:cs="宋体"/>
          <w:sz w:val="24"/>
          <w:szCs w:val="24"/>
          <w:lang w:bidi="zh-CN"/>
        </w:rPr>
        <w:t>与</w:t>
      </w:r>
      <w:r>
        <w:rPr>
          <w:rFonts w:hint="eastAsia" w:ascii="宋体" w:hAnsi="宋体" w:eastAsia="宋体" w:cs="宋体"/>
          <w:sz w:val="24"/>
          <w:szCs w:val="24"/>
          <w:lang w:bidi="zh-CN"/>
        </w:rPr>
        <w:t>本次采购活动</w:t>
      </w:r>
      <w:r>
        <w:rPr>
          <w:rFonts w:ascii="宋体" w:hAnsi="宋体" w:eastAsia="宋体" w:cs="宋体"/>
          <w:sz w:val="24"/>
          <w:szCs w:val="24"/>
          <w:lang w:bidi="zh-CN"/>
        </w:rPr>
        <w:t>有关的语言均使用中文。必要时专用术语应附有中文注释。</w:t>
      </w:r>
    </w:p>
    <w:p>
      <w:pPr>
        <w:pStyle w:val="42"/>
        <w:spacing w:before="156" w:after="156"/>
        <w:rPr>
          <w:rFonts w:hint="default"/>
        </w:rPr>
      </w:pPr>
      <w:r>
        <w:rPr>
          <w:rFonts w:hint="default" w:ascii="Times New Roman" w:hAnsi="Times New Roman" w:cs="Times New Roman"/>
        </w:rPr>
        <w:t>8</w:t>
      </w:r>
      <w:r>
        <w:t>.</w:t>
      </w:r>
      <w:r>
        <w:rPr>
          <w:rFonts w:hint="default"/>
        </w:rPr>
        <w:t>计量单位</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所有计量均采用中华人民共和国法定计量单位。</w:t>
      </w:r>
    </w:p>
    <w:p>
      <w:pPr>
        <w:pStyle w:val="42"/>
        <w:spacing w:before="156" w:after="156"/>
        <w:rPr>
          <w:rFonts w:hint="default"/>
        </w:rPr>
      </w:pPr>
      <w:r>
        <w:rPr>
          <w:rFonts w:hint="default" w:ascii="Times New Roman" w:hAnsi="Times New Roman" w:cs="Times New Roman"/>
        </w:rPr>
        <w:t>9</w:t>
      </w:r>
      <w:r>
        <w:t>.否决竞标条件</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有下列情形之一的，属于相互串通</w:t>
      </w:r>
      <w:r>
        <w:rPr>
          <w:rFonts w:hint="eastAsia" w:ascii="宋体" w:hAnsi="宋体" w:eastAsia="宋体" w:cs="宋体"/>
          <w:sz w:val="24"/>
          <w:szCs w:val="24"/>
          <w:lang w:bidi="zh-CN"/>
        </w:rPr>
        <w:t>竞</w:t>
      </w:r>
      <w:r>
        <w:rPr>
          <w:rFonts w:ascii="宋体" w:hAnsi="宋体" w:eastAsia="宋体" w:cs="宋体"/>
          <w:sz w:val="24"/>
          <w:szCs w:val="24"/>
          <w:lang w:bidi="zh-CN"/>
        </w:rPr>
        <w:t>标</w:t>
      </w:r>
      <w:r>
        <w:rPr>
          <w:rFonts w:hint="eastAsia" w:ascii="宋体" w:hAnsi="宋体" w:eastAsia="宋体" w:cs="宋体"/>
          <w:sz w:val="24"/>
          <w:szCs w:val="24"/>
          <w:lang w:bidi="zh-CN"/>
        </w:rPr>
        <w:t>，</w:t>
      </w:r>
      <w:r>
        <w:rPr>
          <w:rFonts w:ascii="宋体" w:hAnsi="宋体" w:eastAsia="宋体" w:cs="宋体"/>
          <w:sz w:val="24"/>
          <w:szCs w:val="24"/>
          <w:lang w:bidi="zh-CN"/>
        </w:rPr>
        <w:t>响应文件将被视为无效：</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服务商直接或者间接从采购人或者采购代理机构处获得其他服务商的相关情况并修改其响应文件；</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服务商按照采购人或者采购代理机构的授意撤换、修改响应文件；</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服务商之间协商报价、技术方案等响应文件的实质性内容；</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属于同一集团、协会、商会等组织成员的服务商按照该组织要求协同参加采购活动；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服务商之间事先约定由某一特定服务商成交；</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服务商之间商定部分服务商放弃参加采购活动或者放弃成交；</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服务商与采购人或者采购代理机构之间、服务商相互之间，为谋求特定服务商成交或者排斥其他服务商的其他串通行为。</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有下列情形之一的，视为</w:t>
      </w:r>
      <w:r>
        <w:rPr>
          <w:rFonts w:hint="eastAsia" w:ascii="宋体" w:hAnsi="宋体" w:eastAsia="宋体" w:cs="宋体"/>
          <w:sz w:val="24"/>
          <w:szCs w:val="24"/>
          <w:lang w:bidi="zh-CN"/>
        </w:rPr>
        <w:t>服务商</w:t>
      </w:r>
      <w:r>
        <w:rPr>
          <w:rFonts w:ascii="宋体" w:hAnsi="宋体" w:eastAsia="宋体" w:cs="宋体"/>
          <w:sz w:val="24"/>
          <w:szCs w:val="24"/>
          <w:lang w:bidi="zh-CN"/>
        </w:rPr>
        <w:t>相互串通</w:t>
      </w:r>
      <w:r>
        <w:rPr>
          <w:rFonts w:hint="eastAsia" w:ascii="宋体" w:hAnsi="宋体" w:eastAsia="宋体" w:cs="宋体"/>
          <w:sz w:val="24"/>
          <w:szCs w:val="24"/>
          <w:lang w:bidi="zh-CN"/>
        </w:rPr>
        <w:t>竞</w:t>
      </w:r>
      <w:r>
        <w:rPr>
          <w:rFonts w:ascii="宋体" w:hAnsi="宋体" w:eastAsia="宋体" w:cs="宋体"/>
          <w:sz w:val="24"/>
          <w:szCs w:val="24"/>
          <w:lang w:bidi="zh-CN"/>
        </w:rPr>
        <w:t>标</w:t>
      </w:r>
      <w:r>
        <w:rPr>
          <w:rFonts w:hint="eastAsia" w:ascii="宋体" w:hAnsi="宋体" w:eastAsia="宋体" w:cs="宋体"/>
          <w:sz w:val="24"/>
          <w:szCs w:val="24"/>
          <w:lang w:bidi="zh-CN"/>
        </w:rPr>
        <w:t>，</w:t>
      </w:r>
      <w:r>
        <w:rPr>
          <w:rFonts w:ascii="宋体" w:hAnsi="宋体" w:eastAsia="宋体" w:cs="宋体"/>
          <w:sz w:val="24"/>
          <w:szCs w:val="24"/>
          <w:lang w:bidi="zh-CN"/>
        </w:rPr>
        <w:t>响应文件将被视为无效：</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文件由同一单位或者个人编制；</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委托同一单位或者个人办理</w:t>
      </w:r>
      <w:r>
        <w:rPr>
          <w:rFonts w:hint="eastAsia" w:ascii="宋体" w:hAnsi="宋体" w:eastAsia="宋体" w:cs="宋体"/>
          <w:sz w:val="24"/>
          <w:szCs w:val="24"/>
          <w:lang w:bidi="zh-CN"/>
        </w:rPr>
        <w:t>竞</w:t>
      </w:r>
      <w:r>
        <w:rPr>
          <w:rFonts w:ascii="宋体" w:hAnsi="宋体" w:eastAsia="宋体" w:cs="宋体"/>
          <w:sz w:val="24"/>
          <w:szCs w:val="24"/>
          <w:lang w:bidi="zh-CN"/>
        </w:rPr>
        <w:t>标事宜；</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文件载明的项目管理成员为同一人；</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文件异常一致或者报价呈规律性差异；</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文件相互混装；</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竞</w:t>
      </w:r>
      <w:r>
        <w:rPr>
          <w:rFonts w:ascii="宋体" w:hAnsi="宋体" w:eastAsia="宋体" w:cs="宋体"/>
          <w:sz w:val="24"/>
          <w:szCs w:val="24"/>
          <w:lang w:bidi="zh-CN"/>
        </w:rPr>
        <w:t>标保证金从同一单位或者个人的账户转出。</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响应文件将被视为无效</w:t>
      </w:r>
      <w:r>
        <w:rPr>
          <w:rFonts w:hint="eastAsia" w:ascii="宋体" w:hAnsi="宋体" w:eastAsia="宋体" w:cs="宋体"/>
          <w:sz w:val="24"/>
          <w:szCs w:val="24"/>
          <w:lang w:bidi="zh-CN"/>
        </w:rPr>
        <w:t>的其他情形</w:t>
      </w:r>
      <w:r>
        <w:rPr>
          <w:rFonts w:ascii="宋体" w:hAnsi="宋体" w:eastAsia="宋体" w:cs="宋体"/>
          <w:sz w:val="24"/>
          <w:szCs w:val="24"/>
          <w:lang w:bidi="zh-CN"/>
        </w:rPr>
        <w:t>：</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w:t>
      </w:r>
      <w:r>
        <w:rPr>
          <w:rFonts w:hint="eastAsia" w:ascii="宋体" w:hAnsi="宋体" w:eastAsia="宋体" w:cs="宋体"/>
          <w:sz w:val="24"/>
          <w:szCs w:val="24"/>
          <w:lang w:bidi="zh-CN"/>
        </w:rPr>
        <w:t>逾期送达的或者未送达指定地点的；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w:t>
      </w:r>
      <w:r>
        <w:rPr>
          <w:rFonts w:hint="eastAsia" w:ascii="宋体" w:hAnsi="宋体" w:eastAsia="宋体" w:cs="宋体"/>
          <w:sz w:val="24"/>
          <w:szCs w:val="24"/>
          <w:lang w:bidi="zh-CN"/>
        </w:rPr>
        <w:t>未按采购文件要求密封的；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w:t>
      </w:r>
      <w:r>
        <w:rPr>
          <w:rFonts w:hint="eastAsia" w:ascii="宋体" w:hAnsi="宋体" w:eastAsia="宋体" w:cs="宋体"/>
          <w:sz w:val="24"/>
          <w:szCs w:val="24"/>
          <w:lang w:bidi="zh-CN"/>
        </w:rPr>
        <w:t>未按规定的格式填写，内容不全或关键字迹模糊、无法辨认的；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响应文件</w:t>
      </w:r>
      <w:r>
        <w:rPr>
          <w:rFonts w:hint="eastAsia" w:ascii="宋体" w:hAnsi="宋体" w:eastAsia="宋体" w:cs="宋体"/>
          <w:sz w:val="24"/>
          <w:szCs w:val="24"/>
          <w:lang w:bidi="zh-CN"/>
        </w:rPr>
        <w:t>无单位盖章并无法定代表人或法定代表人授权的代理人签字或盖章的；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服务商递交两份或多份内容不同的响应文件，或在一份响应文件中对同一采购项目报有两个或多个报价，且未声明哪一个有效，按采购文件规定提交备选投标方案的除外；</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服务商不按评审委员会要求澄清、说明或补正的；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未按采购文件要求提交保证金的；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8</w:t>
      </w:r>
      <w:r>
        <w:rPr>
          <w:rFonts w:hint="eastAsia" w:ascii="宋体" w:hAnsi="宋体" w:eastAsia="宋体" w:cs="宋体"/>
          <w:sz w:val="24"/>
          <w:szCs w:val="24"/>
          <w:lang w:bidi="zh-CN"/>
        </w:rPr>
        <w:t>联合体竞标未附联合体各方共同投标协议的。</w:t>
      </w:r>
    </w:p>
    <w:p>
      <w:pPr>
        <w:pStyle w:val="42"/>
        <w:spacing w:before="156" w:after="156"/>
        <w:rPr>
          <w:rFonts w:hint="default"/>
        </w:rPr>
      </w:pPr>
      <w:r>
        <w:rPr>
          <w:rFonts w:hint="default" w:ascii="Times New Roman" w:hAnsi="Times New Roman" w:cs="Times New Roman"/>
        </w:rPr>
        <w:t>10</w:t>
      </w:r>
      <w:r>
        <w:t>.</w:t>
      </w:r>
      <w:r>
        <w:rPr>
          <w:rFonts w:hint="default"/>
        </w:rPr>
        <w:t>采购人员及相关人员与</w:t>
      </w:r>
      <w:r>
        <w:t>服务商</w:t>
      </w:r>
      <w:r>
        <w:rPr>
          <w:rFonts w:hint="default"/>
        </w:rPr>
        <w:t>有下列利害关系之一的，应当回避：</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年内与</w:t>
      </w:r>
      <w:r>
        <w:rPr>
          <w:rFonts w:hint="eastAsia" w:ascii="宋体" w:hAnsi="宋体" w:eastAsia="宋体" w:cs="宋体"/>
          <w:sz w:val="24"/>
          <w:szCs w:val="24"/>
          <w:lang w:bidi="zh-CN"/>
        </w:rPr>
        <w:t>服务商</w:t>
      </w:r>
      <w:r>
        <w:rPr>
          <w:rFonts w:ascii="宋体" w:hAnsi="宋体" w:eastAsia="宋体" w:cs="宋体"/>
          <w:sz w:val="24"/>
          <w:szCs w:val="24"/>
          <w:lang w:bidi="zh-CN"/>
        </w:rPr>
        <w:t>存在劳动关系；</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年内担任</w:t>
      </w:r>
      <w:r>
        <w:rPr>
          <w:rFonts w:hint="eastAsia" w:ascii="宋体" w:hAnsi="宋体" w:eastAsia="宋体" w:cs="宋体"/>
          <w:sz w:val="24"/>
          <w:szCs w:val="24"/>
          <w:lang w:bidi="zh-CN"/>
        </w:rPr>
        <w:t>服务商</w:t>
      </w:r>
      <w:r>
        <w:rPr>
          <w:rFonts w:ascii="宋体" w:hAnsi="宋体" w:eastAsia="宋体" w:cs="宋体"/>
          <w:sz w:val="24"/>
          <w:szCs w:val="24"/>
          <w:lang w:bidi="zh-CN"/>
        </w:rPr>
        <w:t>的董事、监事；</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年内是</w:t>
      </w:r>
      <w:r>
        <w:rPr>
          <w:rFonts w:hint="eastAsia" w:ascii="宋体" w:hAnsi="宋体" w:eastAsia="宋体" w:cs="宋体"/>
          <w:sz w:val="24"/>
          <w:szCs w:val="24"/>
          <w:lang w:bidi="zh-CN"/>
        </w:rPr>
        <w:t>服务商</w:t>
      </w:r>
      <w:r>
        <w:rPr>
          <w:rFonts w:ascii="宋体" w:hAnsi="宋体" w:eastAsia="宋体" w:cs="宋体"/>
          <w:sz w:val="24"/>
          <w:szCs w:val="24"/>
          <w:lang w:bidi="zh-CN"/>
        </w:rPr>
        <w:t>的控股股东或者实际控制人；</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与</w:t>
      </w:r>
      <w:r>
        <w:rPr>
          <w:rFonts w:hint="eastAsia" w:ascii="宋体" w:hAnsi="宋体" w:eastAsia="宋体" w:cs="宋体"/>
          <w:sz w:val="24"/>
          <w:szCs w:val="24"/>
          <w:lang w:bidi="zh-CN"/>
        </w:rPr>
        <w:t>服务商</w:t>
      </w:r>
      <w:r>
        <w:rPr>
          <w:rFonts w:ascii="宋体" w:hAnsi="宋体" w:eastAsia="宋体" w:cs="宋体"/>
          <w:sz w:val="24"/>
          <w:szCs w:val="24"/>
          <w:lang w:bidi="zh-CN"/>
        </w:rPr>
        <w:t>的法定代表人或者负责人有夫妻、直系血亲、三代以内旁系血亲或者近姻亲关系；</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与</w:t>
      </w:r>
      <w:r>
        <w:rPr>
          <w:rFonts w:hint="eastAsia" w:ascii="宋体" w:hAnsi="宋体" w:eastAsia="宋体" w:cs="宋体"/>
          <w:sz w:val="24"/>
          <w:szCs w:val="24"/>
          <w:lang w:bidi="zh-CN"/>
        </w:rPr>
        <w:t>服务商</w:t>
      </w:r>
      <w:r>
        <w:rPr>
          <w:rFonts w:ascii="宋体" w:hAnsi="宋体" w:eastAsia="宋体" w:cs="宋体"/>
          <w:sz w:val="24"/>
          <w:szCs w:val="24"/>
          <w:lang w:bidi="zh-CN"/>
        </w:rPr>
        <w:t>有其他可能影响采购活动公平、公正进行的关系。</w:t>
      </w:r>
    </w:p>
    <w:p>
      <w:pPr>
        <w:adjustRightInd w:val="0"/>
        <w:snapToGrid w:val="0"/>
        <w:ind w:firstLine="480" w:firstLineChars="200"/>
        <w:jc w:val="left"/>
      </w:pPr>
      <w:r>
        <w:rPr>
          <w:rFonts w:hint="eastAsia" w:ascii="宋体" w:hAnsi="宋体" w:eastAsia="宋体" w:cs="宋体"/>
          <w:sz w:val="24"/>
          <w:szCs w:val="24"/>
          <w:lang w:bidi="zh-CN"/>
        </w:rPr>
        <w:t>服务商</w:t>
      </w:r>
      <w:r>
        <w:rPr>
          <w:rFonts w:ascii="宋体" w:hAnsi="宋体" w:eastAsia="宋体" w:cs="宋体"/>
          <w:sz w:val="24"/>
          <w:szCs w:val="24"/>
          <w:lang w:bidi="zh-CN"/>
        </w:rPr>
        <w:t>认为采购人员及相关人员与其他</w:t>
      </w:r>
      <w:r>
        <w:rPr>
          <w:rFonts w:hint="eastAsia" w:ascii="宋体" w:hAnsi="宋体" w:eastAsia="宋体" w:cs="宋体"/>
          <w:sz w:val="24"/>
          <w:szCs w:val="24"/>
          <w:lang w:bidi="zh-CN"/>
        </w:rPr>
        <w:t>服务商</w:t>
      </w:r>
      <w:r>
        <w:rPr>
          <w:rFonts w:ascii="宋体" w:hAnsi="宋体" w:eastAsia="宋体" w:cs="宋体"/>
          <w:sz w:val="24"/>
          <w:szCs w:val="24"/>
          <w:lang w:bidi="zh-CN"/>
        </w:rPr>
        <w:t>有利害关系的，可以向采购人或者采购代理机构书面提出回避申请，并说明理由。采购人或者采购代理机构应当及时询问被申请回避人员，有利害关系的被申请回避人员应当回避。</w:t>
      </w:r>
    </w:p>
    <w:p>
      <w:pPr>
        <w:pStyle w:val="41"/>
        <w:spacing w:before="156"/>
        <w:jc w:val="both"/>
        <w:rPr>
          <w:rFonts w:hint="default"/>
          <w:lang w:bidi="zh-CN"/>
        </w:rPr>
      </w:pPr>
    </w:p>
    <w:p>
      <w:pPr>
        <w:pStyle w:val="41"/>
        <w:spacing w:before="156"/>
        <w:rPr>
          <w:rFonts w:hint="default"/>
          <w:lang w:bidi="zh-CN"/>
        </w:rPr>
      </w:pPr>
      <w:r>
        <w:rPr>
          <w:lang w:bidi="zh-CN"/>
        </w:rPr>
        <w:t>二、响应文件的编制</w:t>
      </w:r>
    </w:p>
    <w:p>
      <w:pPr>
        <w:pStyle w:val="42"/>
        <w:spacing w:before="156" w:after="156"/>
        <w:rPr>
          <w:rFonts w:hint="default"/>
        </w:rPr>
      </w:pPr>
      <w:r>
        <w:rPr>
          <w:rFonts w:hint="default" w:ascii="Times New Roman" w:hAnsi="Times New Roman" w:cs="Times New Roman"/>
        </w:rPr>
        <w:t>11</w:t>
      </w:r>
      <w:r>
        <w:rPr>
          <w:rFonts w:hint="default"/>
        </w:rPr>
        <w:t>.响应文件的编制原则</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服务商</w:t>
      </w:r>
      <w:r>
        <w:rPr>
          <w:rFonts w:ascii="宋体" w:hAnsi="宋体" w:eastAsia="宋体" w:cs="宋体"/>
          <w:sz w:val="24"/>
          <w:szCs w:val="24"/>
          <w:lang w:bidi="zh-CN"/>
        </w:rPr>
        <w:t>必须按照</w:t>
      </w:r>
      <w:r>
        <w:rPr>
          <w:rFonts w:hint="eastAsia" w:ascii="宋体" w:hAnsi="宋体" w:eastAsia="宋体" w:cs="宋体"/>
          <w:sz w:val="24"/>
          <w:szCs w:val="24"/>
          <w:lang w:bidi="zh-CN"/>
        </w:rPr>
        <w:t>采购</w:t>
      </w:r>
      <w:r>
        <w:rPr>
          <w:rFonts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bidi="zh-CN"/>
        </w:rPr>
        <w:t>采购</w:t>
      </w:r>
      <w:r>
        <w:rPr>
          <w:rFonts w:ascii="宋体" w:hAnsi="宋体" w:eastAsia="宋体" w:cs="宋体"/>
          <w:sz w:val="24"/>
          <w:szCs w:val="24"/>
          <w:lang w:bidi="zh-CN"/>
        </w:rPr>
        <w:t>文件作出实质性响应。</w:t>
      </w:r>
    </w:p>
    <w:p>
      <w:pPr>
        <w:pStyle w:val="42"/>
        <w:spacing w:before="156" w:after="156"/>
        <w:rPr>
          <w:rFonts w:hint="default"/>
        </w:rPr>
      </w:pPr>
      <w:r>
        <w:rPr>
          <w:rFonts w:hint="default" w:ascii="Times New Roman" w:hAnsi="Times New Roman" w:cs="Times New Roman"/>
        </w:rPr>
        <w:t>12</w:t>
      </w:r>
      <w:r>
        <w:rPr>
          <w:rFonts w:hint="default"/>
        </w:rPr>
        <w:t>.响应文件的组成</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响应文件由</w:t>
      </w:r>
      <w:r>
        <w:rPr>
          <w:rFonts w:ascii="宋体" w:hAnsi="宋体" w:eastAsia="宋体" w:cs="宋体"/>
          <w:b/>
          <w:bCs/>
          <w:sz w:val="24"/>
          <w:szCs w:val="24"/>
          <w:lang w:bidi="zh-CN"/>
        </w:rPr>
        <w:t>资格证明文件、报价商务技术文件</w:t>
      </w:r>
      <w:r>
        <w:rPr>
          <w:rFonts w:ascii="宋体" w:hAnsi="宋体" w:eastAsia="宋体" w:cs="宋体"/>
          <w:sz w:val="24"/>
          <w:szCs w:val="24"/>
          <w:lang w:bidi="zh-CN"/>
        </w:rPr>
        <w:t>两部分组成。</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资格证明文件：详见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报价商务技术文件：详见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响应文件电子版：详见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pPr>
        <w:pStyle w:val="42"/>
        <w:spacing w:before="156" w:after="156"/>
        <w:rPr>
          <w:rFonts w:hint="default"/>
        </w:rPr>
      </w:pPr>
      <w:r>
        <w:rPr>
          <w:rFonts w:hint="default" w:ascii="Times New Roman" w:hAnsi="Times New Roman" w:cs="Times New Roman"/>
        </w:rPr>
        <w:t>13</w:t>
      </w:r>
      <w:r>
        <w:t>.</w:t>
      </w:r>
      <w:r>
        <w:rPr>
          <w:rFonts w:hint="default"/>
        </w:rPr>
        <w:t>响应文件编制的要求</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w:t>
      </w:r>
      <w:r>
        <w:rPr>
          <w:rFonts w:ascii="宋体" w:hAnsi="宋体" w:eastAsia="宋体" w:cs="宋体"/>
          <w:sz w:val="24"/>
          <w:szCs w:val="24"/>
          <w:lang w:bidi="zh-CN"/>
        </w:rPr>
        <w:t>应按本</w:t>
      </w:r>
      <w:r>
        <w:rPr>
          <w:rFonts w:hint="eastAsia" w:ascii="宋体" w:hAnsi="宋体" w:eastAsia="宋体" w:cs="宋体"/>
          <w:sz w:val="24"/>
          <w:szCs w:val="24"/>
          <w:lang w:bidi="zh-CN"/>
        </w:rPr>
        <w:t>采购</w:t>
      </w:r>
      <w:r>
        <w:rPr>
          <w:rFonts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ascii="宋体" w:hAnsi="宋体" w:eastAsia="宋体" w:cs="宋体"/>
          <w:sz w:val="24"/>
          <w:szCs w:val="24"/>
          <w:lang w:bidi="zh-CN"/>
        </w:rPr>
        <w:t>由此引发的后果由</w:t>
      </w:r>
      <w:r>
        <w:rPr>
          <w:rFonts w:hint="eastAsia" w:ascii="宋体" w:hAnsi="宋体" w:eastAsia="宋体" w:cs="宋体"/>
          <w:sz w:val="24"/>
          <w:szCs w:val="24"/>
          <w:lang w:bidi="zh-CN"/>
        </w:rPr>
        <w:t>服务商</w:t>
      </w:r>
      <w:r>
        <w:rPr>
          <w:rFonts w:ascii="宋体" w:hAnsi="宋体" w:eastAsia="宋体" w:cs="宋体"/>
          <w:sz w:val="24"/>
          <w:szCs w:val="24"/>
          <w:lang w:bidi="zh-CN"/>
        </w:rPr>
        <w:t>承担。</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响应文件由</w:t>
      </w:r>
      <w:r>
        <w:rPr>
          <w:rFonts w:ascii="宋体" w:hAnsi="宋体" w:eastAsia="宋体" w:cs="宋体"/>
          <w:b/>
          <w:bCs/>
          <w:sz w:val="24"/>
          <w:szCs w:val="24"/>
          <w:lang w:bidi="zh-CN"/>
        </w:rPr>
        <w:t>资格证明文件、报价商务技术文件</w:t>
      </w:r>
      <w:r>
        <w:rPr>
          <w:rFonts w:ascii="宋体" w:hAnsi="宋体" w:eastAsia="宋体" w:cs="宋体"/>
          <w:sz w:val="24"/>
          <w:szCs w:val="24"/>
          <w:lang w:bidi="zh-CN"/>
        </w:rPr>
        <w:t>两部分组成</w:t>
      </w:r>
      <w:r>
        <w:rPr>
          <w:rFonts w:hint="eastAsia" w:ascii="宋体" w:hAnsi="宋体" w:eastAsia="宋体" w:cs="宋体"/>
          <w:sz w:val="24"/>
          <w:szCs w:val="24"/>
          <w:lang w:bidi="zh-CN"/>
        </w:rPr>
        <w:t>，可按照</w:t>
      </w:r>
      <w:r>
        <w:rPr>
          <w:rFonts w:ascii="宋体" w:hAnsi="宋体" w:eastAsia="宋体" w:cs="宋体"/>
          <w:sz w:val="24"/>
          <w:szCs w:val="24"/>
          <w:lang w:bidi="zh-CN"/>
        </w:rPr>
        <w:t>资格证明文件、报价商务技术文件顺序装订成册。响应文件正本一份</w:t>
      </w:r>
      <w:r>
        <w:rPr>
          <w:rFonts w:hint="eastAsia" w:ascii="宋体" w:hAnsi="宋体" w:eastAsia="宋体" w:cs="宋体"/>
          <w:sz w:val="24"/>
          <w:szCs w:val="24"/>
          <w:lang w:bidi="zh-CN"/>
        </w:rPr>
        <w:t>，</w:t>
      </w:r>
      <w:r>
        <w:rPr>
          <w:rFonts w:ascii="宋体" w:hAnsi="宋体" w:eastAsia="宋体" w:cs="宋体"/>
          <w:sz w:val="24"/>
          <w:szCs w:val="24"/>
          <w:lang w:bidi="zh-CN"/>
        </w:rPr>
        <w:t>副本份数详见“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r>
        <w:rPr>
          <w:rFonts w:ascii="宋体" w:hAnsi="宋体" w:eastAsia="宋体" w:cs="宋体"/>
          <w:sz w:val="24"/>
          <w:szCs w:val="24"/>
          <w:lang w:bidi="zh-CN"/>
        </w:rPr>
        <w:t>响应文件的封面应注明“正本</w:t>
      </w:r>
      <w:r>
        <w:rPr>
          <w:rFonts w:hint="eastAsia" w:ascii="宋体" w:hAnsi="宋体" w:eastAsia="宋体" w:cs="宋体"/>
          <w:sz w:val="24"/>
          <w:szCs w:val="24"/>
          <w:lang w:bidi="zh-CN"/>
        </w:rPr>
        <w:t>”“</w:t>
      </w:r>
      <w:r>
        <w:rPr>
          <w:rFonts w:ascii="宋体" w:hAnsi="宋体" w:eastAsia="宋体" w:cs="宋体"/>
          <w:sz w:val="24"/>
          <w:szCs w:val="24"/>
          <w:lang w:bidi="zh-CN"/>
        </w:rPr>
        <w:t>副本”字样</w:t>
      </w:r>
      <w:r>
        <w:rPr>
          <w:rFonts w:hint="eastAsia" w:ascii="宋体" w:hAnsi="宋体" w:eastAsia="宋体" w:cs="宋体"/>
          <w:sz w:val="24"/>
          <w:szCs w:val="24"/>
          <w:lang w:bidi="zh-CN"/>
        </w:rPr>
        <w:t>，</w:t>
      </w:r>
      <w:r>
        <w:rPr>
          <w:rFonts w:ascii="宋体" w:hAnsi="宋体" w:eastAsia="宋体" w:cs="宋体"/>
          <w:sz w:val="24"/>
          <w:szCs w:val="24"/>
          <w:lang w:bidi="zh-CN"/>
        </w:rPr>
        <w:t>提供响应文件正、副本数量不足的将按无效响应处理。由于响应文件装订松散而造成的丢失或者其他情况导致的不利后果由</w:t>
      </w:r>
      <w:r>
        <w:rPr>
          <w:rFonts w:hint="eastAsia" w:ascii="宋体" w:hAnsi="宋体" w:eastAsia="宋体" w:cs="宋体"/>
          <w:sz w:val="24"/>
          <w:szCs w:val="24"/>
          <w:lang w:bidi="zh-CN"/>
        </w:rPr>
        <w:t>服务商</w:t>
      </w:r>
      <w:r>
        <w:rPr>
          <w:rFonts w:ascii="宋体" w:hAnsi="宋体" w:eastAsia="宋体" w:cs="宋体"/>
          <w:sz w:val="24"/>
          <w:szCs w:val="24"/>
          <w:lang w:bidi="zh-CN"/>
        </w:rPr>
        <w:t>自行承担。</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响应文件的正本应打印或者用不褪色的墨水填写</w:t>
      </w:r>
      <w:r>
        <w:rPr>
          <w:rFonts w:hint="eastAsia" w:ascii="宋体" w:hAnsi="宋体" w:eastAsia="宋体" w:cs="宋体"/>
          <w:sz w:val="24"/>
          <w:szCs w:val="24"/>
          <w:lang w:bidi="zh-CN"/>
        </w:rPr>
        <w:t>，</w:t>
      </w:r>
      <w:r>
        <w:rPr>
          <w:rFonts w:ascii="宋体" w:hAnsi="宋体" w:eastAsia="宋体" w:cs="宋体"/>
          <w:sz w:val="24"/>
          <w:szCs w:val="24"/>
          <w:lang w:bidi="zh-CN"/>
        </w:rPr>
        <w:t>响应文件正本除本“</w:t>
      </w:r>
      <w:r>
        <w:rPr>
          <w:rFonts w:hint="eastAsia" w:ascii="宋体" w:hAnsi="宋体" w:eastAsia="宋体" w:cs="宋体"/>
          <w:sz w:val="24"/>
          <w:szCs w:val="24"/>
          <w:lang w:bidi="zh-CN"/>
        </w:rPr>
        <w:t>服务商</w:t>
      </w:r>
      <w:r>
        <w:rPr>
          <w:rFonts w:ascii="宋体" w:hAnsi="宋体" w:eastAsia="宋体" w:cs="宋体"/>
          <w:sz w:val="24"/>
          <w:szCs w:val="24"/>
          <w:lang w:bidi="zh-CN"/>
        </w:rPr>
        <w:t>须知”中规定的可提供复印件外均须提供原件</w:t>
      </w:r>
      <w:r>
        <w:rPr>
          <w:rFonts w:hint="eastAsia" w:ascii="宋体" w:hAnsi="宋体" w:eastAsia="宋体" w:cs="宋体"/>
          <w:sz w:val="24"/>
          <w:szCs w:val="24"/>
          <w:lang w:bidi="zh-CN"/>
        </w:rPr>
        <w:t>，</w:t>
      </w:r>
      <w:r>
        <w:rPr>
          <w:rFonts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ascii="宋体" w:hAnsi="宋体" w:eastAsia="宋体" w:cs="宋体"/>
          <w:sz w:val="24"/>
          <w:szCs w:val="24"/>
          <w:lang w:bidi="zh-CN"/>
        </w:rPr>
        <w:t>以正本为准。</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响应文件须由</w:t>
      </w:r>
      <w:r>
        <w:rPr>
          <w:rFonts w:hint="eastAsia" w:ascii="宋体" w:hAnsi="宋体" w:eastAsia="宋体" w:cs="宋体"/>
          <w:sz w:val="24"/>
          <w:szCs w:val="24"/>
          <w:lang w:bidi="zh-CN"/>
        </w:rPr>
        <w:t>服务商</w:t>
      </w:r>
      <w:r>
        <w:rPr>
          <w:rFonts w:ascii="宋体" w:hAnsi="宋体" w:eastAsia="宋体" w:cs="宋体"/>
          <w:sz w:val="24"/>
          <w:szCs w:val="24"/>
          <w:lang w:bidi="zh-CN"/>
        </w:rPr>
        <w:t>在规定位置盖公章并由法定代表人或者委托代理人签字</w:t>
      </w:r>
      <w:r>
        <w:rPr>
          <w:rFonts w:hint="eastAsia" w:ascii="宋体" w:hAnsi="宋体" w:eastAsia="宋体" w:cs="宋体"/>
          <w:sz w:val="24"/>
          <w:szCs w:val="24"/>
          <w:lang w:bidi="zh-CN"/>
        </w:rPr>
        <w:t>，</w:t>
      </w:r>
      <w:r>
        <w:rPr>
          <w:rFonts w:ascii="宋体" w:hAnsi="宋体" w:eastAsia="宋体" w:cs="宋体"/>
          <w:sz w:val="24"/>
          <w:szCs w:val="24"/>
          <w:lang w:bidi="zh-CN"/>
        </w:rPr>
        <w:t>否则其响应文件按无效响应处理。骑缝盖公章不视为在规定位置盖章。</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响应文件中标注的</w:t>
      </w:r>
      <w:r>
        <w:rPr>
          <w:rFonts w:hint="eastAsia" w:ascii="宋体" w:hAnsi="宋体" w:eastAsia="宋体" w:cs="宋体"/>
          <w:sz w:val="24"/>
          <w:szCs w:val="24"/>
          <w:lang w:bidi="zh-CN"/>
        </w:rPr>
        <w:t>服务商</w:t>
      </w:r>
      <w:r>
        <w:rPr>
          <w:rFonts w:ascii="宋体" w:hAnsi="宋体" w:eastAsia="宋体" w:cs="宋体"/>
          <w:sz w:val="24"/>
          <w:szCs w:val="24"/>
          <w:lang w:bidi="zh-CN"/>
        </w:rPr>
        <w:t>名称应与营业执照（事业单位法人证书、执业许可证、自然人身份证）及公章一致</w:t>
      </w:r>
      <w:r>
        <w:rPr>
          <w:rFonts w:hint="eastAsia" w:ascii="宋体" w:hAnsi="宋体" w:eastAsia="宋体" w:cs="宋体"/>
          <w:sz w:val="24"/>
          <w:szCs w:val="24"/>
          <w:lang w:bidi="zh-CN"/>
        </w:rPr>
        <w:t>，</w:t>
      </w:r>
      <w:r>
        <w:rPr>
          <w:rFonts w:ascii="宋体" w:hAnsi="宋体" w:eastAsia="宋体" w:cs="宋体"/>
          <w:sz w:val="24"/>
          <w:szCs w:val="24"/>
          <w:lang w:bidi="zh-CN"/>
        </w:rPr>
        <w:t>否则其响应文件按无效响应处理。</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6</w:t>
      </w:r>
      <w:r>
        <w:rPr>
          <w:rFonts w:ascii="宋体" w:hAnsi="宋体" w:eastAsia="宋体" w:cs="宋体"/>
          <w:sz w:val="24"/>
          <w:szCs w:val="24"/>
          <w:lang w:bidi="zh-CN"/>
        </w:rPr>
        <w:t>响应文件应尽量避免涂改、行间插字或者删除。如果出现上述情况</w:t>
      </w:r>
      <w:r>
        <w:rPr>
          <w:rFonts w:hint="eastAsia" w:ascii="宋体" w:hAnsi="宋体" w:eastAsia="宋体" w:cs="宋体"/>
          <w:sz w:val="24"/>
          <w:szCs w:val="24"/>
          <w:lang w:bidi="zh-CN"/>
        </w:rPr>
        <w:t>，</w:t>
      </w:r>
      <w:r>
        <w:rPr>
          <w:rFonts w:ascii="宋体" w:hAnsi="宋体" w:eastAsia="宋体" w:cs="宋体"/>
          <w:sz w:val="24"/>
          <w:szCs w:val="24"/>
          <w:lang w:bidi="zh-CN"/>
        </w:rPr>
        <w:t>改动之处应由</w:t>
      </w:r>
      <w:r>
        <w:rPr>
          <w:rFonts w:hint="eastAsia" w:ascii="宋体" w:hAnsi="宋体" w:eastAsia="宋体" w:cs="宋体"/>
          <w:sz w:val="24"/>
          <w:szCs w:val="24"/>
          <w:lang w:bidi="zh-CN"/>
        </w:rPr>
        <w:t>服务商</w:t>
      </w:r>
      <w:r>
        <w:rPr>
          <w:rFonts w:ascii="宋体" w:hAnsi="宋体" w:eastAsia="宋体" w:cs="宋体"/>
          <w:sz w:val="24"/>
          <w:szCs w:val="24"/>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sz w:val="24"/>
          <w:szCs w:val="24"/>
          <w:lang w:bidi="zh-CN"/>
        </w:rPr>
        <w:t>服务商</w:t>
      </w:r>
      <w:r>
        <w:rPr>
          <w:rFonts w:ascii="宋体" w:hAnsi="宋体" w:eastAsia="宋体" w:cs="宋体"/>
          <w:sz w:val="24"/>
          <w:szCs w:val="24"/>
          <w:lang w:bidi="zh-CN"/>
        </w:rPr>
        <w:t>承担。</w:t>
      </w:r>
    </w:p>
    <w:p>
      <w:pPr>
        <w:ind w:firstLine="482" w:firstLineChars="200"/>
        <w:rPr>
          <w:rFonts w:ascii="宋体" w:hAnsi="宋体" w:eastAsia="宋体" w:cs="宋体"/>
          <w:b/>
          <w:bCs/>
          <w:sz w:val="24"/>
          <w:szCs w:val="24"/>
          <w:lang w:bidi="zh-CN"/>
        </w:rPr>
      </w:pPr>
      <w:r>
        <w:rPr>
          <w:rFonts w:ascii="宋体" w:hAnsi="宋体" w:eastAsia="宋体" w:cs="宋体"/>
          <w:b/>
          <w:bCs/>
          <w:sz w:val="24"/>
          <w:szCs w:val="24"/>
          <w:lang w:bidi="zh-CN"/>
        </w:rPr>
        <w:t>注：</w:t>
      </w:r>
      <w:r>
        <w:rPr>
          <w:rFonts w:hint="eastAsia" w:ascii="宋体" w:hAnsi="宋体" w:eastAsia="宋体" w:cs="宋体"/>
          <w:b/>
          <w:bCs/>
          <w:sz w:val="24"/>
          <w:szCs w:val="24"/>
          <w:lang w:bidi="zh-CN"/>
        </w:rPr>
        <w:t>服务商</w:t>
      </w:r>
      <w:r>
        <w:rPr>
          <w:rFonts w:ascii="宋体" w:hAnsi="宋体" w:eastAsia="宋体" w:cs="宋体"/>
          <w:b/>
          <w:bCs/>
          <w:sz w:val="24"/>
          <w:szCs w:val="24"/>
          <w:lang w:bidi="zh-CN"/>
        </w:rPr>
        <w:t>必须根据所投分标分别提交响应文件</w:t>
      </w:r>
      <w:r>
        <w:rPr>
          <w:rFonts w:hint="eastAsia" w:ascii="宋体" w:hAnsi="宋体" w:eastAsia="宋体" w:cs="宋体"/>
          <w:b/>
          <w:bCs/>
          <w:sz w:val="24"/>
          <w:szCs w:val="24"/>
          <w:lang w:bidi="zh-CN"/>
        </w:rPr>
        <w:t>，</w:t>
      </w:r>
      <w:r>
        <w:rPr>
          <w:rFonts w:ascii="宋体" w:hAnsi="宋体" w:eastAsia="宋体" w:cs="宋体"/>
          <w:b/>
          <w:bCs/>
          <w:sz w:val="24"/>
          <w:szCs w:val="24"/>
          <w:lang w:bidi="zh-CN"/>
        </w:rPr>
        <w:t>否则响应文件将被拒绝。</w:t>
      </w:r>
    </w:p>
    <w:p>
      <w:pPr>
        <w:pStyle w:val="42"/>
        <w:spacing w:before="156" w:after="156"/>
        <w:rPr>
          <w:rFonts w:hint="default"/>
        </w:rPr>
      </w:pPr>
      <w:r>
        <w:rPr>
          <w:rFonts w:hint="default" w:ascii="Times New Roman" w:hAnsi="Times New Roman" w:cs="Times New Roman"/>
        </w:rPr>
        <w:t>14</w:t>
      </w:r>
      <w:r>
        <w:t>.</w:t>
      </w:r>
      <w:r>
        <w:rPr>
          <w:rFonts w:hint="default"/>
        </w:rPr>
        <w:t>响应文件的密封和标记</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响应文件正、副本全部装入一个或者多个包封袋</w:t>
      </w:r>
      <w:r>
        <w:rPr>
          <w:rFonts w:hint="eastAsia" w:ascii="宋体" w:hAnsi="宋体" w:eastAsia="宋体" w:cs="宋体"/>
          <w:sz w:val="24"/>
          <w:szCs w:val="24"/>
          <w:lang w:bidi="zh-CN"/>
        </w:rPr>
        <w:t>或</w:t>
      </w:r>
      <w:r>
        <w:rPr>
          <w:rFonts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ascii="宋体" w:hAnsi="宋体" w:eastAsia="宋体" w:cs="宋体"/>
          <w:sz w:val="24"/>
          <w:szCs w:val="24"/>
          <w:lang w:bidi="zh-CN"/>
        </w:rPr>
        <w:t>封口处必须加盖</w:t>
      </w:r>
      <w:r>
        <w:rPr>
          <w:rFonts w:hint="eastAsia" w:ascii="宋体" w:hAnsi="宋体" w:eastAsia="宋体" w:cs="宋体"/>
          <w:sz w:val="24"/>
          <w:szCs w:val="24"/>
          <w:lang w:bidi="zh-CN"/>
        </w:rPr>
        <w:t>服务商</w:t>
      </w:r>
      <w:r>
        <w:rPr>
          <w:rFonts w:ascii="宋体" w:hAnsi="宋体" w:eastAsia="宋体" w:cs="宋体"/>
          <w:sz w:val="24"/>
          <w:szCs w:val="24"/>
          <w:lang w:bidi="zh-CN"/>
        </w:rPr>
        <w:t>公章或者法定代表人签字或者委托代理人签字</w:t>
      </w:r>
      <w:r>
        <w:rPr>
          <w:rFonts w:hint="eastAsia" w:ascii="宋体" w:hAnsi="宋体" w:eastAsia="宋体" w:cs="宋体"/>
          <w:sz w:val="24"/>
          <w:szCs w:val="24"/>
          <w:lang w:bidi="zh-CN"/>
        </w:rPr>
        <w:t>，</w:t>
      </w:r>
      <w:r>
        <w:rPr>
          <w:rFonts w:ascii="宋体" w:hAnsi="宋体" w:eastAsia="宋体" w:cs="宋体"/>
          <w:sz w:val="24"/>
          <w:szCs w:val="24"/>
          <w:lang w:bidi="zh-CN"/>
        </w:rPr>
        <w:t>以示密封。</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响应文件外层包装封面上应标记“</w:t>
      </w:r>
      <w:r>
        <w:rPr>
          <w:rFonts w:ascii="宋体" w:hAnsi="宋体" w:eastAsia="宋体" w:cs="宋体"/>
          <w:b/>
          <w:bCs/>
          <w:sz w:val="24"/>
          <w:szCs w:val="24"/>
          <w:lang w:bidi="zh-CN"/>
        </w:rPr>
        <w:t>项目名称、项目编号、</w:t>
      </w:r>
      <w:r>
        <w:rPr>
          <w:rFonts w:hint="eastAsia" w:ascii="宋体" w:hAnsi="宋体" w:eastAsia="宋体" w:cs="宋体"/>
          <w:b/>
          <w:bCs/>
          <w:sz w:val="24"/>
          <w:szCs w:val="24"/>
          <w:lang w:bidi="zh-CN"/>
        </w:rPr>
        <w:t>服务商</w:t>
      </w:r>
      <w:r>
        <w:rPr>
          <w:rFonts w:ascii="宋体" w:hAnsi="宋体" w:eastAsia="宋体" w:cs="宋体"/>
          <w:b/>
          <w:bCs/>
          <w:sz w:val="24"/>
          <w:szCs w:val="24"/>
          <w:lang w:bidi="zh-CN"/>
        </w:rPr>
        <w:t>名称、所竞分标、首次响应文件提交截止时间前不得启封</w:t>
      </w:r>
      <w:r>
        <w:rPr>
          <w:rFonts w:ascii="宋体" w:hAnsi="宋体" w:eastAsia="宋体" w:cs="宋体"/>
          <w:sz w:val="24"/>
          <w:szCs w:val="24"/>
          <w:lang w:bidi="zh-CN"/>
        </w:rPr>
        <w:t>”字样。</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未按上述规定密封的响应文件将被拒收。</w:t>
      </w:r>
    </w:p>
    <w:p>
      <w:pPr>
        <w:pStyle w:val="42"/>
        <w:spacing w:before="156" w:after="156"/>
        <w:rPr>
          <w:rFonts w:hint="default"/>
          <w:szCs w:val="24"/>
        </w:rPr>
      </w:pPr>
      <w:r>
        <w:rPr>
          <w:rFonts w:hint="default" w:ascii="Times New Roman" w:hAnsi="Times New Roman" w:cs="Times New Roman"/>
        </w:rPr>
        <w:t>15</w:t>
      </w:r>
      <w:r>
        <w:t>.</w:t>
      </w:r>
      <w:r>
        <w:rPr>
          <w:rFonts w:hint="default"/>
        </w:rPr>
        <w:t>响应文件的提交</w:t>
      </w:r>
    </w:p>
    <w:p>
      <w:pPr>
        <w:pStyle w:val="42"/>
        <w:numPr>
          <w:ilvl w:val="255"/>
          <w:numId w:val="0"/>
        </w:numPr>
        <w:spacing w:before="156" w:after="156"/>
        <w:ind w:firstLine="480" w:firstLineChars="200"/>
        <w:rPr>
          <w:rFonts w:hint="default"/>
          <w:szCs w:val="24"/>
        </w:rPr>
      </w:pPr>
      <w:r>
        <w:rPr>
          <w:b w:val="0"/>
          <w:bCs w:val="0"/>
          <w:szCs w:val="24"/>
        </w:rPr>
        <w:t>服务商</w:t>
      </w:r>
      <w:r>
        <w:rPr>
          <w:rFonts w:hint="default"/>
          <w:b w:val="0"/>
          <w:bCs w:val="0"/>
          <w:szCs w:val="24"/>
        </w:rPr>
        <w:t>必须在“</w:t>
      </w:r>
      <w:r>
        <w:rPr>
          <w:b w:val="0"/>
          <w:bCs w:val="0"/>
          <w:szCs w:val="24"/>
        </w:rPr>
        <w:t>服务商</w:t>
      </w:r>
      <w:r>
        <w:rPr>
          <w:rFonts w:hint="default"/>
          <w:b w:val="0"/>
          <w:bCs w:val="0"/>
          <w:szCs w:val="24"/>
        </w:rPr>
        <w:t>须知前附表”规定的时间和地点提交响应文件。</w:t>
      </w:r>
    </w:p>
    <w:p/>
    <w:p>
      <w:pPr>
        <w:pStyle w:val="40"/>
        <w:spacing w:after="312"/>
        <w:rPr>
          <w:rFonts w:hint="default"/>
        </w:rPr>
      </w:pPr>
      <w:r>
        <w:t>第</w:t>
      </w:r>
      <w:r>
        <w:rPr>
          <w:rFonts w:hint="eastAsia"/>
          <w:lang w:val="en-US" w:eastAsia="zh-CN"/>
        </w:rPr>
        <w:t>三</w:t>
      </w:r>
      <w:r>
        <w:t>章  响应文件格式</w:t>
      </w:r>
    </w:p>
    <w:p>
      <w:pPr>
        <w:jc w:val="center"/>
        <w:rPr>
          <w:rFonts w:ascii="宋体" w:hAnsi="宋体" w:eastAsia="宋体" w:cs="宋体"/>
          <w:sz w:val="32"/>
          <w:szCs w:val="32"/>
        </w:rPr>
      </w:pPr>
      <w:r>
        <w:rPr>
          <w:rFonts w:hint="eastAsia" w:ascii="宋体" w:hAnsi="宋体" w:eastAsia="宋体" w:cs="宋体"/>
          <w:sz w:val="32"/>
          <w:szCs w:val="32"/>
        </w:rPr>
        <w:t>（响应文件外层包装封面格式 ）</w:t>
      </w:r>
    </w:p>
    <w:p>
      <w:pPr>
        <w:rPr>
          <w:rFonts w:ascii="宋体" w:hAnsi="宋体" w:eastAsia="宋体" w:cs="宋体"/>
          <w:b/>
          <w:bCs/>
          <w:sz w:val="32"/>
          <w:szCs w:val="32"/>
        </w:rPr>
      </w:pPr>
    </w:p>
    <w:p>
      <w:pPr>
        <w:jc w:val="center"/>
        <w:rPr>
          <w:rFonts w:ascii="宋体" w:hAnsi="宋体" w:eastAsia="宋体" w:cs="宋体"/>
          <w:sz w:val="44"/>
          <w:szCs w:val="44"/>
        </w:rPr>
      </w:pPr>
      <w:r>
        <w:rPr>
          <w:rFonts w:hint="eastAsia" w:ascii="宋体" w:hAnsi="宋体" w:eastAsia="宋体" w:cs="宋体"/>
          <w:sz w:val="44"/>
          <w:szCs w:val="44"/>
        </w:rPr>
        <w:t>响应文件</w:t>
      </w:r>
    </w:p>
    <w:p>
      <w:pPr>
        <w:rPr>
          <w:rFonts w:ascii="宋体" w:hAnsi="宋体" w:eastAsia="宋体" w:cs="宋体"/>
          <w:sz w:val="32"/>
          <w:szCs w:val="32"/>
        </w:rPr>
      </w:pPr>
    </w:p>
    <w:p>
      <w:pPr>
        <w:rPr>
          <w:rFonts w:ascii="宋体" w:hAnsi="宋体" w:eastAsia="宋体" w:cs="宋体"/>
          <w:sz w:val="30"/>
          <w:szCs w:val="30"/>
        </w:rPr>
      </w:pPr>
      <w:r>
        <w:rPr>
          <w:rFonts w:hint="eastAsia" w:ascii="宋体" w:hAnsi="宋体" w:eastAsia="宋体" w:cs="宋体"/>
          <w:sz w:val="30"/>
          <w:szCs w:val="30"/>
        </w:rPr>
        <w:t>项目名称：</w:t>
      </w:r>
    </w:p>
    <w:p>
      <w:pPr>
        <w:rPr>
          <w:rFonts w:ascii="宋体" w:hAnsi="宋体" w:eastAsia="宋体" w:cs="宋体"/>
          <w:sz w:val="30"/>
          <w:szCs w:val="30"/>
        </w:rPr>
      </w:pPr>
      <w:r>
        <w:rPr>
          <w:rFonts w:hint="eastAsia" w:ascii="宋体" w:hAnsi="宋体" w:eastAsia="宋体" w:cs="宋体"/>
          <w:sz w:val="30"/>
          <w:szCs w:val="30"/>
        </w:rPr>
        <w:t>项目编号：</w:t>
      </w:r>
    </w:p>
    <w:p>
      <w:pPr>
        <w:rPr>
          <w:rFonts w:ascii="宋体" w:hAnsi="宋体" w:eastAsia="宋体" w:cs="宋体"/>
          <w:sz w:val="30"/>
          <w:szCs w:val="30"/>
        </w:rPr>
      </w:pPr>
      <w:r>
        <w:rPr>
          <w:rFonts w:hint="eastAsia" w:ascii="宋体" w:hAnsi="宋体" w:eastAsia="宋体" w:cs="宋体"/>
          <w:sz w:val="30"/>
          <w:szCs w:val="30"/>
        </w:rPr>
        <w:t>所竞分标：</w:t>
      </w:r>
    </w:p>
    <w:p>
      <w:pPr>
        <w:rPr>
          <w:rFonts w:ascii="宋体" w:hAnsi="宋体" w:eastAsia="宋体" w:cs="宋体"/>
          <w:sz w:val="30"/>
          <w:szCs w:val="30"/>
        </w:rPr>
      </w:pPr>
      <w:r>
        <w:rPr>
          <w:rFonts w:hint="eastAsia" w:ascii="宋体" w:hAnsi="宋体" w:eastAsia="宋体" w:cs="宋体"/>
          <w:sz w:val="30"/>
          <w:szCs w:val="30"/>
        </w:rPr>
        <w:t>服务商名称：</w:t>
      </w:r>
    </w:p>
    <w:p>
      <w:pPr>
        <w:rPr>
          <w:rFonts w:ascii="宋体" w:hAnsi="宋体" w:eastAsia="宋体" w:cs="宋体"/>
          <w:sz w:val="30"/>
          <w:szCs w:val="30"/>
        </w:rPr>
      </w:pPr>
      <w:r>
        <w:rPr>
          <w:rFonts w:hint="eastAsia" w:ascii="宋体" w:hAnsi="宋体" w:eastAsia="宋体" w:cs="宋体"/>
          <w:sz w:val="30"/>
          <w:szCs w:val="30"/>
        </w:rPr>
        <w:t>截止时间：</w:t>
      </w:r>
      <w:r>
        <w:rPr>
          <w:rFonts w:hint="eastAsia" w:ascii="宋体" w:hAnsi="宋体" w:eastAsia="宋体" w:cs="宋体"/>
          <w:sz w:val="30"/>
          <w:szCs w:val="30"/>
          <w:u w:val="single"/>
        </w:rPr>
        <w:t xml:space="preserve">    年  月  日  时  分（北京时间）</w:t>
      </w:r>
      <w:r>
        <w:rPr>
          <w:rFonts w:hint="eastAsia" w:ascii="宋体" w:hAnsi="宋体" w:eastAsia="宋体" w:cs="宋体"/>
          <w:sz w:val="30"/>
          <w:szCs w:val="30"/>
        </w:rPr>
        <w:t>前不得启封</w:t>
      </w:r>
    </w:p>
    <w:p>
      <w:pPr>
        <w:ind w:firstLine="1500" w:firstLineChars="500"/>
        <w:rPr>
          <w:rFonts w:ascii="宋体" w:hAnsi="宋体" w:eastAsia="宋体" w:cs="宋体"/>
          <w:sz w:val="30"/>
          <w:szCs w:val="30"/>
        </w:rPr>
      </w:pPr>
      <w:r>
        <w:rPr>
          <w:rFonts w:hint="eastAsia" w:ascii="宋体" w:hAnsi="宋体" w:eastAsia="宋体" w:cs="宋体"/>
          <w:sz w:val="30"/>
          <w:szCs w:val="30"/>
        </w:rPr>
        <w:t>年    月    日</w:t>
      </w:r>
    </w:p>
    <w:p>
      <w:pPr>
        <w:pStyle w:val="8"/>
        <w:rPr>
          <w:rFonts w:ascii="宋体" w:hAnsi="宋体" w:eastAsia="宋体" w:cs="宋体"/>
          <w:sz w:val="30"/>
          <w:szCs w:val="30"/>
        </w:rPr>
      </w:pPr>
    </w:p>
    <w:p>
      <w:pPr>
        <w:rPr>
          <w:rFonts w:ascii="宋体" w:hAnsi="宋体" w:eastAsia="宋体" w:cs="宋体"/>
          <w:sz w:val="30"/>
          <w:szCs w:val="30"/>
        </w:rPr>
      </w:pPr>
    </w:p>
    <w:p>
      <w:pPr>
        <w:pStyle w:val="8"/>
        <w:rPr>
          <w:rFonts w:ascii="宋体" w:hAnsi="宋体" w:eastAsia="宋体" w:cs="宋体"/>
          <w:sz w:val="30"/>
          <w:szCs w:val="30"/>
        </w:rPr>
      </w:pPr>
    </w:p>
    <w:p>
      <w:pPr>
        <w:rPr>
          <w:rFonts w:ascii="宋体" w:hAnsi="宋体" w:eastAsia="宋体" w:cs="宋体"/>
          <w:sz w:val="30"/>
          <w:szCs w:val="30"/>
        </w:rPr>
      </w:pPr>
    </w:p>
    <w:p>
      <w:pPr>
        <w:pStyle w:val="8"/>
      </w:pPr>
    </w:p>
    <w:p/>
    <w:p>
      <w:pPr>
        <w:spacing w:line="240" w:lineRule="auto"/>
        <w:rPr>
          <w:rFonts w:hint="eastAsia" w:ascii="宋体" w:hAnsi="宋体" w:eastAsia="宋体" w:cs="宋体"/>
          <w:sz w:val="32"/>
          <w:szCs w:val="32"/>
        </w:rPr>
      </w:pPr>
      <w:bookmarkStart w:id="1" w:name="_Toc31728084"/>
      <w:bookmarkStart w:id="2" w:name="_Toc44229899"/>
      <w:bookmarkStart w:id="3" w:name="_Toc30694"/>
      <w:bookmarkStart w:id="4" w:name="_Toc35611438"/>
      <w:bookmarkStart w:id="5" w:name="_Toc35611516"/>
      <w:bookmarkStart w:id="6" w:name="_Toc31723070"/>
      <w:r>
        <w:rPr>
          <w:rFonts w:hint="eastAsia" w:ascii="宋体" w:hAnsi="宋体" w:eastAsia="宋体" w:cs="宋体"/>
          <w:sz w:val="32"/>
          <w:szCs w:val="32"/>
        </w:rPr>
        <w:br w:type="page"/>
      </w:r>
    </w:p>
    <w:p>
      <w:pPr>
        <w:spacing w:line="360" w:lineRule="auto"/>
        <w:rPr>
          <w:rFonts w:ascii="宋体" w:hAnsi="宋体" w:eastAsia="宋体" w:cs="宋体"/>
          <w:sz w:val="32"/>
          <w:szCs w:val="32"/>
        </w:rPr>
      </w:pPr>
      <w:r>
        <w:rPr>
          <w:rFonts w:hint="eastAsia" w:ascii="宋体" w:hAnsi="宋体" w:eastAsia="宋体" w:cs="宋体"/>
          <w:sz w:val="32"/>
          <w:szCs w:val="32"/>
        </w:rPr>
        <w:t>一、资格证明文件格式</w:t>
      </w:r>
      <w:bookmarkEnd w:id="1"/>
      <w:bookmarkEnd w:id="2"/>
      <w:bookmarkEnd w:id="3"/>
      <w:bookmarkEnd w:id="4"/>
      <w:bookmarkEnd w:id="5"/>
      <w:bookmarkEnd w:id="6"/>
    </w:p>
    <w:p>
      <w:pPr>
        <w:snapToGrid w:val="0"/>
        <w:spacing w:beforeLines="50" w:after="50" w:line="360" w:lineRule="auto"/>
        <w:jc w:val="left"/>
        <w:rPr>
          <w:rFonts w:ascii="宋体" w:hAnsi="宋体" w:eastAsia="宋体" w:cs="宋体"/>
          <w:sz w:val="32"/>
          <w:szCs w:val="32"/>
        </w:rPr>
      </w:pPr>
      <w:r>
        <w:rPr>
          <w:rFonts w:ascii="Times New Roman" w:hAnsi="Times New Roman" w:eastAsia="宋体" w:cs="Times New Roman"/>
          <w:sz w:val="32"/>
          <w:szCs w:val="32"/>
        </w:rPr>
        <w:t>1</w:t>
      </w:r>
      <w:r>
        <w:rPr>
          <w:rFonts w:hint="eastAsia" w:ascii="宋体" w:hAnsi="宋体" w:eastAsia="宋体" w:cs="宋体"/>
          <w:sz w:val="32"/>
          <w:szCs w:val="32"/>
        </w:rPr>
        <w:t>.资格证明文件封面格式</w:t>
      </w:r>
    </w:p>
    <w:p>
      <w:pPr>
        <w:snapToGrid w:val="0"/>
        <w:spacing w:beforeLines="50" w:after="50" w:line="360" w:lineRule="auto"/>
        <w:rPr>
          <w:rFonts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pStyle w:val="8"/>
        <w:rPr>
          <w:rFonts w:ascii="宋体" w:hAnsi="宋体" w:eastAsia="宋体" w:cs="宋体"/>
          <w:sz w:val="32"/>
          <w:szCs w:val="32"/>
        </w:rPr>
      </w:pPr>
    </w:p>
    <w:p/>
    <w:p>
      <w:pPr>
        <w:snapToGrid w:val="0"/>
        <w:spacing w:beforeLines="50" w:after="50" w:line="360" w:lineRule="auto"/>
        <w:jc w:val="center"/>
        <w:rPr>
          <w:rFonts w:ascii="宋体" w:hAnsi="宋体" w:eastAsia="宋体" w:cs="宋体"/>
          <w:b/>
          <w:sz w:val="44"/>
          <w:szCs w:val="44"/>
        </w:rPr>
      </w:pPr>
      <w:r>
        <w:rPr>
          <w:rFonts w:hint="eastAsia" w:ascii="宋体" w:hAnsi="宋体" w:eastAsia="宋体" w:cs="宋体"/>
          <w:b/>
          <w:sz w:val="44"/>
          <w:szCs w:val="44"/>
        </w:rPr>
        <w:t>资格证明文件</w:t>
      </w:r>
    </w:p>
    <w:p>
      <w:pPr>
        <w:snapToGrid w:val="0"/>
        <w:spacing w:beforeLines="50" w:after="50" w:line="360" w:lineRule="auto"/>
        <w:rPr>
          <w:rFonts w:ascii="宋体" w:hAnsi="宋体" w:eastAsia="宋体" w:cs="宋体"/>
          <w:bCs/>
          <w:sz w:val="32"/>
          <w:szCs w:val="32"/>
        </w:rPr>
      </w:pPr>
    </w:p>
    <w:p>
      <w:pPr>
        <w:snapToGrid w:val="0"/>
        <w:spacing w:beforeLines="50" w:after="50" w:line="360" w:lineRule="auto"/>
        <w:rPr>
          <w:rFonts w:ascii="宋体" w:hAnsi="宋体" w:eastAsia="宋体" w:cs="宋体"/>
          <w:bCs/>
          <w:sz w:val="32"/>
          <w:szCs w:val="32"/>
        </w:rPr>
      </w:pP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项目名称：</w:t>
      </w: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 xml:space="preserve">项目编号： </w:t>
      </w: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所竞分标：</w:t>
      </w:r>
    </w:p>
    <w:p>
      <w:pPr>
        <w:pStyle w:val="7"/>
        <w:snapToGrid w:val="0"/>
        <w:spacing w:before="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服务商名称：</w:t>
      </w:r>
    </w:p>
    <w:p>
      <w:pPr>
        <w:pStyle w:val="7"/>
        <w:snapToGrid w:val="0"/>
        <w:spacing w:before="50" w:after="50" w:line="360" w:lineRule="auto"/>
        <w:ind w:firstLine="1280" w:firstLineChars="400"/>
        <w:rPr>
          <w:rFonts w:ascii="宋体" w:hAnsi="宋体" w:eastAsia="宋体" w:cs="宋体"/>
          <w:bCs/>
          <w:sz w:val="32"/>
          <w:szCs w:val="32"/>
        </w:rPr>
      </w:pPr>
    </w:p>
    <w:p>
      <w:pPr>
        <w:snapToGrid w:val="0"/>
        <w:spacing w:beforeLines="50" w:after="50" w:line="360" w:lineRule="auto"/>
        <w:jc w:val="center"/>
        <w:rPr>
          <w:rFonts w:ascii="宋体" w:hAnsi="宋体" w:eastAsia="宋体" w:cs="宋体"/>
          <w:sz w:val="32"/>
          <w:szCs w:val="32"/>
        </w:rPr>
      </w:pPr>
      <w:r>
        <w:rPr>
          <w:rFonts w:hint="eastAsia" w:ascii="宋体" w:hAnsi="宋体" w:eastAsia="宋体" w:cs="宋体"/>
          <w:sz w:val="32"/>
          <w:szCs w:val="32"/>
        </w:rPr>
        <w:t>年    月    日</w:t>
      </w:r>
    </w:p>
    <w:p>
      <w:pPr>
        <w:pStyle w:val="8"/>
        <w:rPr>
          <w:rFonts w:ascii="宋体" w:hAnsi="宋体" w:eastAsia="宋体" w:cs="宋体"/>
          <w:sz w:val="32"/>
          <w:szCs w:val="32"/>
        </w:rPr>
      </w:pPr>
    </w:p>
    <w:p>
      <w:pPr>
        <w:rPr>
          <w:rFonts w:ascii="宋体" w:hAnsi="宋体" w:eastAsia="宋体" w:cs="宋体"/>
          <w:sz w:val="32"/>
          <w:szCs w:val="32"/>
        </w:rPr>
      </w:pPr>
    </w:p>
    <w:p>
      <w:pPr>
        <w:pStyle w:val="8"/>
        <w:rPr>
          <w:rFonts w:ascii="宋体" w:hAnsi="宋体" w:eastAsia="宋体" w:cs="宋体"/>
          <w:sz w:val="32"/>
          <w:szCs w:val="32"/>
        </w:rPr>
      </w:pPr>
    </w:p>
    <w:p>
      <w:pPr>
        <w:rPr>
          <w:rFonts w:ascii="宋体" w:hAnsi="宋体" w:eastAsia="宋体" w:cs="宋体"/>
          <w:sz w:val="32"/>
          <w:szCs w:val="32"/>
        </w:rPr>
      </w:pPr>
    </w:p>
    <w:p>
      <w:pPr>
        <w:pStyle w:val="8"/>
        <w:rPr>
          <w:rFonts w:ascii="宋体" w:hAnsi="宋体" w:eastAsia="宋体" w:cs="宋体"/>
          <w:sz w:val="32"/>
          <w:szCs w:val="32"/>
        </w:rPr>
      </w:pPr>
    </w:p>
    <w:p/>
    <w:p/>
    <w:p>
      <w:pPr>
        <w:spacing w:line="360" w:lineRule="auto"/>
        <w:rPr>
          <w:rFonts w:ascii="宋体" w:hAnsi="宋体" w:eastAsia="宋体" w:cs="宋体"/>
          <w:sz w:val="32"/>
          <w:szCs w:val="32"/>
        </w:rPr>
      </w:pPr>
      <w:r>
        <w:rPr>
          <w:rFonts w:ascii="Times New Roman" w:hAnsi="Times New Roman" w:eastAsia="宋体" w:cs="Times New Roman"/>
          <w:sz w:val="32"/>
          <w:szCs w:val="32"/>
        </w:rPr>
        <w:t>2</w:t>
      </w:r>
      <w:r>
        <w:rPr>
          <w:rFonts w:hint="eastAsia" w:ascii="宋体" w:hAnsi="宋体" w:eastAsia="宋体" w:cs="宋体"/>
          <w:sz w:val="32"/>
          <w:szCs w:val="32"/>
        </w:rPr>
        <w:t>.资格证明文件目录</w:t>
      </w:r>
    </w:p>
    <w:p>
      <w:pPr>
        <w:spacing w:line="360" w:lineRule="auto"/>
      </w:pPr>
      <w:r>
        <w:rPr>
          <w:rFonts w:hint="eastAsia" w:ascii="宋体" w:hAnsi="宋体" w:eastAsia="宋体" w:cs="宋体"/>
          <w:sz w:val="32"/>
          <w:szCs w:val="32"/>
        </w:rPr>
        <w:t>根据采购文件规定及服务商提供的材料自行编写目录（部分格式后附）</w:t>
      </w:r>
      <w:r>
        <w:rPr>
          <w:rFonts w:hint="eastAsia"/>
        </w:rPr>
        <w:t>。</w:t>
      </w:r>
    </w:p>
    <w:p>
      <w:pPr>
        <w:jc w:val="center"/>
        <w:rPr>
          <w:rFonts w:ascii="宋体" w:hAnsi="宋体" w:eastAsia="宋体" w:cs="宋体"/>
          <w:sz w:val="32"/>
          <w:szCs w:val="32"/>
        </w:rPr>
      </w:pPr>
      <w:r>
        <w:rPr>
          <w:rFonts w:hint="eastAsia"/>
        </w:rPr>
        <w:br w:type="page"/>
      </w:r>
      <w:r>
        <w:rPr>
          <w:rFonts w:hint="eastAsia" w:ascii="宋体" w:hAnsi="宋体" w:eastAsia="宋体" w:cs="宋体"/>
          <w:b/>
          <w:bCs/>
          <w:sz w:val="32"/>
          <w:szCs w:val="32"/>
        </w:rPr>
        <w:t>资格证明</w:t>
      </w:r>
    </w:p>
    <w:p>
      <w:pPr>
        <w:spacing w:line="360" w:lineRule="auto"/>
        <w:jc w:val="center"/>
        <w:rPr>
          <w:rFonts w:ascii="宋体" w:hAnsi="宋体" w:eastAsia="宋体" w:cs="宋体"/>
          <w:sz w:val="32"/>
          <w:szCs w:val="32"/>
        </w:rPr>
      </w:pPr>
      <w:r>
        <w:rPr>
          <w:rFonts w:hint="eastAsia" w:ascii="宋体" w:hAnsi="宋体" w:eastAsia="宋体" w:cs="宋体"/>
          <w:sz w:val="32"/>
          <w:szCs w:val="32"/>
        </w:rPr>
        <w:t>（如营业执照、事业单位法人证书、资质证书等）</w:t>
      </w: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r>
        <w:rPr>
          <w:rFonts w:hint="eastAsia" w:ascii="宋体" w:hAnsi="宋体" w:eastAsia="宋体" w:cs="宋体"/>
          <w:sz w:val="32"/>
          <w:szCs w:val="32"/>
        </w:rPr>
        <w:br w:type="page"/>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eastAsia="宋体" w:cs="宋体"/>
          <w:b/>
          <w:bCs/>
          <w:sz w:val="32"/>
          <w:szCs w:val="32"/>
        </w:rPr>
      </w:pPr>
      <w:r>
        <w:rPr>
          <w:rFonts w:hint="eastAsia" w:ascii="宋体" w:hAnsi="宋体" w:eastAsia="宋体" w:cs="宋体"/>
          <w:b/>
          <w:bCs/>
          <w:sz w:val="32"/>
          <w:szCs w:val="32"/>
        </w:rPr>
        <w:t>竞标声明</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致：</w:t>
      </w:r>
      <w:r>
        <w:rPr>
          <w:rFonts w:hint="eastAsia" w:ascii="宋体" w:hAnsi="宋体" w:eastAsia="宋体" w:cs="宋体"/>
          <w:sz w:val="24"/>
          <w:szCs w:val="24"/>
          <w:u w:val="single"/>
          <w:lang w:bidi="zh-CN"/>
        </w:rPr>
        <w:t xml:space="preserve">  （采购人）  </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jc w:val="left"/>
        <w:textAlignment w:val="auto"/>
        <w:rPr>
          <w:rFonts w:ascii="宋体" w:hAnsi="宋体" w:eastAsia="宋体" w:cs="宋体"/>
          <w:sz w:val="24"/>
          <w:szCs w:val="24"/>
          <w:lang w:bidi="zh-CN"/>
        </w:rPr>
      </w:pPr>
      <w:r>
        <w:rPr>
          <w:rFonts w:hint="eastAsia" w:ascii="宋体" w:hAnsi="宋体" w:eastAsia="宋体" w:cs="宋体"/>
          <w:sz w:val="24"/>
          <w:szCs w:val="24"/>
          <w:u w:val="single"/>
          <w:lang w:bidi="zh-CN"/>
        </w:rPr>
        <w:t xml:space="preserve">  （服务商名称） </w:t>
      </w:r>
      <w:r>
        <w:rPr>
          <w:rFonts w:hint="eastAsia" w:ascii="宋体" w:hAnsi="宋体" w:eastAsia="宋体" w:cs="宋体"/>
          <w:sz w:val="24"/>
          <w:szCs w:val="24"/>
          <w:lang w:bidi="zh-CN"/>
        </w:rPr>
        <w:t>系中华人民共和国合法服务商，经营</w:t>
      </w:r>
      <w:r>
        <w:rPr>
          <w:rFonts w:hint="eastAsia" w:ascii="宋体" w:hAnsi="宋体" w:eastAsia="宋体" w:cs="宋体"/>
          <w:sz w:val="24"/>
          <w:szCs w:val="24"/>
          <w:lang w:val="en-US" w:bidi="zh-CN"/>
        </w:rPr>
        <w:t>地</w:t>
      </w:r>
      <w:r>
        <w:rPr>
          <w:rFonts w:hint="eastAsia" w:ascii="宋体" w:hAnsi="宋体" w:eastAsia="宋体" w:cs="宋体"/>
          <w:sz w:val="24"/>
          <w:szCs w:val="24"/>
          <w:lang w:bidi="zh-CN"/>
        </w:rPr>
        <w:t>址：</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我方愿意参加贵方组织的</w:t>
      </w:r>
      <w:r>
        <w:rPr>
          <w:rFonts w:hint="eastAsia" w:ascii="宋体" w:hAnsi="宋体" w:eastAsia="宋体" w:cs="宋体"/>
          <w:sz w:val="24"/>
          <w:szCs w:val="24"/>
          <w:u w:val="single"/>
          <w:lang w:bidi="zh-CN"/>
        </w:rPr>
        <w:t xml:space="preserve">  （项目名称）   </w:t>
      </w:r>
      <w:r>
        <w:rPr>
          <w:rFonts w:hint="eastAsia" w:ascii="宋体" w:hAnsi="宋体" w:eastAsia="宋体" w:cs="宋体"/>
          <w:sz w:val="24"/>
          <w:szCs w:val="24"/>
          <w:lang w:bidi="zh-CN"/>
        </w:rPr>
        <w:t>项目的竞标，为便于贵方公正、择优地确定成交服务商及其竞标产品和服务，我方就本次竞标有关事项郑重声明如下：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.在此，我方宣布同意如下：</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）已详细审查全部采购文件，包括</w:t>
      </w:r>
      <w:r>
        <w:rPr>
          <w:rFonts w:hint="eastAsia" w:ascii="宋体" w:hAnsi="宋体" w:eastAsia="宋体" w:cs="宋体"/>
          <w:sz w:val="24"/>
          <w:szCs w:val="24"/>
          <w:lang w:val="en-US" w:bidi="zh-CN"/>
        </w:rPr>
        <w:t>询价</w:t>
      </w:r>
      <w:r>
        <w:rPr>
          <w:rFonts w:hint="eastAsia" w:ascii="宋体" w:hAnsi="宋体" w:eastAsia="宋体" w:cs="宋体"/>
          <w:sz w:val="24"/>
          <w:szCs w:val="24"/>
          <w:lang w:bidi="zh-CN"/>
        </w:rPr>
        <w:t>文件、澄清或者更正公告（如有）等；</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）响应采购文件规定的竞标有效期。</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.我方承诺符合采购文以下规定：</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（1）具 有 独 立 承 担 民 事 责 任 的 能 力；</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（2）具 有 良 好 的 商 业 信 誉 和 健 全 的 财 务 会 计 制 度 ；</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（3） 具 有 履 行 合 同 所 必 需 的 设 备 和 专 业 技 术 能 力 ；</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（4） 有 依 法 缴 纳 税 收 和 社 会 保 障 资 金 的 良 好 记 录 ；</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（5）参 加 采 购 活 动 前 三 年 内 ， 在 经 营 活 动 中 没 有 重 大 违 法 记 录；</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hint="eastAsia" w:ascii="宋体" w:hAnsi="宋体" w:eastAsia="宋体" w:cs="宋体"/>
          <w:sz w:val="24"/>
          <w:szCs w:val="24"/>
          <w:lang w:val="en-US" w:bidi="zh-CN"/>
        </w:rPr>
        <w:t>6</w:t>
      </w:r>
      <w:r>
        <w:rPr>
          <w:rFonts w:hint="eastAsia" w:ascii="宋体" w:hAnsi="宋体" w:eastAsia="宋体" w:cs="宋体"/>
          <w:sz w:val="24"/>
          <w:szCs w:val="24"/>
          <w:lang w:bidi="zh-CN"/>
        </w:rPr>
        <w:t>）法 律 、 行 政 法 规 规 定 的 其 他 条 件 ；</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sym w:font="Wingdings 2" w:char="00A3"/>
      </w:r>
      <w:r>
        <w:rPr>
          <w:rFonts w:hint="eastAsia" w:ascii="宋体" w:hAnsi="宋体" w:eastAsia="宋体" w:cs="宋体"/>
          <w:sz w:val="24"/>
          <w:szCs w:val="24"/>
          <w:lang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sym w:font="Wingdings 2" w:char="00A3"/>
      </w:r>
      <w:r>
        <w:rPr>
          <w:rFonts w:hint="eastAsia" w:ascii="宋体" w:hAnsi="宋体" w:eastAsia="宋体" w:cs="宋体"/>
          <w:sz w:val="24"/>
          <w:szCs w:val="24"/>
          <w:lang w:bidi="zh-CN"/>
        </w:rPr>
        <w:t>我方本次响应文件涉及商业秘密的内容有：</w:t>
      </w:r>
      <w:r>
        <w:rPr>
          <w:rFonts w:hint="eastAsia" w:ascii="宋体" w:hAnsi="宋体" w:eastAsia="宋体" w:cs="宋体"/>
          <w:sz w:val="24"/>
          <w:szCs w:val="24"/>
          <w:u w:val="single"/>
          <w:lang w:bidi="zh-CN"/>
        </w:rPr>
        <w:t xml:space="preserve">                         。</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.与本采购有关的一切正式往来信函请寄：</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邮政编号：</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电话/传真：</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电子函件：</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开户银行：</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账号：</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特此承诺。</w:t>
      </w:r>
    </w:p>
    <w:p>
      <w:pPr>
        <w:keepNext w:val="0"/>
        <w:keepLines w:val="0"/>
        <w:pageBreakBefore w:val="0"/>
        <w:widowControl w:val="0"/>
        <w:kinsoku/>
        <w:wordWrap/>
        <w:overflowPunct/>
        <w:topLinePunct w:val="0"/>
        <w:autoSpaceDE/>
        <w:autoSpaceDN/>
        <w:bidi w:val="0"/>
        <w:adjustRightInd/>
        <w:snapToGrid/>
        <w:spacing w:line="240" w:lineRule="atLeast"/>
        <w:ind w:left="4830" w:leftChars="2300" w:firstLine="480" w:firstLineChars="200"/>
        <w:textAlignment w:val="auto"/>
        <w:rPr>
          <w:rFonts w:ascii="宋体" w:hAnsi="宋体" w:eastAsia="宋体" w:cs="宋体"/>
          <w:sz w:val="24"/>
          <w:szCs w:val="24"/>
          <w:lang w:bidi="zh-CN"/>
        </w:rPr>
      </w:pPr>
    </w:p>
    <w:p>
      <w:pPr>
        <w:keepNext w:val="0"/>
        <w:keepLines w:val="0"/>
        <w:pageBreakBefore w:val="0"/>
        <w:widowControl w:val="0"/>
        <w:kinsoku/>
        <w:wordWrap/>
        <w:overflowPunct/>
        <w:topLinePunct w:val="0"/>
        <w:autoSpaceDE/>
        <w:autoSpaceDN/>
        <w:bidi w:val="0"/>
        <w:adjustRightInd/>
        <w:snapToGrid/>
        <w:spacing w:line="240" w:lineRule="atLeast"/>
        <w:ind w:left="4830" w:leftChars="2300"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240" w:lineRule="atLeast"/>
        <w:ind w:left="4830" w:leftChars="2300"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 xml:space="preserve">服务商（盖公章）：                                 </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b/>
          <w:bCs/>
          <w:sz w:val="32"/>
          <w:szCs w:val="32"/>
        </w:rPr>
      </w:pPr>
      <w:r>
        <w:rPr>
          <w:rFonts w:hint="eastAsia" w:ascii="宋体" w:hAnsi="宋体" w:eastAsia="宋体" w:cs="宋体"/>
          <w:sz w:val="24"/>
          <w:szCs w:val="24"/>
          <w:lang w:bidi="zh-CN"/>
        </w:rPr>
        <w:t xml:space="preserve">                                                   年    月    日</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ascii="宋体" w:hAnsi="宋体" w:eastAsia="宋体" w:cs="宋体"/>
          <w:b/>
          <w:bCs/>
          <w:sz w:val="32"/>
          <w:szCs w:val="32"/>
        </w:rPr>
      </w:pPr>
      <w:r>
        <w:rPr>
          <w:rFonts w:hint="eastAsia" w:ascii="宋体" w:hAnsi="宋体" w:eastAsia="宋体" w:cs="宋体"/>
          <w:b/>
          <w:bCs/>
          <w:sz w:val="32"/>
          <w:szCs w:val="32"/>
        </w:rPr>
        <w:br w:type="page"/>
      </w:r>
    </w:p>
    <w:p>
      <w:pPr>
        <w:spacing w:afterLines="100"/>
        <w:jc w:val="center"/>
        <w:rPr>
          <w:rFonts w:ascii="宋体" w:hAnsi="宋体" w:eastAsia="宋体" w:cs="宋体"/>
          <w:b/>
          <w:bCs/>
          <w:sz w:val="32"/>
          <w:szCs w:val="32"/>
        </w:rPr>
      </w:pPr>
      <w:r>
        <w:rPr>
          <w:rFonts w:hint="eastAsia" w:ascii="宋体" w:hAnsi="宋体" w:eastAsia="宋体" w:cs="宋体"/>
          <w:b/>
          <w:bCs/>
          <w:sz w:val="32"/>
          <w:szCs w:val="32"/>
        </w:rPr>
        <w:t>法定代表人身份证明书</w:t>
      </w:r>
    </w:p>
    <w:p>
      <w:pPr>
        <w:spacing w:line="360" w:lineRule="auto"/>
        <w:ind w:firstLine="560" w:firstLineChars="200"/>
        <w:rPr>
          <w:rFonts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服务商名称：</w:t>
      </w:r>
      <w:r>
        <w:rPr>
          <w:rFonts w:hint="eastAsia" w:ascii="宋体" w:hAnsi="宋体" w:eastAsia="宋体" w:cs="宋体"/>
          <w:color w:val="000000" w:themeColor="text1"/>
          <w:sz w:val="28"/>
          <w:szCs w:val="28"/>
          <w:u w:val="single"/>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姓    名：</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性     别：</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年    龄：</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职     务：</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身份证号码：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系</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（服务商名称）的法定代表人。</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特此证明。</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附件：法定代表人有效身份证正反面复印件</w:t>
      </w:r>
    </w:p>
    <w:p>
      <w:pPr>
        <w:pStyle w:val="5"/>
        <w:rPr>
          <w:color w:val="000000" w:themeColor="text1"/>
          <w:szCs w:val="28"/>
          <w14:textFill>
            <w14:solidFill>
              <w14:schemeClr w14:val="tx1"/>
            </w14:solidFill>
          </w14:textFill>
        </w:rPr>
      </w:pPr>
    </w:p>
    <w:p>
      <w:pPr>
        <w:pStyle w:val="2"/>
        <w:numPr>
          <w:ilvl w:val="0"/>
          <w:numId w:val="0"/>
        </w:numPr>
        <w:jc w:val="both"/>
      </w:pPr>
    </w:p>
    <w:p>
      <w:pPr>
        <w:spacing w:line="360" w:lineRule="auto"/>
        <w:ind w:left="3570" w:leftChars="17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服务商（盖公章）：               </w:t>
      </w:r>
    </w:p>
    <w:p>
      <w:pPr>
        <w:spacing w:line="360" w:lineRule="auto"/>
        <w:ind w:left="3570" w:leftChars="17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年     月     日</w:t>
      </w:r>
    </w:p>
    <w:p>
      <w:pPr>
        <w:pStyle w:val="5"/>
      </w:pPr>
    </w:p>
    <w:p>
      <w:pPr>
        <w:pStyle w:val="5"/>
      </w:pPr>
    </w:p>
    <w:p>
      <w:pPr>
        <w:spacing w:line="360" w:lineRule="auto"/>
        <w:rPr>
          <w:rFonts w:ascii="宋体" w:hAnsi="宋体" w:eastAsia="宋体" w:cs="宋体"/>
          <w:sz w:val="24"/>
          <w:szCs w:val="24"/>
        </w:rPr>
      </w:pPr>
      <w:r>
        <w:rPr>
          <w:rFonts w:hint="eastAsia" w:ascii="宋体" w:hAnsi="宋体" w:eastAsia="宋体" w:cs="宋体"/>
          <w:sz w:val="24"/>
          <w:szCs w:val="24"/>
        </w:rPr>
        <w:t>注：</w:t>
      </w:r>
      <w:r>
        <w:rPr>
          <w:rFonts w:ascii="Times New Roman" w:hAnsi="Times New Roman" w:eastAsia="宋体" w:cs="Times New Roman"/>
          <w:sz w:val="24"/>
          <w:szCs w:val="24"/>
        </w:rPr>
        <w:t>1</w:t>
      </w:r>
      <w:r>
        <w:rPr>
          <w:rFonts w:hint="eastAsia" w:ascii="宋体" w:hAnsi="宋体" w:eastAsia="宋体" w:cs="宋体"/>
          <w:sz w:val="24"/>
          <w:szCs w:val="24"/>
        </w:rPr>
        <w:t>.自然人竞标的无需提供，联合体竞标的只需牵头人出具。</w:t>
      </w:r>
    </w:p>
    <w:p>
      <w:pPr>
        <w:spacing w:line="360" w:lineRule="auto"/>
        <w:ind w:firstLine="480" w:firstLineChars="200"/>
        <w:rPr>
          <w:rFonts w:ascii="宋体" w:hAnsi="宋体" w:eastAsia="宋体" w:cs="宋体"/>
          <w:sz w:val="24"/>
          <w:szCs w:val="24"/>
        </w:rPr>
      </w:pPr>
      <w:r>
        <w:rPr>
          <w:rFonts w:ascii="Times New Roman" w:hAnsi="Times New Roman" w:eastAsia="宋体" w:cs="Times New Roman"/>
          <w:sz w:val="24"/>
          <w:szCs w:val="24"/>
        </w:rPr>
        <w:t>2</w:t>
      </w:r>
      <w:r>
        <w:rPr>
          <w:rFonts w:hint="eastAsia" w:ascii="宋体" w:hAnsi="宋体" w:eastAsia="宋体" w:cs="宋体"/>
          <w:sz w:val="24"/>
          <w:szCs w:val="24"/>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pPr>
        <w:rPr>
          <w:rFonts w:ascii="宋体" w:hAnsi="宋体" w:eastAsia="宋体" w:cs="宋体"/>
          <w:sz w:val="24"/>
          <w:szCs w:val="24"/>
        </w:rPr>
      </w:pPr>
      <w:r>
        <w:rPr>
          <w:rFonts w:hint="eastAsia" w:ascii="宋体" w:hAnsi="宋体" w:eastAsia="宋体" w:cs="宋体"/>
          <w:sz w:val="24"/>
          <w:szCs w:val="24"/>
        </w:rPr>
        <w:br w:type="page"/>
      </w:r>
    </w:p>
    <w:p>
      <w:pPr>
        <w:spacing w:afterLines="100"/>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法定代表人授权委托书</w:t>
      </w:r>
      <w:r>
        <w:rPr>
          <w:rFonts w:hint="eastAsia" w:ascii="宋体" w:hAnsi="宋体" w:eastAsia="宋体" w:cs="宋体"/>
          <w:color w:val="000000" w:themeColor="text1"/>
          <w:sz w:val="32"/>
          <w:szCs w:val="32"/>
          <w14:textFill>
            <w14:solidFill>
              <w14:schemeClr w14:val="tx1"/>
            </w14:solidFill>
          </w14:textFill>
        </w:rPr>
        <w:t>（如有委托时）</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致：（采购人名称）</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w:t>
      </w:r>
      <w:r>
        <w:rPr>
          <w:rFonts w:hint="eastAsia" w:ascii="宋体" w:hAnsi="宋体" w:eastAsia="宋体" w:cs="宋体"/>
          <w:color w:val="000000" w:themeColor="text1"/>
          <w:sz w:val="28"/>
          <w:szCs w:val="28"/>
          <w:u w:val="single"/>
          <w14:textFill>
            <w14:solidFill>
              <w14:schemeClr w14:val="tx1"/>
            </w14:solidFill>
          </w14:textFill>
        </w:rPr>
        <w:t xml:space="preserve">  （姓名）  </w:t>
      </w:r>
      <w:r>
        <w:rPr>
          <w:rFonts w:hint="eastAsia" w:ascii="宋体" w:hAnsi="宋体" w:eastAsia="宋体" w:cs="宋体"/>
          <w:color w:val="000000" w:themeColor="text1"/>
          <w:sz w:val="28"/>
          <w:szCs w:val="28"/>
          <w14:textFill>
            <w14:solidFill>
              <w14:schemeClr w14:val="tx1"/>
            </w14:solidFill>
          </w14:textFill>
        </w:rPr>
        <w:t>系</w:t>
      </w:r>
      <w:r>
        <w:rPr>
          <w:rFonts w:hint="eastAsia" w:ascii="宋体" w:hAnsi="宋体" w:eastAsia="宋体" w:cs="宋体"/>
          <w:color w:val="000000" w:themeColor="text1"/>
          <w:sz w:val="28"/>
          <w:szCs w:val="28"/>
          <w:u w:val="single"/>
          <w14:textFill>
            <w14:solidFill>
              <w14:schemeClr w14:val="tx1"/>
            </w14:solidFill>
          </w14:textFill>
        </w:rPr>
        <w:t xml:space="preserve">  （服务商名称）  </w:t>
      </w:r>
      <w:r>
        <w:rPr>
          <w:rFonts w:hint="eastAsia" w:ascii="宋体" w:hAnsi="宋体" w:eastAsia="宋体" w:cs="宋体"/>
          <w:color w:val="000000" w:themeColor="text1"/>
          <w:sz w:val="28"/>
          <w:szCs w:val="28"/>
          <w14:textFill>
            <w14:solidFill>
              <w14:schemeClr w14:val="tx1"/>
            </w14:solidFill>
          </w14:textFill>
        </w:rPr>
        <w:t>的</w:t>
      </w:r>
      <w:r>
        <w:rPr>
          <w:rFonts w:hint="eastAsia" w:ascii="宋体" w:hAnsi="宋体" w:eastAsia="宋体" w:cs="宋体"/>
          <w:color w:val="000000" w:themeColor="text1"/>
          <w:sz w:val="28"/>
          <w:szCs w:val="28"/>
          <w:u w:val="single"/>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sym w:font="Wingdings 2" w:char="00A3"/>
      </w:r>
      <w:r>
        <w:rPr>
          <w:rFonts w:hint="eastAsia" w:ascii="宋体" w:hAnsi="宋体" w:eastAsia="宋体" w:cs="宋体"/>
          <w:color w:val="000000" w:themeColor="text1"/>
          <w:sz w:val="28"/>
          <w:szCs w:val="28"/>
          <w:u w:val="single"/>
          <w14:textFill>
            <w14:solidFill>
              <w14:schemeClr w14:val="tx1"/>
            </w14:solidFill>
          </w14:textFill>
        </w:rPr>
        <w:t>法定代表人/□负责人/□自然人本人）</w:t>
      </w:r>
      <w:r>
        <w:rPr>
          <w:rFonts w:hint="eastAsia" w:ascii="宋体" w:hAnsi="宋体" w:eastAsia="宋体" w:cs="宋体"/>
          <w:color w:val="000000" w:themeColor="text1"/>
          <w:sz w:val="28"/>
          <w:szCs w:val="28"/>
          <w14:textFill>
            <w14:solidFill>
              <w14:schemeClr w14:val="tx1"/>
            </w14:solidFill>
          </w14:textFill>
        </w:rPr>
        <w:t>，现授权</w:t>
      </w:r>
      <w:r>
        <w:rPr>
          <w:rFonts w:hint="eastAsia" w:ascii="宋体" w:hAnsi="宋体" w:eastAsia="宋体" w:cs="宋体"/>
          <w:color w:val="000000" w:themeColor="text1"/>
          <w:sz w:val="28"/>
          <w:szCs w:val="28"/>
          <w:u w:val="single"/>
          <w14:textFill>
            <w14:solidFill>
              <w14:schemeClr w14:val="tx1"/>
            </w14:solidFill>
          </w14:textFill>
        </w:rPr>
        <w:t xml:space="preserve"> （姓名） </w:t>
      </w:r>
      <w:r>
        <w:rPr>
          <w:rFonts w:hint="eastAsia" w:ascii="宋体" w:hAnsi="宋体" w:eastAsia="宋体" w:cs="宋体"/>
          <w:color w:val="000000" w:themeColor="text1"/>
          <w:sz w:val="28"/>
          <w:szCs w:val="28"/>
          <w14:textFill>
            <w14:solidFill>
              <w14:schemeClr w14:val="tx1"/>
            </w14:solidFill>
          </w14:textFill>
        </w:rPr>
        <w:t>以我方的名义参加</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项目的竞标活动，并代表我方全权办理针对上述项目的所有采购程序和环节的具体事务和签署相关文件。</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我方对委托代理人的签字事项负全部责任。</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委托代理人无转委托权，特此委托。</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附：委托代理人有效身份证正反面复印件</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委托代理人（签字）：             法定代表人（签字）：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委托代理人身份证号码：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服务商（盖公章）：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年    月    日</w:t>
      </w:r>
    </w:p>
    <w:p>
      <w:pPr>
        <w:spacing w:line="360" w:lineRule="auto"/>
        <w:rPr>
          <w:rFonts w:ascii="宋体" w:hAnsi="宋体" w:eastAsia="宋体" w:cs="宋体"/>
          <w:sz w:val="32"/>
          <w:szCs w:val="32"/>
        </w:rPr>
      </w:pPr>
      <w:r>
        <w:rPr>
          <w:rFonts w:hint="eastAsia"/>
        </w:rPr>
        <w:br w:type="page"/>
      </w:r>
      <w:r>
        <w:rPr>
          <w:rFonts w:hint="eastAsia" w:ascii="宋体" w:hAnsi="宋体" w:eastAsia="宋体" w:cs="宋体"/>
          <w:sz w:val="32"/>
          <w:szCs w:val="32"/>
        </w:rPr>
        <w:t>二、报价商务技术文件格式</w:t>
      </w:r>
    </w:p>
    <w:p>
      <w:pPr>
        <w:snapToGrid w:val="0"/>
        <w:spacing w:beforeLines="50" w:after="50" w:line="360" w:lineRule="auto"/>
        <w:jc w:val="left"/>
        <w:rPr>
          <w:rFonts w:ascii="宋体" w:hAnsi="宋体" w:eastAsia="宋体" w:cs="宋体"/>
          <w:sz w:val="32"/>
          <w:szCs w:val="32"/>
        </w:rPr>
      </w:pPr>
      <w:r>
        <w:rPr>
          <w:rFonts w:ascii="Times New Roman" w:hAnsi="Times New Roman" w:eastAsia="宋体" w:cs="Times New Roman"/>
          <w:sz w:val="32"/>
          <w:szCs w:val="32"/>
        </w:rPr>
        <w:t>1</w:t>
      </w:r>
      <w:r>
        <w:rPr>
          <w:rFonts w:hint="eastAsia" w:ascii="宋体" w:hAnsi="宋体" w:eastAsia="宋体" w:cs="宋体"/>
          <w:sz w:val="32"/>
          <w:szCs w:val="32"/>
        </w:rPr>
        <w:t>.报价商务技术文件封面格式</w:t>
      </w:r>
    </w:p>
    <w:p>
      <w:pPr>
        <w:snapToGrid w:val="0"/>
        <w:spacing w:beforeLines="50" w:after="50" w:line="360" w:lineRule="auto"/>
        <w:rPr>
          <w:rFonts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Lines="50" w:after="50" w:line="360" w:lineRule="auto"/>
        <w:rPr>
          <w:rFonts w:ascii="宋体" w:hAnsi="宋体" w:eastAsia="宋体" w:cs="宋体"/>
          <w:sz w:val="32"/>
          <w:szCs w:val="32"/>
        </w:rPr>
      </w:pPr>
    </w:p>
    <w:p>
      <w:pPr>
        <w:snapToGrid w:val="0"/>
        <w:spacing w:beforeLines="50" w:after="50" w:line="360" w:lineRule="auto"/>
        <w:rPr>
          <w:rFonts w:ascii="宋体" w:hAnsi="宋体" w:eastAsia="宋体" w:cs="宋体"/>
          <w:sz w:val="32"/>
          <w:szCs w:val="32"/>
        </w:rPr>
      </w:pPr>
    </w:p>
    <w:p>
      <w:pPr>
        <w:snapToGrid w:val="0"/>
        <w:spacing w:beforeLines="50" w:after="50" w:line="360" w:lineRule="auto"/>
        <w:jc w:val="center"/>
        <w:rPr>
          <w:rFonts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Lines="50" w:after="50" w:line="360" w:lineRule="auto"/>
        <w:rPr>
          <w:rFonts w:ascii="宋体" w:hAnsi="宋体" w:eastAsia="宋体" w:cs="宋体"/>
          <w:bCs/>
          <w:sz w:val="32"/>
          <w:szCs w:val="32"/>
        </w:rPr>
      </w:pPr>
    </w:p>
    <w:p>
      <w:pPr>
        <w:snapToGrid w:val="0"/>
        <w:spacing w:beforeLines="50" w:after="50" w:line="360" w:lineRule="auto"/>
        <w:rPr>
          <w:rFonts w:ascii="宋体" w:hAnsi="宋体" w:eastAsia="宋体" w:cs="宋体"/>
          <w:bCs/>
          <w:sz w:val="32"/>
          <w:szCs w:val="32"/>
        </w:rPr>
      </w:pP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项目名称：</w:t>
      </w: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 xml:space="preserve">项目编号： </w:t>
      </w: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所竞分标：</w:t>
      </w:r>
    </w:p>
    <w:p>
      <w:pPr>
        <w:pStyle w:val="7"/>
        <w:snapToGrid w:val="0"/>
        <w:spacing w:before="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服务商名称：</w:t>
      </w:r>
    </w:p>
    <w:p>
      <w:pPr>
        <w:pStyle w:val="7"/>
        <w:snapToGrid w:val="0"/>
        <w:spacing w:before="50" w:after="50" w:line="360" w:lineRule="auto"/>
        <w:ind w:firstLine="1280" w:firstLineChars="400"/>
        <w:rPr>
          <w:rFonts w:ascii="宋体" w:hAnsi="宋体" w:eastAsia="宋体" w:cs="宋体"/>
          <w:bCs/>
          <w:sz w:val="32"/>
          <w:szCs w:val="32"/>
        </w:rPr>
      </w:pPr>
    </w:p>
    <w:p>
      <w:pPr>
        <w:snapToGrid w:val="0"/>
        <w:spacing w:beforeLines="50" w:after="50" w:line="360" w:lineRule="auto"/>
        <w:jc w:val="center"/>
        <w:rPr>
          <w:rFonts w:ascii="宋体" w:hAnsi="宋体" w:eastAsia="宋体" w:cs="宋体"/>
          <w:sz w:val="32"/>
          <w:szCs w:val="32"/>
        </w:rPr>
      </w:pPr>
      <w:r>
        <w:rPr>
          <w:rFonts w:hint="eastAsia" w:ascii="宋体" w:hAnsi="宋体" w:eastAsia="宋体" w:cs="宋体"/>
          <w:sz w:val="32"/>
          <w:szCs w:val="32"/>
        </w:rPr>
        <w:t>年    月    日</w:t>
      </w:r>
    </w:p>
    <w:p/>
    <w:p>
      <w:pPr>
        <w:spacing w:line="360" w:lineRule="auto"/>
        <w:rPr>
          <w:rFonts w:ascii="宋体" w:hAnsi="宋体" w:eastAsia="宋体" w:cs="宋体"/>
          <w:sz w:val="32"/>
          <w:szCs w:val="32"/>
        </w:rPr>
      </w:pPr>
      <w:r>
        <w:rPr>
          <w:rFonts w:ascii="Times New Roman" w:hAnsi="Times New Roman" w:eastAsia="宋体" w:cs="Times New Roman"/>
          <w:sz w:val="32"/>
          <w:szCs w:val="32"/>
        </w:rPr>
        <w:t>2</w:t>
      </w:r>
      <w:r>
        <w:rPr>
          <w:rFonts w:hint="eastAsia" w:ascii="宋体" w:hAnsi="宋体" w:eastAsia="宋体" w:cs="宋体"/>
          <w:sz w:val="32"/>
          <w:szCs w:val="32"/>
        </w:rPr>
        <w:t>.报价商务技术文件目录</w:t>
      </w:r>
    </w:p>
    <w:p>
      <w:pPr>
        <w:spacing w:line="360" w:lineRule="auto"/>
        <w:rPr>
          <w:rFonts w:ascii="宋体" w:hAnsi="宋体" w:eastAsia="宋体" w:cs="宋体"/>
          <w:sz w:val="32"/>
          <w:szCs w:val="32"/>
        </w:rPr>
      </w:pPr>
      <w:r>
        <w:rPr>
          <w:rFonts w:hint="eastAsia" w:ascii="宋体" w:hAnsi="宋体" w:eastAsia="宋体" w:cs="宋体"/>
          <w:sz w:val="32"/>
          <w:szCs w:val="32"/>
        </w:rPr>
        <w:t>根据采购文件规定及服务商提供的材料自行编写目录。</w:t>
      </w:r>
    </w:p>
    <w:p>
      <w:r>
        <w:rPr>
          <w:rFonts w:hint="eastAsia" w:ascii="宋体" w:hAnsi="宋体" w:eastAsia="宋体" w:cs="宋体"/>
          <w:sz w:val="32"/>
          <w:szCs w:val="32"/>
        </w:rPr>
        <w:br w:type="page"/>
      </w:r>
    </w:p>
    <w:p>
      <w:pPr>
        <w:spacing w:afterLines="100"/>
        <w:jc w:val="cente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报价表</w:t>
      </w:r>
    </w:p>
    <w:p>
      <w:pPr>
        <w:pStyle w:val="20"/>
        <w:keepNext w:val="0"/>
        <w:keepLines w:val="0"/>
        <w:widowControl/>
        <w:suppressLineNumbers w:val="0"/>
        <w:spacing w:before="0" w:beforeAutospacing="0" w:after="0" w:afterAutospacing="0"/>
        <w:ind w:left="0" w:firstLine="0"/>
        <w:jc w:val="left"/>
        <w:rPr>
          <w:rFonts w:hint="eastAsia" w:ascii="宋体" w:hAnsi="宋体" w:eastAsia="宋体" w:cs="宋体"/>
          <w:sz w:val="28"/>
          <w:szCs w:val="28"/>
          <w:lang w:val="en-US" w:eastAsia="zh-CN"/>
        </w:rPr>
      </w:pPr>
      <w:r>
        <w:rPr>
          <w:rFonts w:hint="eastAsia" w:ascii="宋体" w:hAnsi="宋体" w:eastAsia="宋体" w:cs="宋体"/>
          <w:sz w:val="28"/>
          <w:szCs w:val="28"/>
        </w:rPr>
        <w:t>项目名称：</w:t>
      </w:r>
      <w:r>
        <w:rPr>
          <w:rFonts w:hint="eastAsia" w:ascii="宋体" w:hAnsi="宋体" w:eastAsia="宋体" w:cs="宋体"/>
          <w:sz w:val="28"/>
          <w:szCs w:val="28"/>
          <w:lang w:val="en-US" w:eastAsia="zh-CN"/>
        </w:rPr>
        <w:t>广西自贸区产融城市运营管理有限公司新建修理厂厂房项目及钦保机动车检测有限公司检测线扩建工程土建改造工程项目建设工程质量综合检测服务</w:t>
      </w:r>
    </w:p>
    <w:p>
      <w:pPr>
        <w:pStyle w:val="20"/>
        <w:keepNext w:val="0"/>
        <w:keepLines w:val="0"/>
        <w:widowControl/>
        <w:suppressLineNumbers w:val="0"/>
        <w:spacing w:before="0" w:beforeAutospacing="0" w:after="0" w:afterAutospacing="0"/>
        <w:ind w:left="0" w:firstLine="0"/>
        <w:jc w:val="center"/>
        <w:rPr>
          <w:rFonts w:hint="eastAsia" w:ascii="方正公文黑体" w:hAnsi="方正公文黑体" w:eastAsia="方正公文黑体" w:cs="方正公文黑体"/>
          <w:sz w:val="32"/>
          <w:szCs w:val="32"/>
          <w:lang w:val="en-US" w:eastAsia="zh-CN"/>
        </w:rPr>
      </w:pPr>
      <w:r>
        <w:rPr>
          <w:rFonts w:hint="eastAsia" w:ascii="方正公文黑体" w:hAnsi="方正公文黑体" w:eastAsia="方正公文黑体" w:cs="方正公文黑体"/>
          <w:sz w:val="32"/>
          <w:szCs w:val="32"/>
          <w:lang w:val="en-US" w:eastAsia="zh-CN"/>
        </w:rPr>
        <w:t>一、新建修理厂厂房项目</w:t>
      </w:r>
    </w:p>
    <w:p>
      <w:pPr>
        <w:numPr>
          <w:ilvl w:val="0"/>
          <w:numId w:val="3"/>
        </w:numPr>
        <w:wordWrap w:val="0"/>
        <w:spacing w:line="580" w:lineRule="exact"/>
        <w:ind w:left="1418" w:hanging="567"/>
        <w:rPr>
          <w:b/>
          <w:bCs/>
          <w:color w:val="auto"/>
          <w:sz w:val="28"/>
          <w:szCs w:val="28"/>
        </w:rPr>
      </w:pPr>
      <w:r>
        <w:rPr>
          <w:rFonts w:hint="eastAsia"/>
          <w:b/>
          <w:bCs/>
          <w:color w:val="auto"/>
          <w:sz w:val="28"/>
          <w:szCs w:val="28"/>
        </w:rPr>
        <w:t>单桩竖向抗压静载试验数量及费用</w:t>
      </w:r>
    </w:p>
    <w:tbl>
      <w:tblPr>
        <w:tblStyle w:val="22"/>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1220"/>
        <w:gridCol w:w="980"/>
        <w:gridCol w:w="1380"/>
        <w:gridCol w:w="1500"/>
        <w:gridCol w:w="118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160" w:type="dxa"/>
            <w:gridSpan w:val="7"/>
            <w:shd w:val="clear" w:color="auto" w:fill="auto"/>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单桩竖向抗压静载试验数量及费用表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520" w:type="dxa"/>
            <w:shd w:val="clear" w:color="auto" w:fill="auto"/>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单体名称</w:t>
            </w:r>
          </w:p>
        </w:tc>
        <w:tc>
          <w:tcPr>
            <w:tcW w:w="1220" w:type="dxa"/>
            <w:shd w:val="clear" w:color="auto" w:fill="auto"/>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检测项目序号</w:t>
            </w:r>
          </w:p>
        </w:tc>
        <w:tc>
          <w:tcPr>
            <w:tcW w:w="980" w:type="dxa"/>
            <w:shd w:val="clear" w:color="auto" w:fill="auto"/>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试验数量（根）</w:t>
            </w:r>
          </w:p>
        </w:tc>
        <w:tc>
          <w:tcPr>
            <w:tcW w:w="1380" w:type="dxa"/>
            <w:shd w:val="clear" w:color="auto" w:fill="auto"/>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单桩竖向抗压承载力特征值（kN）</w:t>
            </w:r>
          </w:p>
        </w:tc>
        <w:tc>
          <w:tcPr>
            <w:tcW w:w="1500" w:type="dxa"/>
            <w:shd w:val="clear" w:color="auto" w:fill="auto"/>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最大试验荷载值（kN）</w:t>
            </w:r>
          </w:p>
        </w:tc>
        <w:tc>
          <w:tcPr>
            <w:tcW w:w="1180" w:type="dxa"/>
            <w:shd w:val="clear" w:color="auto" w:fill="auto"/>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单价（元/根）</w:t>
            </w:r>
          </w:p>
        </w:tc>
        <w:tc>
          <w:tcPr>
            <w:tcW w:w="1380" w:type="dxa"/>
            <w:shd w:val="clear" w:color="auto" w:fill="auto"/>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1520" w:type="dxa"/>
            <w:shd w:val="clear" w:color="auto" w:fill="auto"/>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广西自贸区产融城市运营管理有限公司新建汽车修理厂厂房项目</w:t>
            </w:r>
          </w:p>
        </w:tc>
        <w:tc>
          <w:tcPr>
            <w:tcW w:w="1220" w:type="dxa"/>
            <w:shd w:val="clear" w:color="auto" w:fill="auto"/>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1.1.1</w:t>
            </w:r>
          </w:p>
        </w:tc>
        <w:tc>
          <w:tcPr>
            <w:tcW w:w="980" w:type="dxa"/>
            <w:shd w:val="clear" w:color="auto" w:fill="auto"/>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3</w:t>
            </w:r>
          </w:p>
        </w:tc>
        <w:tc>
          <w:tcPr>
            <w:tcW w:w="1380" w:type="dxa"/>
            <w:shd w:val="clear" w:color="auto" w:fill="auto"/>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1000</w:t>
            </w:r>
          </w:p>
        </w:tc>
        <w:tc>
          <w:tcPr>
            <w:tcW w:w="1500" w:type="dxa"/>
            <w:shd w:val="clear" w:color="auto" w:fill="auto"/>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2000</w:t>
            </w:r>
          </w:p>
        </w:tc>
        <w:tc>
          <w:tcPr>
            <w:tcW w:w="1180" w:type="dxa"/>
            <w:shd w:val="clear" w:color="auto" w:fill="auto"/>
            <w:noWrap w:val="0"/>
            <w:vAlign w:val="center"/>
          </w:tcPr>
          <w:p>
            <w:pPr>
              <w:spacing w:line="240" w:lineRule="auto"/>
              <w:ind w:firstLine="0"/>
              <w:jc w:val="center"/>
              <w:textAlignment w:val="auto"/>
              <w:rPr>
                <w:rFonts w:ascii="宋体" w:hAnsi="宋体" w:cs="宋体"/>
                <w:color w:val="auto"/>
                <w:szCs w:val="21"/>
                <w:u w:val="none" w:color="auto"/>
              </w:rPr>
            </w:pPr>
          </w:p>
        </w:tc>
        <w:tc>
          <w:tcPr>
            <w:tcW w:w="1380" w:type="dxa"/>
            <w:shd w:val="clear" w:color="auto" w:fill="auto"/>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780" w:type="dxa"/>
            <w:gridSpan w:val="6"/>
            <w:shd w:val="clear" w:color="auto" w:fill="auto"/>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实物工作费</w:t>
            </w:r>
          </w:p>
        </w:tc>
        <w:tc>
          <w:tcPr>
            <w:tcW w:w="1380" w:type="dxa"/>
            <w:shd w:val="clear" w:color="auto" w:fill="auto"/>
            <w:noWrap w:val="0"/>
            <w:vAlign w:val="center"/>
          </w:tcPr>
          <w:p>
            <w:pPr>
              <w:spacing w:line="240" w:lineRule="auto"/>
              <w:ind w:firstLine="0"/>
              <w:jc w:val="center"/>
              <w:textAlignment w:val="auto"/>
              <w:rPr>
                <w:rFonts w:ascii="宋体" w:hAnsi="宋体" w:cs="宋体"/>
                <w:color w:val="auto"/>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780" w:type="dxa"/>
            <w:gridSpan w:val="6"/>
            <w:shd w:val="clear" w:color="auto" w:fill="auto"/>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技术工作费（22%）</w:t>
            </w:r>
          </w:p>
        </w:tc>
        <w:tc>
          <w:tcPr>
            <w:tcW w:w="1380" w:type="dxa"/>
            <w:shd w:val="clear" w:color="auto" w:fill="auto"/>
            <w:noWrap w:val="0"/>
            <w:vAlign w:val="center"/>
          </w:tcPr>
          <w:p>
            <w:pPr>
              <w:spacing w:line="240" w:lineRule="auto"/>
              <w:ind w:firstLine="0"/>
              <w:jc w:val="center"/>
              <w:textAlignment w:val="auto"/>
              <w:rPr>
                <w:rFonts w:ascii="宋体" w:hAnsi="宋体" w:cs="宋体"/>
                <w:color w:val="auto"/>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780" w:type="dxa"/>
            <w:gridSpan w:val="6"/>
            <w:shd w:val="clear" w:color="auto" w:fill="auto"/>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费用合计（元）</w:t>
            </w:r>
          </w:p>
        </w:tc>
        <w:tc>
          <w:tcPr>
            <w:tcW w:w="1380" w:type="dxa"/>
            <w:shd w:val="clear" w:color="auto" w:fill="auto"/>
            <w:noWrap w:val="0"/>
            <w:vAlign w:val="center"/>
          </w:tcPr>
          <w:p>
            <w:pPr>
              <w:spacing w:line="240" w:lineRule="auto"/>
              <w:ind w:firstLine="0"/>
              <w:jc w:val="center"/>
              <w:textAlignment w:val="auto"/>
              <w:rPr>
                <w:rFonts w:ascii="宋体" w:hAnsi="宋体" w:cs="宋体"/>
                <w:color w:val="auto"/>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9160" w:type="dxa"/>
            <w:gridSpan w:val="7"/>
            <w:shd w:val="clear" w:color="auto" w:fill="auto"/>
            <w:noWrap w:val="0"/>
            <w:vAlign w:val="center"/>
          </w:tcPr>
          <w:p>
            <w:pPr>
              <w:spacing w:line="240" w:lineRule="auto"/>
              <w:ind w:firstLine="0"/>
              <w:jc w:val="left"/>
              <w:textAlignment w:val="auto"/>
              <w:rPr>
                <w:rFonts w:ascii="宋体" w:hAnsi="宋体" w:cs="宋体"/>
                <w:color w:val="auto"/>
                <w:szCs w:val="21"/>
                <w:u w:val="none" w:color="auto"/>
              </w:rPr>
            </w:pPr>
            <w:r>
              <w:rPr>
                <w:rFonts w:hint="eastAsia" w:ascii="宋体" w:hAnsi="宋体" w:cs="宋体"/>
                <w:color w:val="auto"/>
                <w:szCs w:val="21"/>
                <w:u w:val="none" w:color="auto"/>
              </w:rPr>
              <w:t>注：1.按《建筑基桩检测技术规范》（JGJ106-2014），检测数量不应少于同一条件下桩基分项工程总桩数的1%，且不应少于3根；当总桩数小于50根时，检测数量不应少于2根。</w:t>
            </w:r>
            <w:r>
              <w:rPr>
                <w:rFonts w:hint="eastAsia" w:ascii="宋体" w:hAnsi="宋体" w:cs="宋体"/>
                <w:color w:val="auto"/>
                <w:szCs w:val="21"/>
                <w:u w:val="none" w:color="auto"/>
              </w:rPr>
              <w:br w:type="textWrapping"/>
            </w:r>
            <w:r>
              <w:rPr>
                <w:rFonts w:hint="eastAsia" w:ascii="宋体" w:hAnsi="宋体" w:cs="宋体"/>
                <w:color w:val="auto"/>
                <w:szCs w:val="21"/>
                <w:u w:val="none" w:color="auto"/>
              </w:rPr>
              <w:t>2.单桩竖向抗压承载力特征值参照该工程桩基说明计取,最大试验荷载值=单桩竖向抗压承载力特征值*2；</w:t>
            </w:r>
            <w:r>
              <w:rPr>
                <w:rFonts w:hint="eastAsia" w:ascii="宋体" w:hAnsi="宋体" w:cs="宋体"/>
                <w:color w:val="auto"/>
                <w:szCs w:val="21"/>
                <w:u w:val="none" w:color="auto"/>
              </w:rPr>
              <w:br w:type="textWrapping"/>
            </w:r>
            <w:r>
              <w:rPr>
                <w:rFonts w:hint="eastAsia" w:ascii="宋体" w:hAnsi="宋体" w:cs="宋体"/>
                <w:color w:val="auto"/>
                <w:szCs w:val="21"/>
                <w:u w:val="none" w:color="auto"/>
              </w:rPr>
              <w:t>3.不包含试坑开挖、桩头处理、锚桩施工及焊接费。</w:t>
            </w:r>
            <w:r>
              <w:rPr>
                <w:rFonts w:hint="eastAsia" w:ascii="宋体" w:hAnsi="宋体" w:cs="宋体"/>
                <w:color w:val="auto"/>
                <w:szCs w:val="21"/>
                <w:u w:val="none" w:color="auto"/>
              </w:rPr>
              <w:br w:type="textWrapping"/>
            </w:r>
            <w:r>
              <w:rPr>
                <w:rFonts w:hint="eastAsia" w:ascii="宋体" w:hAnsi="宋体" w:cs="宋体"/>
                <w:color w:val="auto"/>
                <w:szCs w:val="21"/>
                <w:u w:val="none" w:color="auto"/>
              </w:rPr>
              <w:t>4.以实际发生量为准。</w:t>
            </w:r>
          </w:p>
        </w:tc>
      </w:tr>
    </w:tbl>
    <w:p>
      <w:pPr>
        <w:numPr>
          <w:ilvl w:val="0"/>
          <w:numId w:val="3"/>
        </w:numPr>
        <w:wordWrap w:val="0"/>
        <w:spacing w:line="580" w:lineRule="exact"/>
        <w:ind w:left="1418" w:hanging="567"/>
        <w:rPr>
          <w:b/>
          <w:bCs/>
          <w:color w:val="auto"/>
          <w:sz w:val="28"/>
          <w:szCs w:val="28"/>
        </w:rPr>
      </w:pPr>
      <w:r>
        <w:rPr>
          <w:rFonts w:hint="eastAsia"/>
          <w:b/>
          <w:bCs/>
          <w:color w:val="auto"/>
          <w:sz w:val="28"/>
          <w:szCs w:val="28"/>
        </w:rPr>
        <w:t xml:space="preserve">单桩低应变法检测数量及费用 </w:t>
      </w:r>
    </w:p>
    <w:tbl>
      <w:tblPr>
        <w:tblStyle w:val="22"/>
        <w:tblW w:w="8908" w:type="dxa"/>
        <w:jc w:val="center"/>
        <w:tblLayout w:type="autofit"/>
        <w:tblCellMar>
          <w:top w:w="0" w:type="dxa"/>
          <w:left w:w="108" w:type="dxa"/>
          <w:bottom w:w="0" w:type="dxa"/>
          <w:right w:w="108" w:type="dxa"/>
        </w:tblCellMar>
      </w:tblPr>
      <w:tblGrid>
        <w:gridCol w:w="1786"/>
        <w:gridCol w:w="1481"/>
        <w:gridCol w:w="1677"/>
        <w:gridCol w:w="1939"/>
        <w:gridCol w:w="2025"/>
      </w:tblGrid>
      <w:tr>
        <w:tblPrEx>
          <w:tblCellMar>
            <w:top w:w="0" w:type="dxa"/>
            <w:left w:w="108" w:type="dxa"/>
            <w:bottom w:w="0" w:type="dxa"/>
            <w:right w:w="108" w:type="dxa"/>
          </w:tblCellMar>
        </w:tblPrEx>
        <w:trPr>
          <w:trHeight w:val="531" w:hRule="atLeast"/>
          <w:jc w:val="center"/>
        </w:trPr>
        <w:tc>
          <w:tcPr>
            <w:tcW w:w="8907" w:type="dxa"/>
            <w:gridSpan w:val="5"/>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单桩低应变法检测数量及费用表</w:t>
            </w:r>
          </w:p>
        </w:tc>
      </w:tr>
      <w:tr>
        <w:tblPrEx>
          <w:tblCellMar>
            <w:top w:w="0" w:type="dxa"/>
            <w:left w:w="108" w:type="dxa"/>
            <w:bottom w:w="0" w:type="dxa"/>
            <w:right w:w="108" w:type="dxa"/>
          </w:tblCellMar>
        </w:tblPrEx>
        <w:trPr>
          <w:trHeight w:val="531" w:hRule="atLeast"/>
          <w:jc w:val="center"/>
        </w:trPr>
        <w:tc>
          <w:tcPr>
            <w:tcW w:w="1786" w:type="dxa"/>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单体名称</w:t>
            </w:r>
          </w:p>
        </w:tc>
        <w:tc>
          <w:tcPr>
            <w:tcW w:w="1481"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检测项目序号</w:t>
            </w:r>
          </w:p>
        </w:tc>
        <w:tc>
          <w:tcPr>
            <w:tcW w:w="1677"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试验数量（根）</w:t>
            </w:r>
          </w:p>
        </w:tc>
        <w:tc>
          <w:tcPr>
            <w:tcW w:w="1939"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单价（元/根）</w:t>
            </w:r>
          </w:p>
        </w:tc>
        <w:tc>
          <w:tcPr>
            <w:tcW w:w="2025"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小计（元）</w:t>
            </w:r>
          </w:p>
        </w:tc>
      </w:tr>
      <w:tr>
        <w:tblPrEx>
          <w:tblCellMar>
            <w:top w:w="0" w:type="dxa"/>
            <w:left w:w="108" w:type="dxa"/>
            <w:bottom w:w="0" w:type="dxa"/>
            <w:right w:w="108" w:type="dxa"/>
          </w:tblCellMar>
        </w:tblPrEx>
        <w:trPr>
          <w:trHeight w:val="1356" w:hRule="atLeast"/>
          <w:jc w:val="center"/>
        </w:trPr>
        <w:tc>
          <w:tcPr>
            <w:tcW w:w="1786" w:type="dxa"/>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广西自贸区产融城市运营管理有限公司新建汽车修理厂厂房项目</w:t>
            </w:r>
          </w:p>
        </w:tc>
        <w:tc>
          <w:tcPr>
            <w:tcW w:w="1481" w:type="dxa"/>
            <w:tcBorders>
              <w:top w:val="nil"/>
              <w:left w:val="nil"/>
              <w:bottom w:val="nil"/>
              <w:right w:val="single" w:color="auto" w:sz="4" w:space="0"/>
            </w:tcBorders>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1.11.1</w:t>
            </w:r>
          </w:p>
        </w:tc>
        <w:tc>
          <w:tcPr>
            <w:tcW w:w="1677"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17</w:t>
            </w:r>
          </w:p>
        </w:tc>
        <w:tc>
          <w:tcPr>
            <w:tcW w:w="1939"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color w:val="auto"/>
                <w:szCs w:val="21"/>
                <w:u w:val="none" w:color="auto"/>
              </w:rPr>
            </w:pPr>
          </w:p>
        </w:tc>
        <w:tc>
          <w:tcPr>
            <w:tcW w:w="2025"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137" w:hRule="atLeast"/>
          <w:jc w:val="center"/>
        </w:trPr>
        <w:tc>
          <w:tcPr>
            <w:tcW w:w="6882"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实物工作费</w:t>
            </w:r>
          </w:p>
        </w:tc>
        <w:tc>
          <w:tcPr>
            <w:tcW w:w="2025"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486" w:hRule="atLeast"/>
          <w:jc w:val="center"/>
        </w:trPr>
        <w:tc>
          <w:tcPr>
            <w:tcW w:w="6882"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技术工作费（</w:t>
            </w:r>
            <w:r>
              <w:rPr>
                <w:rFonts w:hint="eastAsia" w:ascii="宋体" w:hAnsi="宋体" w:cs="宋体"/>
                <w:color w:val="auto"/>
                <w:szCs w:val="21"/>
                <w:u w:val="single" w:color="auto"/>
                <w:lang w:val="en-US" w:eastAsia="zh-CN"/>
              </w:rPr>
              <w:t xml:space="preserve">  </w:t>
            </w:r>
            <w:r>
              <w:rPr>
                <w:rFonts w:hint="eastAsia" w:ascii="宋体" w:hAnsi="宋体" w:cs="宋体"/>
                <w:color w:val="auto"/>
                <w:szCs w:val="21"/>
                <w:u w:val="none" w:color="auto"/>
              </w:rPr>
              <w:t>%）</w:t>
            </w:r>
          </w:p>
        </w:tc>
        <w:tc>
          <w:tcPr>
            <w:tcW w:w="2025"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color w:val="auto"/>
                <w:szCs w:val="21"/>
                <w:u w:val="none" w:color="auto"/>
              </w:rPr>
            </w:pPr>
          </w:p>
        </w:tc>
      </w:tr>
      <w:tr>
        <w:tblPrEx>
          <w:tblCellMar>
            <w:top w:w="0" w:type="dxa"/>
            <w:left w:w="108" w:type="dxa"/>
            <w:bottom w:w="0" w:type="dxa"/>
            <w:right w:w="108" w:type="dxa"/>
          </w:tblCellMar>
        </w:tblPrEx>
        <w:trPr>
          <w:trHeight w:val="321" w:hRule="atLeast"/>
          <w:jc w:val="center"/>
        </w:trPr>
        <w:tc>
          <w:tcPr>
            <w:tcW w:w="6882"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费用合计（元）</w:t>
            </w:r>
          </w:p>
        </w:tc>
        <w:tc>
          <w:tcPr>
            <w:tcW w:w="2025"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color w:val="auto"/>
                <w:szCs w:val="21"/>
                <w:u w:val="none" w:color="auto"/>
              </w:rPr>
            </w:pPr>
          </w:p>
        </w:tc>
      </w:tr>
      <w:tr>
        <w:tblPrEx>
          <w:tblCellMar>
            <w:top w:w="0" w:type="dxa"/>
            <w:left w:w="108" w:type="dxa"/>
            <w:bottom w:w="0" w:type="dxa"/>
            <w:right w:w="108" w:type="dxa"/>
          </w:tblCellMar>
        </w:tblPrEx>
        <w:trPr>
          <w:trHeight w:val="1845" w:hRule="atLeast"/>
          <w:jc w:val="center"/>
        </w:trPr>
        <w:tc>
          <w:tcPr>
            <w:tcW w:w="8907" w:type="dxa"/>
            <w:gridSpan w:val="5"/>
            <w:tcBorders>
              <w:top w:val="single" w:color="auto" w:sz="4" w:space="0"/>
              <w:left w:val="single" w:color="auto" w:sz="4" w:space="0"/>
              <w:bottom w:val="single" w:color="auto" w:sz="4" w:space="0"/>
              <w:right w:val="single" w:color="000000" w:sz="4" w:space="0"/>
            </w:tcBorders>
            <w:noWrap w:val="0"/>
            <w:vAlign w:val="center"/>
          </w:tcPr>
          <w:p>
            <w:pPr>
              <w:spacing w:line="240" w:lineRule="auto"/>
              <w:ind w:firstLine="0"/>
              <w:jc w:val="left"/>
              <w:textAlignment w:val="auto"/>
              <w:rPr>
                <w:rFonts w:ascii="宋体" w:hAnsi="宋体" w:cs="宋体"/>
                <w:color w:val="auto"/>
                <w:szCs w:val="21"/>
                <w:u w:val="none" w:color="auto"/>
              </w:rPr>
            </w:pPr>
            <w:r>
              <w:rPr>
                <w:rFonts w:hint="eastAsia" w:ascii="宋体" w:hAnsi="宋体" w:cs="宋体"/>
                <w:color w:val="auto"/>
                <w:szCs w:val="21"/>
                <w:u w:val="none" w:color="auto"/>
              </w:rPr>
              <w:t>注：1.《建筑基桩检测技术规范》（JGJ106-2014）要求：</w:t>
            </w:r>
            <w:r>
              <w:rPr>
                <w:rFonts w:hint="eastAsia" w:ascii="宋体" w:hAnsi="宋体" w:cs="宋体"/>
                <w:color w:val="auto"/>
                <w:szCs w:val="21"/>
                <w:u w:val="none" w:color="auto"/>
              </w:rPr>
              <w:br w:type="textWrapping"/>
            </w:r>
            <w:r>
              <w:rPr>
                <w:rFonts w:hint="eastAsia" w:ascii="宋体" w:hAnsi="宋体" w:cs="宋体"/>
                <w:color w:val="auto"/>
                <w:szCs w:val="21"/>
                <w:u w:val="none" w:color="auto"/>
              </w:rPr>
              <w:t xml:space="preserve">     （1）建筑桩基设计等级为甲级，或地基条件复杂、成桩质量可靠性低的灌注桩工程，检测数量不应少于总桩数的30%，且不应少于20根；其他桩基工程，检测数量不应少于总桩数的20%，且不应少于10根；</w:t>
            </w:r>
            <w:r>
              <w:rPr>
                <w:rFonts w:hint="eastAsia" w:ascii="宋体" w:hAnsi="宋体" w:cs="宋体"/>
                <w:color w:val="auto"/>
                <w:szCs w:val="21"/>
                <w:u w:val="none" w:color="auto"/>
              </w:rPr>
              <w:br w:type="textWrapping"/>
            </w:r>
            <w:r>
              <w:rPr>
                <w:rFonts w:hint="eastAsia" w:ascii="宋体" w:hAnsi="宋体" w:cs="宋体"/>
                <w:color w:val="auto"/>
                <w:szCs w:val="21"/>
                <w:u w:val="none" w:color="auto"/>
              </w:rPr>
              <w:t xml:space="preserve">     （2）除符合本条上款规定外，每个柱下承台检测桩数不应少于1根。</w:t>
            </w:r>
            <w:r>
              <w:rPr>
                <w:rFonts w:hint="eastAsia" w:ascii="宋体" w:hAnsi="宋体" w:cs="宋体"/>
                <w:color w:val="auto"/>
                <w:szCs w:val="21"/>
                <w:u w:val="none" w:color="auto"/>
              </w:rPr>
              <w:br w:type="textWrapping"/>
            </w:r>
            <w:r>
              <w:rPr>
                <w:rFonts w:hint="eastAsia" w:ascii="宋体" w:hAnsi="宋体" w:cs="宋体"/>
                <w:color w:val="auto"/>
                <w:szCs w:val="21"/>
                <w:u w:val="none" w:color="auto"/>
              </w:rPr>
              <w:t xml:space="preserve">   2.不含桩头开挖处理费用</w:t>
            </w:r>
            <w:r>
              <w:rPr>
                <w:rFonts w:hint="eastAsia" w:ascii="宋体" w:hAnsi="宋体" w:cs="宋体"/>
                <w:color w:val="auto"/>
                <w:szCs w:val="21"/>
                <w:u w:val="none" w:color="auto"/>
              </w:rPr>
              <w:br w:type="textWrapping"/>
            </w:r>
            <w:r>
              <w:rPr>
                <w:rFonts w:hint="eastAsia" w:ascii="宋体" w:hAnsi="宋体" w:cs="宋体"/>
                <w:color w:val="auto"/>
                <w:szCs w:val="21"/>
                <w:u w:val="none" w:color="auto"/>
              </w:rPr>
              <w:t xml:space="preserve">   3.以实际发生量为准。</w:t>
            </w:r>
          </w:p>
        </w:tc>
      </w:tr>
    </w:tbl>
    <w:p>
      <w:pPr>
        <w:numPr>
          <w:ilvl w:val="0"/>
          <w:numId w:val="3"/>
        </w:numPr>
        <w:wordWrap w:val="0"/>
        <w:spacing w:line="580" w:lineRule="exact"/>
        <w:ind w:left="1418" w:hanging="567"/>
        <w:rPr>
          <w:b/>
          <w:bCs/>
          <w:color w:val="auto"/>
          <w:sz w:val="28"/>
          <w:szCs w:val="28"/>
        </w:rPr>
      </w:pPr>
      <w:r>
        <w:rPr>
          <w:rFonts w:hint="eastAsia"/>
          <w:b/>
          <w:bCs/>
          <w:color w:val="auto"/>
          <w:sz w:val="28"/>
          <w:szCs w:val="28"/>
        </w:rPr>
        <w:t>见证取样检测数量及费用</w:t>
      </w:r>
    </w:p>
    <w:tbl>
      <w:tblPr>
        <w:tblStyle w:val="22"/>
        <w:tblW w:w="9980" w:type="dxa"/>
        <w:tblInd w:w="94" w:type="dxa"/>
        <w:tblLayout w:type="autofit"/>
        <w:tblCellMar>
          <w:top w:w="0" w:type="dxa"/>
          <w:left w:w="108" w:type="dxa"/>
          <w:bottom w:w="0" w:type="dxa"/>
          <w:right w:w="108" w:type="dxa"/>
        </w:tblCellMar>
      </w:tblPr>
      <w:tblGrid>
        <w:gridCol w:w="519"/>
        <w:gridCol w:w="1049"/>
        <w:gridCol w:w="1285"/>
        <w:gridCol w:w="951"/>
        <w:gridCol w:w="2554"/>
        <w:gridCol w:w="634"/>
        <w:gridCol w:w="654"/>
        <w:gridCol w:w="1138"/>
        <w:gridCol w:w="1196"/>
      </w:tblGrid>
      <w:tr>
        <w:tblPrEx>
          <w:tblCellMar>
            <w:top w:w="0" w:type="dxa"/>
            <w:left w:w="108" w:type="dxa"/>
            <w:bottom w:w="0" w:type="dxa"/>
            <w:right w:w="108" w:type="dxa"/>
          </w:tblCellMar>
        </w:tblPrEx>
        <w:trPr>
          <w:trHeight w:val="432" w:hRule="atLeast"/>
        </w:trPr>
        <w:tc>
          <w:tcPr>
            <w:tcW w:w="9980" w:type="dxa"/>
            <w:gridSpan w:val="9"/>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见证取样检测数量及费用表</w:t>
            </w:r>
          </w:p>
        </w:tc>
      </w:tr>
      <w:tr>
        <w:tblPrEx>
          <w:tblCellMar>
            <w:top w:w="0" w:type="dxa"/>
            <w:left w:w="108" w:type="dxa"/>
            <w:bottom w:w="0" w:type="dxa"/>
            <w:right w:w="108" w:type="dxa"/>
          </w:tblCellMar>
        </w:tblPrEx>
        <w:trPr>
          <w:trHeight w:val="559" w:hRule="atLeast"/>
        </w:trPr>
        <w:tc>
          <w:tcPr>
            <w:tcW w:w="519" w:type="dxa"/>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检测类别</w:t>
            </w:r>
          </w:p>
        </w:tc>
        <w:tc>
          <w:tcPr>
            <w:tcW w:w="2334" w:type="dxa"/>
            <w:gridSpan w:val="2"/>
            <w:tcBorders>
              <w:top w:val="single" w:color="auto" w:sz="4" w:space="0"/>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检测项目</w:t>
            </w:r>
          </w:p>
        </w:tc>
        <w:tc>
          <w:tcPr>
            <w:tcW w:w="951"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检测项目序号</w:t>
            </w:r>
          </w:p>
        </w:tc>
        <w:tc>
          <w:tcPr>
            <w:tcW w:w="255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批    量</w:t>
            </w:r>
          </w:p>
        </w:tc>
        <w:tc>
          <w:tcPr>
            <w:tcW w:w="6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取样数量</w:t>
            </w:r>
          </w:p>
        </w:tc>
        <w:tc>
          <w:tcPr>
            <w:tcW w:w="65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单位</w:t>
            </w:r>
          </w:p>
        </w:tc>
        <w:tc>
          <w:tcPr>
            <w:tcW w:w="113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单价（元）</w:t>
            </w:r>
          </w:p>
        </w:tc>
        <w:tc>
          <w:tcPr>
            <w:tcW w:w="119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小计（元）</w:t>
            </w:r>
          </w:p>
        </w:tc>
      </w:tr>
      <w:tr>
        <w:tblPrEx>
          <w:tblCellMar>
            <w:top w:w="0" w:type="dxa"/>
            <w:left w:w="108" w:type="dxa"/>
            <w:bottom w:w="0" w:type="dxa"/>
            <w:right w:w="108" w:type="dxa"/>
          </w:tblCellMar>
        </w:tblPrEx>
        <w:trPr>
          <w:trHeight w:val="518" w:hRule="atLeast"/>
        </w:trPr>
        <w:tc>
          <w:tcPr>
            <w:tcW w:w="519" w:type="dxa"/>
            <w:vMerge w:val="restart"/>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水  泥</w:t>
            </w:r>
          </w:p>
        </w:tc>
        <w:tc>
          <w:tcPr>
            <w:tcW w:w="2334" w:type="dxa"/>
            <w:gridSpan w:val="2"/>
            <w:tcBorders>
              <w:top w:val="single" w:color="auto" w:sz="4" w:space="0"/>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凝结时间</w:t>
            </w:r>
          </w:p>
        </w:tc>
        <w:tc>
          <w:tcPr>
            <w:tcW w:w="951"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4.1.1</w:t>
            </w:r>
          </w:p>
        </w:tc>
        <w:tc>
          <w:tcPr>
            <w:tcW w:w="2554" w:type="dxa"/>
            <w:vMerge w:val="restart"/>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以同品种、同标号、同一出厂编号且同一次进场的，袋装水泥不超过200t</w:t>
            </w:r>
            <w:r>
              <w:rPr>
                <w:rFonts w:hint="eastAsia" w:ascii="宋体" w:hAnsi="宋体" w:cs="宋体"/>
                <w:szCs w:val="21"/>
                <w:u w:val="none" w:color="auto"/>
                <w:lang w:eastAsia="zh-CN"/>
              </w:rPr>
              <w:t>，</w:t>
            </w:r>
            <w:r>
              <w:rPr>
                <w:rFonts w:hint="eastAsia" w:ascii="宋体" w:hAnsi="宋体" w:cs="宋体"/>
                <w:szCs w:val="21"/>
                <w:u w:val="none" w:color="auto"/>
              </w:rPr>
              <w:t>散装水泥不超过500t为一批。</w:t>
            </w:r>
          </w:p>
        </w:tc>
        <w:tc>
          <w:tcPr>
            <w:tcW w:w="6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5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13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19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518" w:hRule="atLeast"/>
        </w:trPr>
        <w:tc>
          <w:tcPr>
            <w:tcW w:w="519"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2334" w:type="dxa"/>
            <w:gridSpan w:val="2"/>
            <w:tcBorders>
              <w:top w:val="single" w:color="auto" w:sz="4" w:space="0"/>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标准稠度用水量</w:t>
            </w:r>
          </w:p>
        </w:tc>
        <w:tc>
          <w:tcPr>
            <w:tcW w:w="951"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4.1.2</w:t>
            </w:r>
          </w:p>
        </w:tc>
        <w:tc>
          <w:tcPr>
            <w:tcW w:w="255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6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5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13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19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518" w:hRule="atLeast"/>
        </w:trPr>
        <w:tc>
          <w:tcPr>
            <w:tcW w:w="519"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2334" w:type="dxa"/>
            <w:gridSpan w:val="2"/>
            <w:tcBorders>
              <w:top w:val="single" w:color="auto" w:sz="4" w:space="0"/>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安定性</w:t>
            </w:r>
          </w:p>
        </w:tc>
        <w:tc>
          <w:tcPr>
            <w:tcW w:w="951"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4.1.3</w:t>
            </w:r>
          </w:p>
        </w:tc>
        <w:tc>
          <w:tcPr>
            <w:tcW w:w="255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6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5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13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19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518" w:hRule="atLeast"/>
        </w:trPr>
        <w:tc>
          <w:tcPr>
            <w:tcW w:w="519"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2334" w:type="dxa"/>
            <w:gridSpan w:val="2"/>
            <w:tcBorders>
              <w:top w:val="single" w:color="auto" w:sz="4" w:space="0"/>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胶砂强度</w:t>
            </w:r>
          </w:p>
        </w:tc>
        <w:tc>
          <w:tcPr>
            <w:tcW w:w="951"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4.1.4</w:t>
            </w:r>
          </w:p>
        </w:tc>
        <w:tc>
          <w:tcPr>
            <w:tcW w:w="255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6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5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13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19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255" w:hRule="atLeast"/>
        </w:trPr>
        <w:tc>
          <w:tcPr>
            <w:tcW w:w="519" w:type="dxa"/>
            <w:vMerge w:val="restart"/>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砂</w:t>
            </w:r>
          </w:p>
        </w:tc>
        <w:tc>
          <w:tcPr>
            <w:tcW w:w="2334" w:type="dxa"/>
            <w:gridSpan w:val="2"/>
            <w:tcBorders>
              <w:top w:val="single" w:color="auto" w:sz="4" w:space="0"/>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表观（相对）密度</w:t>
            </w:r>
          </w:p>
        </w:tc>
        <w:tc>
          <w:tcPr>
            <w:tcW w:w="951"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4.3.1</w:t>
            </w:r>
          </w:p>
        </w:tc>
        <w:tc>
          <w:tcPr>
            <w:tcW w:w="2554" w:type="dxa"/>
            <w:vMerge w:val="restart"/>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以400m3或600t同产地同规格且同一次进场的为一验收批。不足者以一批计</w:t>
            </w:r>
          </w:p>
        </w:tc>
        <w:tc>
          <w:tcPr>
            <w:tcW w:w="6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5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13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19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255" w:hRule="atLeast"/>
        </w:trPr>
        <w:tc>
          <w:tcPr>
            <w:tcW w:w="519"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2334" w:type="dxa"/>
            <w:gridSpan w:val="2"/>
            <w:tcBorders>
              <w:top w:val="single" w:color="auto" w:sz="4" w:space="0"/>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堆积密度</w:t>
            </w:r>
          </w:p>
        </w:tc>
        <w:tc>
          <w:tcPr>
            <w:tcW w:w="951"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4.3.2</w:t>
            </w:r>
          </w:p>
        </w:tc>
        <w:tc>
          <w:tcPr>
            <w:tcW w:w="255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6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5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13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19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255" w:hRule="atLeast"/>
        </w:trPr>
        <w:tc>
          <w:tcPr>
            <w:tcW w:w="519"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2334" w:type="dxa"/>
            <w:gridSpan w:val="2"/>
            <w:tcBorders>
              <w:top w:val="single" w:color="auto" w:sz="4" w:space="0"/>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空隙率</w:t>
            </w:r>
          </w:p>
        </w:tc>
        <w:tc>
          <w:tcPr>
            <w:tcW w:w="951"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4.3.3</w:t>
            </w:r>
          </w:p>
        </w:tc>
        <w:tc>
          <w:tcPr>
            <w:tcW w:w="255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6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5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13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19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488" w:hRule="atLeast"/>
        </w:trPr>
        <w:tc>
          <w:tcPr>
            <w:tcW w:w="519"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2334" w:type="dxa"/>
            <w:gridSpan w:val="2"/>
            <w:tcBorders>
              <w:top w:val="single" w:color="auto" w:sz="4" w:space="0"/>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颗粒级配/筛分试验（干筛法）</w:t>
            </w:r>
          </w:p>
        </w:tc>
        <w:tc>
          <w:tcPr>
            <w:tcW w:w="951"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4.3.4</w:t>
            </w:r>
          </w:p>
        </w:tc>
        <w:tc>
          <w:tcPr>
            <w:tcW w:w="255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6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5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13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19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255" w:hRule="atLeast"/>
        </w:trPr>
        <w:tc>
          <w:tcPr>
            <w:tcW w:w="519"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2334" w:type="dxa"/>
            <w:gridSpan w:val="2"/>
            <w:tcBorders>
              <w:top w:val="single" w:color="auto" w:sz="4" w:space="0"/>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含泥量</w:t>
            </w:r>
          </w:p>
        </w:tc>
        <w:tc>
          <w:tcPr>
            <w:tcW w:w="951"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4.3.5</w:t>
            </w:r>
          </w:p>
        </w:tc>
        <w:tc>
          <w:tcPr>
            <w:tcW w:w="255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6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5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13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19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255" w:hRule="atLeast"/>
        </w:trPr>
        <w:tc>
          <w:tcPr>
            <w:tcW w:w="519"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2334" w:type="dxa"/>
            <w:gridSpan w:val="2"/>
            <w:tcBorders>
              <w:top w:val="single" w:color="auto" w:sz="4" w:space="0"/>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 xml:space="preserve">石粉含量 </w:t>
            </w:r>
          </w:p>
        </w:tc>
        <w:tc>
          <w:tcPr>
            <w:tcW w:w="951"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4.3.6</w:t>
            </w:r>
          </w:p>
        </w:tc>
        <w:tc>
          <w:tcPr>
            <w:tcW w:w="255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6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5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13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19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255" w:hRule="atLeast"/>
        </w:trPr>
        <w:tc>
          <w:tcPr>
            <w:tcW w:w="519"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2334" w:type="dxa"/>
            <w:gridSpan w:val="2"/>
            <w:tcBorders>
              <w:top w:val="single" w:color="auto" w:sz="4" w:space="0"/>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 xml:space="preserve">泥块含量 </w:t>
            </w:r>
          </w:p>
        </w:tc>
        <w:tc>
          <w:tcPr>
            <w:tcW w:w="951"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4.3.7</w:t>
            </w:r>
          </w:p>
        </w:tc>
        <w:tc>
          <w:tcPr>
            <w:tcW w:w="255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6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5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13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19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255" w:hRule="atLeast"/>
        </w:trPr>
        <w:tc>
          <w:tcPr>
            <w:tcW w:w="519"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2334" w:type="dxa"/>
            <w:gridSpan w:val="2"/>
            <w:tcBorders>
              <w:top w:val="single" w:color="auto" w:sz="4" w:space="0"/>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氯离子含量</w:t>
            </w:r>
          </w:p>
        </w:tc>
        <w:tc>
          <w:tcPr>
            <w:tcW w:w="951"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4.3.8</w:t>
            </w:r>
          </w:p>
        </w:tc>
        <w:tc>
          <w:tcPr>
            <w:tcW w:w="255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6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5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13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19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953" w:hRule="atLeast"/>
        </w:trPr>
        <w:tc>
          <w:tcPr>
            <w:tcW w:w="519" w:type="dxa"/>
            <w:vMerge w:val="restart"/>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混凝土</w:t>
            </w:r>
          </w:p>
        </w:tc>
        <w:tc>
          <w:tcPr>
            <w:tcW w:w="2334" w:type="dxa"/>
            <w:gridSpan w:val="2"/>
            <w:tcBorders>
              <w:top w:val="single" w:color="auto" w:sz="4" w:space="0"/>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立方体抗压强度（每组3件）</w:t>
            </w:r>
          </w:p>
        </w:tc>
        <w:tc>
          <w:tcPr>
            <w:tcW w:w="951"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4.7.2</w:t>
            </w:r>
          </w:p>
        </w:tc>
        <w:tc>
          <w:tcPr>
            <w:tcW w:w="2554" w:type="dxa"/>
            <w:vMerge w:val="restart"/>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每100盘但不超过100m3的同配比混凝土取样不少于1组：每一工作班拌制的同配合比混凝土取样不少于1组：同时还应考虑为检验结构或构件施工阶段混凝土强度所必需的试件组数。</w:t>
            </w:r>
          </w:p>
        </w:tc>
        <w:tc>
          <w:tcPr>
            <w:tcW w:w="6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17</w:t>
            </w:r>
          </w:p>
        </w:tc>
        <w:tc>
          <w:tcPr>
            <w:tcW w:w="65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组</w:t>
            </w:r>
          </w:p>
        </w:tc>
        <w:tc>
          <w:tcPr>
            <w:tcW w:w="113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19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953" w:hRule="atLeast"/>
        </w:trPr>
        <w:tc>
          <w:tcPr>
            <w:tcW w:w="519"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2334" w:type="dxa"/>
            <w:gridSpan w:val="2"/>
            <w:tcBorders>
              <w:top w:val="single" w:color="auto" w:sz="4" w:space="0"/>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标准养护（抗压试块</w:t>
            </w:r>
            <w:r>
              <w:rPr>
                <w:rFonts w:hint="eastAsia" w:ascii="宋体" w:hAnsi="宋体" w:cs="宋体"/>
                <w:szCs w:val="21"/>
                <w:u w:val="none" w:color="auto"/>
                <w:lang w:eastAsia="zh-CN"/>
              </w:rPr>
              <w:t>）</w:t>
            </w:r>
            <w:r>
              <w:rPr>
                <w:rFonts w:hint="eastAsia" w:ascii="宋体" w:hAnsi="宋体" w:cs="宋体"/>
                <w:szCs w:val="21"/>
                <w:u w:val="none" w:color="auto"/>
              </w:rPr>
              <w:t>（每组3件）</w:t>
            </w:r>
          </w:p>
        </w:tc>
        <w:tc>
          <w:tcPr>
            <w:tcW w:w="951"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4.7.11</w:t>
            </w:r>
          </w:p>
        </w:tc>
        <w:tc>
          <w:tcPr>
            <w:tcW w:w="255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6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17</w:t>
            </w:r>
          </w:p>
        </w:tc>
        <w:tc>
          <w:tcPr>
            <w:tcW w:w="65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组</w:t>
            </w:r>
          </w:p>
        </w:tc>
        <w:tc>
          <w:tcPr>
            <w:tcW w:w="113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19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668" w:hRule="atLeast"/>
        </w:trPr>
        <w:tc>
          <w:tcPr>
            <w:tcW w:w="519" w:type="dxa"/>
            <w:vMerge w:val="restart"/>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砂浆</w:t>
            </w:r>
          </w:p>
        </w:tc>
        <w:tc>
          <w:tcPr>
            <w:tcW w:w="2334" w:type="dxa"/>
            <w:gridSpan w:val="2"/>
            <w:tcBorders>
              <w:top w:val="single" w:color="auto" w:sz="4" w:space="0"/>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砌筑砂浆配合比设计</w:t>
            </w:r>
          </w:p>
        </w:tc>
        <w:tc>
          <w:tcPr>
            <w:tcW w:w="951"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4.8.1</w:t>
            </w:r>
          </w:p>
        </w:tc>
        <w:tc>
          <w:tcPr>
            <w:tcW w:w="255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每个强度为1组每组送样：砂子30kg、水泥20kg</w:t>
            </w:r>
          </w:p>
        </w:tc>
        <w:tc>
          <w:tcPr>
            <w:tcW w:w="6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5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个</w:t>
            </w:r>
          </w:p>
        </w:tc>
        <w:tc>
          <w:tcPr>
            <w:tcW w:w="113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19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668" w:hRule="atLeast"/>
        </w:trPr>
        <w:tc>
          <w:tcPr>
            <w:tcW w:w="519"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2334" w:type="dxa"/>
            <w:gridSpan w:val="2"/>
            <w:tcBorders>
              <w:top w:val="single" w:color="auto" w:sz="4" w:space="0"/>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抹灰砂浆配合比设计</w:t>
            </w:r>
          </w:p>
        </w:tc>
        <w:tc>
          <w:tcPr>
            <w:tcW w:w="951"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4.8.2</w:t>
            </w:r>
          </w:p>
        </w:tc>
        <w:tc>
          <w:tcPr>
            <w:tcW w:w="255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每个强度为1组每组送样：砂子30kg、水泥20kg</w:t>
            </w:r>
          </w:p>
        </w:tc>
        <w:tc>
          <w:tcPr>
            <w:tcW w:w="6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5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个</w:t>
            </w:r>
          </w:p>
        </w:tc>
        <w:tc>
          <w:tcPr>
            <w:tcW w:w="113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19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537" w:hRule="atLeast"/>
        </w:trPr>
        <w:tc>
          <w:tcPr>
            <w:tcW w:w="519"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2334" w:type="dxa"/>
            <w:gridSpan w:val="2"/>
            <w:tcBorders>
              <w:top w:val="single" w:color="auto" w:sz="4" w:space="0"/>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试块抗压强度</w:t>
            </w:r>
          </w:p>
        </w:tc>
        <w:tc>
          <w:tcPr>
            <w:tcW w:w="951"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4.8.3</w:t>
            </w:r>
          </w:p>
        </w:tc>
        <w:tc>
          <w:tcPr>
            <w:tcW w:w="2554" w:type="dxa"/>
            <w:vMerge w:val="restart"/>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砌筑砂浆按每一个台班，同一配合比，同一层砌体或250m3砌体取1组试块。</w:t>
            </w:r>
          </w:p>
        </w:tc>
        <w:tc>
          <w:tcPr>
            <w:tcW w:w="6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6</w:t>
            </w:r>
          </w:p>
        </w:tc>
        <w:tc>
          <w:tcPr>
            <w:tcW w:w="65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组</w:t>
            </w:r>
          </w:p>
        </w:tc>
        <w:tc>
          <w:tcPr>
            <w:tcW w:w="113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19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537" w:hRule="atLeast"/>
        </w:trPr>
        <w:tc>
          <w:tcPr>
            <w:tcW w:w="519"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2334" w:type="dxa"/>
            <w:gridSpan w:val="2"/>
            <w:tcBorders>
              <w:top w:val="single" w:color="auto" w:sz="4" w:space="0"/>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标准养护（每组3件）</w:t>
            </w:r>
          </w:p>
        </w:tc>
        <w:tc>
          <w:tcPr>
            <w:tcW w:w="951"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4.8.6</w:t>
            </w:r>
          </w:p>
        </w:tc>
        <w:tc>
          <w:tcPr>
            <w:tcW w:w="255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6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6</w:t>
            </w:r>
          </w:p>
        </w:tc>
        <w:tc>
          <w:tcPr>
            <w:tcW w:w="65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组</w:t>
            </w:r>
          </w:p>
        </w:tc>
        <w:tc>
          <w:tcPr>
            <w:tcW w:w="113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19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255" w:hRule="atLeast"/>
        </w:trPr>
        <w:tc>
          <w:tcPr>
            <w:tcW w:w="519" w:type="dxa"/>
            <w:vMerge w:val="restart"/>
            <w:tcBorders>
              <w:top w:val="nil"/>
              <w:left w:val="single" w:color="auto" w:sz="4" w:space="0"/>
              <w:bottom w:val="nil"/>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钢材/钢筋</w:t>
            </w:r>
          </w:p>
        </w:tc>
        <w:tc>
          <w:tcPr>
            <w:tcW w:w="1049" w:type="dxa"/>
            <w:vMerge w:val="restart"/>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钢筋原材（拉伸试验）（包括焊接）</w:t>
            </w:r>
          </w:p>
        </w:tc>
        <w:tc>
          <w:tcPr>
            <w:tcW w:w="1285"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(d≤12mm)</w:t>
            </w:r>
          </w:p>
        </w:tc>
        <w:tc>
          <w:tcPr>
            <w:tcW w:w="951" w:type="dxa"/>
            <w:vMerge w:val="restart"/>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4.14.1</w:t>
            </w:r>
          </w:p>
        </w:tc>
        <w:tc>
          <w:tcPr>
            <w:tcW w:w="2554" w:type="dxa"/>
            <w:vMerge w:val="restart"/>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以同一牌号、同一厂家、同一炉罐号、同一规格、同一进场时间的不大于60t的钢筋为一批</w:t>
            </w:r>
          </w:p>
        </w:tc>
        <w:tc>
          <w:tcPr>
            <w:tcW w:w="6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8</w:t>
            </w:r>
          </w:p>
        </w:tc>
        <w:tc>
          <w:tcPr>
            <w:tcW w:w="65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根</w:t>
            </w:r>
          </w:p>
        </w:tc>
        <w:tc>
          <w:tcPr>
            <w:tcW w:w="113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19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255" w:hRule="atLeast"/>
        </w:trPr>
        <w:tc>
          <w:tcPr>
            <w:tcW w:w="519" w:type="dxa"/>
            <w:vMerge w:val="continue"/>
            <w:tcBorders>
              <w:top w:val="nil"/>
              <w:left w:val="single" w:color="auto" w:sz="4" w:space="0"/>
              <w:bottom w:val="nil"/>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1049"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1285"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(12＜d≤20)</w:t>
            </w:r>
          </w:p>
        </w:tc>
        <w:tc>
          <w:tcPr>
            <w:tcW w:w="951"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255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6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8</w:t>
            </w:r>
          </w:p>
        </w:tc>
        <w:tc>
          <w:tcPr>
            <w:tcW w:w="65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根</w:t>
            </w:r>
          </w:p>
        </w:tc>
        <w:tc>
          <w:tcPr>
            <w:tcW w:w="113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19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255" w:hRule="atLeast"/>
        </w:trPr>
        <w:tc>
          <w:tcPr>
            <w:tcW w:w="519" w:type="dxa"/>
            <w:vMerge w:val="continue"/>
            <w:tcBorders>
              <w:top w:val="nil"/>
              <w:left w:val="single" w:color="auto" w:sz="4" w:space="0"/>
              <w:bottom w:val="nil"/>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1049" w:type="dxa"/>
            <w:vMerge w:val="restart"/>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钢筋原材（反向弯曲）</w:t>
            </w:r>
          </w:p>
        </w:tc>
        <w:tc>
          <w:tcPr>
            <w:tcW w:w="1285"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(d≤12mm)</w:t>
            </w:r>
          </w:p>
        </w:tc>
        <w:tc>
          <w:tcPr>
            <w:tcW w:w="951" w:type="dxa"/>
            <w:vMerge w:val="restart"/>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4.14.3</w:t>
            </w:r>
          </w:p>
        </w:tc>
        <w:tc>
          <w:tcPr>
            <w:tcW w:w="255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6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w:t>
            </w:r>
          </w:p>
        </w:tc>
        <w:tc>
          <w:tcPr>
            <w:tcW w:w="65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根</w:t>
            </w:r>
          </w:p>
        </w:tc>
        <w:tc>
          <w:tcPr>
            <w:tcW w:w="113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19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255" w:hRule="atLeast"/>
        </w:trPr>
        <w:tc>
          <w:tcPr>
            <w:tcW w:w="519" w:type="dxa"/>
            <w:vMerge w:val="continue"/>
            <w:tcBorders>
              <w:top w:val="nil"/>
              <w:left w:val="single" w:color="auto" w:sz="4" w:space="0"/>
              <w:bottom w:val="nil"/>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1049"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1285"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(12＜d≤20)</w:t>
            </w:r>
          </w:p>
        </w:tc>
        <w:tc>
          <w:tcPr>
            <w:tcW w:w="951"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255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6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w:t>
            </w:r>
          </w:p>
        </w:tc>
        <w:tc>
          <w:tcPr>
            <w:tcW w:w="65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根</w:t>
            </w:r>
          </w:p>
        </w:tc>
        <w:tc>
          <w:tcPr>
            <w:tcW w:w="113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19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255" w:hRule="atLeast"/>
        </w:trPr>
        <w:tc>
          <w:tcPr>
            <w:tcW w:w="519" w:type="dxa"/>
            <w:vMerge w:val="continue"/>
            <w:tcBorders>
              <w:top w:val="nil"/>
              <w:left w:val="single" w:color="auto" w:sz="4" w:space="0"/>
              <w:bottom w:val="nil"/>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1049"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尺寸或重量偏差检测</w:t>
            </w:r>
          </w:p>
        </w:tc>
        <w:tc>
          <w:tcPr>
            <w:tcW w:w="1285"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d≤20mm</w:t>
            </w:r>
          </w:p>
        </w:tc>
        <w:tc>
          <w:tcPr>
            <w:tcW w:w="951"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4.14.4</w:t>
            </w:r>
          </w:p>
        </w:tc>
        <w:tc>
          <w:tcPr>
            <w:tcW w:w="255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6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8</w:t>
            </w:r>
          </w:p>
        </w:tc>
        <w:tc>
          <w:tcPr>
            <w:tcW w:w="65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13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19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795" w:hRule="atLeast"/>
        </w:trPr>
        <w:tc>
          <w:tcPr>
            <w:tcW w:w="519" w:type="dxa"/>
            <w:vMerge w:val="continue"/>
            <w:tcBorders>
              <w:top w:val="nil"/>
              <w:left w:val="single" w:color="auto" w:sz="4" w:space="0"/>
              <w:bottom w:val="nil"/>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1049" w:type="dxa"/>
            <w:vMerge w:val="restart"/>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型钢、钢</w:t>
            </w:r>
            <w:r>
              <w:rPr>
                <w:rFonts w:hint="eastAsia" w:ascii="宋体" w:hAnsi="宋体" w:cs="宋体"/>
                <w:szCs w:val="21"/>
                <w:u w:val="none" w:color="auto"/>
              </w:rPr>
              <w:br w:type="textWrapping"/>
            </w:r>
            <w:r>
              <w:rPr>
                <w:rFonts w:hint="eastAsia" w:ascii="宋体" w:hAnsi="宋体" w:cs="宋体"/>
                <w:szCs w:val="21"/>
                <w:u w:val="none" w:color="auto"/>
              </w:rPr>
              <w:t>板、碳素</w:t>
            </w:r>
            <w:r>
              <w:rPr>
                <w:rFonts w:hint="eastAsia" w:ascii="宋体" w:hAnsi="宋体" w:cs="宋体"/>
                <w:szCs w:val="21"/>
                <w:u w:val="none" w:color="auto"/>
              </w:rPr>
              <w:br w:type="textWrapping"/>
            </w:r>
            <w:r>
              <w:rPr>
                <w:rFonts w:hint="eastAsia" w:ascii="宋体" w:hAnsi="宋体" w:cs="宋体"/>
                <w:szCs w:val="21"/>
                <w:u w:val="none" w:color="auto"/>
                <w:lang w:eastAsia="zh-CN"/>
              </w:rPr>
              <w:t>结构</w:t>
            </w:r>
            <w:r>
              <w:rPr>
                <w:rFonts w:hint="eastAsia" w:ascii="宋体" w:hAnsi="宋体" w:cs="宋体"/>
                <w:szCs w:val="21"/>
                <w:u w:val="none" w:color="auto"/>
              </w:rPr>
              <w:t>等</w:t>
            </w:r>
            <w:r>
              <w:rPr>
                <w:rFonts w:hint="eastAsia" w:ascii="宋体" w:hAnsi="宋体" w:cs="宋体"/>
                <w:szCs w:val="21"/>
                <w:u w:val="none" w:color="auto"/>
              </w:rPr>
              <w:br w:type="textWrapping"/>
            </w:r>
            <w:r>
              <w:rPr>
                <w:rFonts w:hint="eastAsia" w:ascii="宋体" w:hAnsi="宋体" w:cs="宋体"/>
                <w:szCs w:val="21"/>
                <w:u w:val="none" w:color="auto"/>
              </w:rPr>
              <w:t>工艺力学</w:t>
            </w:r>
            <w:r>
              <w:rPr>
                <w:rFonts w:hint="eastAsia" w:ascii="宋体" w:hAnsi="宋体" w:cs="宋体"/>
                <w:szCs w:val="21"/>
                <w:u w:val="none" w:color="auto"/>
              </w:rPr>
              <w:br w:type="textWrapping"/>
            </w:r>
            <w:r>
              <w:rPr>
                <w:rFonts w:hint="eastAsia" w:ascii="宋体" w:hAnsi="宋体" w:cs="宋体"/>
                <w:szCs w:val="21"/>
                <w:u w:val="none" w:color="auto"/>
              </w:rPr>
              <w:t>性能</w:t>
            </w:r>
          </w:p>
        </w:tc>
        <w:tc>
          <w:tcPr>
            <w:tcW w:w="1285" w:type="dxa"/>
            <w:tcBorders>
              <w:top w:val="nil"/>
              <w:left w:val="nil"/>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r>
              <w:rPr>
                <w:rFonts w:hint="eastAsia" w:ascii="宋体" w:hAnsi="宋体" w:cs="宋体"/>
                <w:szCs w:val="21"/>
                <w:u w:val="none" w:color="auto"/>
              </w:rPr>
              <w:t>厚度＜15mm</w:t>
            </w:r>
          </w:p>
        </w:tc>
        <w:tc>
          <w:tcPr>
            <w:tcW w:w="951" w:type="dxa"/>
            <w:vMerge w:val="restart"/>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4.14.5</w:t>
            </w:r>
          </w:p>
        </w:tc>
        <w:tc>
          <w:tcPr>
            <w:tcW w:w="2554" w:type="dxa"/>
            <w:vMerge w:val="restart"/>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同一牌号、同一炉罐号、同一尺寸的每60t为一验收批</w:t>
            </w:r>
          </w:p>
        </w:tc>
        <w:tc>
          <w:tcPr>
            <w:tcW w:w="6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2</w:t>
            </w:r>
          </w:p>
        </w:tc>
        <w:tc>
          <w:tcPr>
            <w:tcW w:w="65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组</w:t>
            </w:r>
          </w:p>
        </w:tc>
        <w:tc>
          <w:tcPr>
            <w:tcW w:w="113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19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795" w:hRule="atLeast"/>
        </w:trPr>
        <w:tc>
          <w:tcPr>
            <w:tcW w:w="519" w:type="dxa"/>
            <w:vMerge w:val="continue"/>
            <w:tcBorders>
              <w:top w:val="nil"/>
              <w:left w:val="single" w:color="auto" w:sz="4" w:space="0"/>
              <w:bottom w:val="nil"/>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1049"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1285" w:type="dxa"/>
            <w:tcBorders>
              <w:top w:val="nil"/>
              <w:left w:val="nil"/>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r>
              <w:rPr>
                <w:rFonts w:hint="eastAsia" w:ascii="宋体" w:hAnsi="宋体" w:cs="宋体"/>
                <w:szCs w:val="21"/>
                <w:u w:val="none" w:color="auto"/>
              </w:rPr>
              <w:t>15mm≤厚度＜25mm</w:t>
            </w:r>
          </w:p>
        </w:tc>
        <w:tc>
          <w:tcPr>
            <w:tcW w:w="951"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255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6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2</w:t>
            </w:r>
          </w:p>
        </w:tc>
        <w:tc>
          <w:tcPr>
            <w:tcW w:w="65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组</w:t>
            </w:r>
          </w:p>
        </w:tc>
        <w:tc>
          <w:tcPr>
            <w:tcW w:w="113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19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510" w:hRule="atLeast"/>
        </w:trPr>
        <w:tc>
          <w:tcPr>
            <w:tcW w:w="51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钢结构用螺栓</w:t>
            </w:r>
          </w:p>
        </w:tc>
        <w:tc>
          <w:tcPr>
            <w:tcW w:w="2334" w:type="dxa"/>
            <w:gridSpan w:val="2"/>
            <w:tcBorders>
              <w:top w:val="single" w:color="auto" w:sz="4" w:space="0"/>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扭矩系数</w:t>
            </w:r>
          </w:p>
        </w:tc>
        <w:tc>
          <w:tcPr>
            <w:tcW w:w="951"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4.15.1</w:t>
            </w:r>
          </w:p>
        </w:tc>
        <w:tc>
          <w:tcPr>
            <w:tcW w:w="255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按螺栓3000套为一批，每组8根</w:t>
            </w:r>
          </w:p>
        </w:tc>
        <w:tc>
          <w:tcPr>
            <w:tcW w:w="6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6</w:t>
            </w:r>
          </w:p>
        </w:tc>
        <w:tc>
          <w:tcPr>
            <w:tcW w:w="65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件</w:t>
            </w:r>
          </w:p>
        </w:tc>
        <w:tc>
          <w:tcPr>
            <w:tcW w:w="113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19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1125" w:hRule="atLeast"/>
        </w:trPr>
        <w:tc>
          <w:tcPr>
            <w:tcW w:w="51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2334" w:type="dxa"/>
            <w:gridSpan w:val="2"/>
            <w:tcBorders>
              <w:top w:val="single" w:color="auto" w:sz="4" w:space="0"/>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抗滑移系数</w:t>
            </w:r>
          </w:p>
        </w:tc>
        <w:tc>
          <w:tcPr>
            <w:tcW w:w="951"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4.15.2</w:t>
            </w:r>
          </w:p>
        </w:tc>
        <w:tc>
          <w:tcPr>
            <w:tcW w:w="255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每5万个高强螺栓的用量为一批，选择两种及两种以上的表面处理工艺时，每种处理工艺都需检验</w:t>
            </w:r>
          </w:p>
        </w:tc>
        <w:tc>
          <w:tcPr>
            <w:tcW w:w="6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6</w:t>
            </w:r>
          </w:p>
        </w:tc>
        <w:tc>
          <w:tcPr>
            <w:tcW w:w="65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组</w:t>
            </w:r>
          </w:p>
        </w:tc>
        <w:tc>
          <w:tcPr>
            <w:tcW w:w="113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19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510" w:hRule="atLeast"/>
        </w:trPr>
        <w:tc>
          <w:tcPr>
            <w:tcW w:w="51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2334" w:type="dxa"/>
            <w:gridSpan w:val="2"/>
            <w:tcBorders>
              <w:top w:val="single" w:color="auto" w:sz="4" w:space="0"/>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预拉力</w:t>
            </w:r>
          </w:p>
        </w:tc>
        <w:tc>
          <w:tcPr>
            <w:tcW w:w="951"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4.15.3</w:t>
            </w:r>
          </w:p>
        </w:tc>
        <w:tc>
          <w:tcPr>
            <w:tcW w:w="255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按螺栓3000套为一批，每组8根</w:t>
            </w:r>
          </w:p>
        </w:tc>
        <w:tc>
          <w:tcPr>
            <w:tcW w:w="6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48</w:t>
            </w:r>
          </w:p>
        </w:tc>
        <w:tc>
          <w:tcPr>
            <w:tcW w:w="65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根</w:t>
            </w:r>
          </w:p>
        </w:tc>
        <w:tc>
          <w:tcPr>
            <w:tcW w:w="113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19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255" w:hRule="atLeast"/>
        </w:trPr>
        <w:tc>
          <w:tcPr>
            <w:tcW w:w="51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1049" w:type="dxa"/>
            <w:vMerge w:val="restart"/>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最小拉力荷载</w:t>
            </w:r>
          </w:p>
        </w:tc>
        <w:tc>
          <w:tcPr>
            <w:tcW w:w="1285"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D≤M24</w:t>
            </w:r>
          </w:p>
        </w:tc>
        <w:tc>
          <w:tcPr>
            <w:tcW w:w="951" w:type="dxa"/>
            <w:vMerge w:val="restart"/>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4.15.4</w:t>
            </w:r>
          </w:p>
        </w:tc>
        <w:tc>
          <w:tcPr>
            <w:tcW w:w="2554" w:type="dxa"/>
            <w:vMerge w:val="restart"/>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60t为1批次，每种规格取2件</w:t>
            </w:r>
          </w:p>
        </w:tc>
        <w:tc>
          <w:tcPr>
            <w:tcW w:w="6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8</w:t>
            </w:r>
          </w:p>
        </w:tc>
        <w:tc>
          <w:tcPr>
            <w:tcW w:w="65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件</w:t>
            </w:r>
          </w:p>
        </w:tc>
        <w:tc>
          <w:tcPr>
            <w:tcW w:w="113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19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255" w:hRule="atLeast"/>
        </w:trPr>
        <w:tc>
          <w:tcPr>
            <w:tcW w:w="51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1049"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1285"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D＞M24</w:t>
            </w:r>
          </w:p>
        </w:tc>
        <w:tc>
          <w:tcPr>
            <w:tcW w:w="951"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255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6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w:t>
            </w:r>
          </w:p>
        </w:tc>
        <w:tc>
          <w:tcPr>
            <w:tcW w:w="65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件</w:t>
            </w:r>
          </w:p>
        </w:tc>
        <w:tc>
          <w:tcPr>
            <w:tcW w:w="113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19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255" w:hRule="atLeast"/>
        </w:trPr>
        <w:tc>
          <w:tcPr>
            <w:tcW w:w="519" w:type="dxa"/>
            <w:vMerge w:val="restart"/>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砖</w:t>
            </w:r>
          </w:p>
        </w:tc>
        <w:tc>
          <w:tcPr>
            <w:tcW w:w="2334" w:type="dxa"/>
            <w:gridSpan w:val="2"/>
            <w:tcBorders>
              <w:top w:val="single" w:color="auto" w:sz="4" w:space="0"/>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抗压强度</w:t>
            </w:r>
          </w:p>
        </w:tc>
        <w:tc>
          <w:tcPr>
            <w:tcW w:w="951"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4.17.1</w:t>
            </w:r>
          </w:p>
        </w:tc>
        <w:tc>
          <w:tcPr>
            <w:tcW w:w="2554" w:type="dxa"/>
            <w:vMerge w:val="restart"/>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在每批中随机抽取：</w:t>
            </w:r>
            <w:r>
              <w:rPr>
                <w:rFonts w:hint="eastAsia" w:ascii="宋体" w:hAnsi="宋体" w:cs="宋体"/>
                <w:szCs w:val="21"/>
                <w:u w:val="none" w:color="auto"/>
              </w:rPr>
              <w:br w:type="textWrapping"/>
            </w:r>
            <w:r>
              <w:rPr>
                <w:rFonts w:hint="eastAsia" w:ascii="宋体" w:hAnsi="宋体" w:cs="宋体"/>
                <w:szCs w:val="21"/>
                <w:u w:val="none" w:color="auto"/>
              </w:rPr>
              <w:t>以同规格、材料、强度和同一工艺生产的3.5万～15万块为一批，不足3.5万块以一批计</w:t>
            </w:r>
          </w:p>
        </w:tc>
        <w:tc>
          <w:tcPr>
            <w:tcW w:w="6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5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组</w:t>
            </w:r>
          </w:p>
        </w:tc>
        <w:tc>
          <w:tcPr>
            <w:tcW w:w="113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19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255" w:hRule="atLeast"/>
        </w:trPr>
        <w:tc>
          <w:tcPr>
            <w:tcW w:w="519"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2334" w:type="dxa"/>
            <w:gridSpan w:val="2"/>
            <w:tcBorders>
              <w:top w:val="single" w:color="auto" w:sz="4" w:space="0"/>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孔洞率</w:t>
            </w:r>
          </w:p>
        </w:tc>
        <w:tc>
          <w:tcPr>
            <w:tcW w:w="951"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4.17.2</w:t>
            </w:r>
          </w:p>
        </w:tc>
        <w:tc>
          <w:tcPr>
            <w:tcW w:w="255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6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5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组</w:t>
            </w:r>
          </w:p>
        </w:tc>
        <w:tc>
          <w:tcPr>
            <w:tcW w:w="113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19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255" w:hRule="atLeast"/>
        </w:trPr>
        <w:tc>
          <w:tcPr>
            <w:tcW w:w="519"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2334" w:type="dxa"/>
            <w:gridSpan w:val="2"/>
            <w:tcBorders>
              <w:top w:val="single" w:color="auto" w:sz="4" w:space="0"/>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规格尺寸及外观质量</w:t>
            </w:r>
          </w:p>
        </w:tc>
        <w:tc>
          <w:tcPr>
            <w:tcW w:w="951"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4.17.7</w:t>
            </w:r>
          </w:p>
        </w:tc>
        <w:tc>
          <w:tcPr>
            <w:tcW w:w="255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6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5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组</w:t>
            </w:r>
          </w:p>
        </w:tc>
        <w:tc>
          <w:tcPr>
            <w:tcW w:w="113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19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255" w:hRule="atLeast"/>
        </w:trPr>
        <w:tc>
          <w:tcPr>
            <w:tcW w:w="519" w:type="dxa"/>
            <w:vMerge w:val="restart"/>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砌体</w:t>
            </w:r>
          </w:p>
        </w:tc>
        <w:tc>
          <w:tcPr>
            <w:tcW w:w="2334" w:type="dxa"/>
            <w:gridSpan w:val="2"/>
            <w:tcBorders>
              <w:top w:val="single" w:color="auto" w:sz="4" w:space="0"/>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抗压强度</w:t>
            </w:r>
          </w:p>
        </w:tc>
        <w:tc>
          <w:tcPr>
            <w:tcW w:w="951"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4.18.1</w:t>
            </w:r>
          </w:p>
        </w:tc>
        <w:tc>
          <w:tcPr>
            <w:tcW w:w="2554" w:type="dxa"/>
            <w:vMerge w:val="restart"/>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在每批中随机抽取：</w:t>
            </w:r>
            <w:r>
              <w:rPr>
                <w:rFonts w:hint="eastAsia" w:ascii="宋体" w:hAnsi="宋体" w:cs="宋体"/>
                <w:szCs w:val="21"/>
                <w:u w:val="none" w:color="auto"/>
              </w:rPr>
              <w:br w:type="textWrapping"/>
            </w:r>
            <w:r>
              <w:rPr>
                <w:rFonts w:hint="eastAsia" w:ascii="宋体" w:hAnsi="宋体" w:cs="宋体"/>
                <w:szCs w:val="21"/>
                <w:u w:val="none" w:color="auto"/>
              </w:rPr>
              <w:t>以同规格、材料、强度和同一工艺生产的3.5万～15万块为一批，不足3.5万块以一批计</w:t>
            </w:r>
          </w:p>
        </w:tc>
        <w:tc>
          <w:tcPr>
            <w:tcW w:w="6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5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组</w:t>
            </w:r>
          </w:p>
        </w:tc>
        <w:tc>
          <w:tcPr>
            <w:tcW w:w="113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19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255" w:hRule="atLeast"/>
        </w:trPr>
        <w:tc>
          <w:tcPr>
            <w:tcW w:w="519"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2334" w:type="dxa"/>
            <w:gridSpan w:val="2"/>
            <w:tcBorders>
              <w:top w:val="single" w:color="auto" w:sz="4" w:space="0"/>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规格尺寸及外观质量</w:t>
            </w:r>
          </w:p>
        </w:tc>
        <w:tc>
          <w:tcPr>
            <w:tcW w:w="951"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4.18.3</w:t>
            </w:r>
          </w:p>
        </w:tc>
        <w:tc>
          <w:tcPr>
            <w:tcW w:w="255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6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5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组</w:t>
            </w:r>
          </w:p>
        </w:tc>
        <w:tc>
          <w:tcPr>
            <w:tcW w:w="113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19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255" w:hRule="atLeast"/>
        </w:trPr>
        <w:tc>
          <w:tcPr>
            <w:tcW w:w="519"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2334" w:type="dxa"/>
            <w:gridSpan w:val="2"/>
            <w:tcBorders>
              <w:top w:val="single" w:color="auto" w:sz="4" w:space="0"/>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空心率</w:t>
            </w:r>
          </w:p>
        </w:tc>
        <w:tc>
          <w:tcPr>
            <w:tcW w:w="951"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4.18.7</w:t>
            </w:r>
          </w:p>
        </w:tc>
        <w:tc>
          <w:tcPr>
            <w:tcW w:w="255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6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5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组</w:t>
            </w:r>
          </w:p>
        </w:tc>
        <w:tc>
          <w:tcPr>
            <w:tcW w:w="113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19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308" w:hRule="atLeast"/>
        </w:trPr>
        <w:tc>
          <w:tcPr>
            <w:tcW w:w="519" w:type="dxa"/>
            <w:vMerge w:val="restart"/>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安全网检测</w:t>
            </w:r>
          </w:p>
        </w:tc>
        <w:tc>
          <w:tcPr>
            <w:tcW w:w="2334" w:type="dxa"/>
            <w:gridSpan w:val="2"/>
            <w:tcBorders>
              <w:top w:val="single" w:color="auto" w:sz="4" w:space="0"/>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耐贯穿性</w:t>
            </w:r>
          </w:p>
        </w:tc>
        <w:tc>
          <w:tcPr>
            <w:tcW w:w="951"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12.18.6</w:t>
            </w:r>
          </w:p>
        </w:tc>
        <w:tc>
          <w:tcPr>
            <w:tcW w:w="2554" w:type="dxa"/>
            <w:vMerge w:val="restart"/>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同产品、同批号每500张抽1组，不足500张为1组</w:t>
            </w:r>
          </w:p>
        </w:tc>
        <w:tc>
          <w:tcPr>
            <w:tcW w:w="6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5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13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19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308" w:hRule="atLeast"/>
        </w:trPr>
        <w:tc>
          <w:tcPr>
            <w:tcW w:w="519"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2334" w:type="dxa"/>
            <w:gridSpan w:val="2"/>
            <w:tcBorders>
              <w:top w:val="single" w:color="auto" w:sz="4" w:space="0"/>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耐冲击性</w:t>
            </w:r>
          </w:p>
        </w:tc>
        <w:tc>
          <w:tcPr>
            <w:tcW w:w="951"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12.18.7</w:t>
            </w:r>
          </w:p>
        </w:tc>
        <w:tc>
          <w:tcPr>
            <w:tcW w:w="255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6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5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13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19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308" w:hRule="atLeast"/>
        </w:trPr>
        <w:tc>
          <w:tcPr>
            <w:tcW w:w="519"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2334" w:type="dxa"/>
            <w:gridSpan w:val="2"/>
            <w:tcBorders>
              <w:top w:val="single" w:color="auto" w:sz="4" w:space="0"/>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阻燃性能</w:t>
            </w:r>
          </w:p>
        </w:tc>
        <w:tc>
          <w:tcPr>
            <w:tcW w:w="951"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12.18.8</w:t>
            </w:r>
          </w:p>
        </w:tc>
        <w:tc>
          <w:tcPr>
            <w:tcW w:w="255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6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5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13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19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1035" w:hRule="atLeast"/>
        </w:trPr>
        <w:tc>
          <w:tcPr>
            <w:tcW w:w="519" w:type="dxa"/>
            <w:vMerge w:val="restart"/>
            <w:tcBorders>
              <w:top w:val="nil"/>
              <w:left w:val="single" w:color="auto" w:sz="4" w:space="0"/>
              <w:bottom w:val="nil"/>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岩棉板</w:t>
            </w:r>
          </w:p>
        </w:tc>
        <w:tc>
          <w:tcPr>
            <w:tcW w:w="1049" w:type="dxa"/>
            <w:vMerge w:val="restart"/>
            <w:tcBorders>
              <w:top w:val="nil"/>
              <w:left w:val="single" w:color="auto" w:sz="4" w:space="0"/>
              <w:bottom w:val="nil"/>
              <w:right w:val="single" w:color="auto" w:sz="4" w:space="0"/>
            </w:tcBorders>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保温材料</w:t>
            </w:r>
          </w:p>
        </w:tc>
        <w:tc>
          <w:tcPr>
            <w:tcW w:w="1285"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导热系数</w:t>
            </w:r>
          </w:p>
        </w:tc>
        <w:tc>
          <w:tcPr>
            <w:tcW w:w="951"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6.5.1</w:t>
            </w:r>
          </w:p>
        </w:tc>
        <w:tc>
          <w:tcPr>
            <w:tcW w:w="2554" w:type="dxa"/>
            <w:vMerge w:val="restart"/>
            <w:tcBorders>
              <w:top w:val="nil"/>
              <w:left w:val="single" w:color="auto" w:sz="4" w:space="0"/>
              <w:bottom w:val="nil"/>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同厂家，同品种产品，扣除天窗、采光顶后的屋面面积在1000m2以内时应复验1次；面积每增加1000 m2应增加复验1次。同工程项目，同施工单位且同期施工的多个单位工程，可合并计算抽检面积。取2块500㎜×500㎜×产品厚度</w:t>
            </w:r>
            <w:r>
              <w:rPr>
                <w:rFonts w:hint="eastAsia" w:ascii="宋体" w:hAnsi="宋体" w:cs="宋体"/>
                <w:szCs w:val="21"/>
                <w:u w:val="none" w:color="auto"/>
                <w:lang w:eastAsia="zh-CN"/>
              </w:rPr>
              <w:t>，</w:t>
            </w:r>
            <w:r>
              <w:rPr>
                <w:rFonts w:hint="eastAsia" w:ascii="宋体" w:hAnsi="宋体" w:cs="宋体"/>
                <w:szCs w:val="21"/>
                <w:u w:val="none" w:color="auto"/>
              </w:rPr>
              <w:t>10块100㎜×100㎜×产品厚度。</w:t>
            </w:r>
          </w:p>
        </w:tc>
        <w:tc>
          <w:tcPr>
            <w:tcW w:w="6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5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13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19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1035" w:hRule="atLeast"/>
        </w:trPr>
        <w:tc>
          <w:tcPr>
            <w:tcW w:w="519" w:type="dxa"/>
            <w:vMerge w:val="continue"/>
            <w:tcBorders>
              <w:top w:val="nil"/>
              <w:left w:val="single" w:color="auto" w:sz="4" w:space="0"/>
              <w:bottom w:val="nil"/>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1049" w:type="dxa"/>
            <w:vMerge w:val="continue"/>
            <w:tcBorders>
              <w:top w:val="nil"/>
              <w:left w:val="single" w:color="auto" w:sz="4" w:space="0"/>
              <w:bottom w:val="nil"/>
              <w:right w:val="single" w:color="auto" w:sz="4" w:space="0"/>
            </w:tcBorders>
            <w:noWrap w:val="0"/>
            <w:vAlign w:val="center"/>
          </w:tcPr>
          <w:p>
            <w:pPr>
              <w:spacing w:line="240" w:lineRule="auto"/>
              <w:ind w:firstLine="0"/>
              <w:jc w:val="left"/>
              <w:textAlignment w:val="auto"/>
              <w:rPr>
                <w:rFonts w:ascii="宋体" w:hAnsi="宋体" w:cs="宋体"/>
                <w:color w:val="auto"/>
                <w:szCs w:val="21"/>
                <w:u w:val="none" w:color="auto"/>
              </w:rPr>
            </w:pPr>
          </w:p>
        </w:tc>
        <w:tc>
          <w:tcPr>
            <w:tcW w:w="1285"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抗压强度/压缩强度</w:t>
            </w:r>
          </w:p>
        </w:tc>
        <w:tc>
          <w:tcPr>
            <w:tcW w:w="951"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6.5.3</w:t>
            </w:r>
          </w:p>
        </w:tc>
        <w:tc>
          <w:tcPr>
            <w:tcW w:w="2554" w:type="dxa"/>
            <w:vMerge w:val="continue"/>
            <w:tcBorders>
              <w:top w:val="nil"/>
              <w:left w:val="single" w:color="auto" w:sz="4" w:space="0"/>
              <w:bottom w:val="nil"/>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6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5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13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19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1035" w:hRule="atLeast"/>
        </w:trPr>
        <w:tc>
          <w:tcPr>
            <w:tcW w:w="519" w:type="dxa"/>
            <w:vMerge w:val="continue"/>
            <w:tcBorders>
              <w:top w:val="nil"/>
              <w:left w:val="single" w:color="auto" w:sz="4" w:space="0"/>
              <w:bottom w:val="nil"/>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1049" w:type="dxa"/>
            <w:vMerge w:val="continue"/>
            <w:tcBorders>
              <w:top w:val="nil"/>
              <w:left w:val="single" w:color="auto" w:sz="4" w:space="0"/>
              <w:bottom w:val="nil"/>
              <w:right w:val="single" w:color="auto" w:sz="4" w:space="0"/>
            </w:tcBorders>
            <w:noWrap w:val="0"/>
            <w:vAlign w:val="center"/>
          </w:tcPr>
          <w:p>
            <w:pPr>
              <w:spacing w:line="240" w:lineRule="auto"/>
              <w:ind w:firstLine="0"/>
              <w:jc w:val="left"/>
              <w:textAlignment w:val="auto"/>
              <w:rPr>
                <w:rFonts w:ascii="宋体" w:hAnsi="宋体" w:cs="宋体"/>
                <w:color w:val="auto"/>
                <w:szCs w:val="21"/>
                <w:u w:val="none" w:color="auto"/>
              </w:rPr>
            </w:pPr>
          </w:p>
        </w:tc>
        <w:tc>
          <w:tcPr>
            <w:tcW w:w="1285" w:type="dxa"/>
            <w:tcBorders>
              <w:top w:val="nil"/>
              <w:left w:val="nil"/>
              <w:bottom w:val="single" w:color="auto" w:sz="4" w:space="0"/>
              <w:right w:val="nil"/>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燃烧性能等级（A级）</w:t>
            </w:r>
          </w:p>
        </w:tc>
        <w:tc>
          <w:tcPr>
            <w:tcW w:w="951" w:type="dxa"/>
            <w:tcBorders>
              <w:top w:val="nil"/>
              <w:left w:val="single" w:color="auto" w:sz="4" w:space="0"/>
              <w:bottom w:val="nil"/>
              <w:right w:val="single" w:color="auto" w:sz="4" w:space="0"/>
            </w:tcBorders>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6.5.7</w:t>
            </w:r>
          </w:p>
        </w:tc>
        <w:tc>
          <w:tcPr>
            <w:tcW w:w="2554" w:type="dxa"/>
            <w:vMerge w:val="continue"/>
            <w:tcBorders>
              <w:top w:val="nil"/>
              <w:left w:val="single" w:color="auto" w:sz="4" w:space="0"/>
              <w:bottom w:val="nil"/>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6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5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13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19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409" w:hRule="atLeast"/>
        </w:trPr>
        <w:tc>
          <w:tcPr>
            <w:tcW w:w="285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费用合计（元）</w:t>
            </w:r>
          </w:p>
        </w:tc>
        <w:tc>
          <w:tcPr>
            <w:tcW w:w="7127" w:type="dxa"/>
            <w:gridSpan w:val="6"/>
            <w:tcBorders>
              <w:top w:val="single" w:color="auto" w:sz="4" w:space="0"/>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409" w:hRule="atLeast"/>
        </w:trPr>
        <w:tc>
          <w:tcPr>
            <w:tcW w:w="9980" w:type="dxa"/>
            <w:gridSpan w:val="9"/>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r>
              <w:rPr>
                <w:rFonts w:hint="eastAsia" w:ascii="宋体" w:hAnsi="宋体" w:cs="宋体"/>
                <w:szCs w:val="21"/>
                <w:u w:val="none" w:color="auto"/>
              </w:rPr>
              <w:t>注：以实际发生量为准</w:t>
            </w:r>
          </w:p>
        </w:tc>
      </w:tr>
    </w:tbl>
    <w:p>
      <w:pPr>
        <w:numPr>
          <w:ilvl w:val="0"/>
          <w:numId w:val="3"/>
        </w:numPr>
        <w:wordWrap w:val="0"/>
        <w:spacing w:line="580" w:lineRule="exact"/>
        <w:ind w:left="1418" w:hanging="567"/>
        <w:rPr>
          <w:b/>
          <w:bCs/>
          <w:color w:val="auto"/>
          <w:sz w:val="28"/>
          <w:szCs w:val="28"/>
        </w:rPr>
      </w:pPr>
      <w:r>
        <w:rPr>
          <w:rFonts w:hint="eastAsia"/>
          <w:b/>
          <w:bCs/>
          <w:color w:val="auto"/>
          <w:sz w:val="28"/>
          <w:szCs w:val="28"/>
        </w:rPr>
        <w:t xml:space="preserve">主体结构检测数量及费用  </w:t>
      </w:r>
    </w:p>
    <w:tbl>
      <w:tblPr>
        <w:tblStyle w:val="22"/>
        <w:tblW w:w="9402" w:type="dxa"/>
        <w:jc w:val="center"/>
        <w:tblLayout w:type="autofit"/>
        <w:tblCellMar>
          <w:top w:w="0" w:type="dxa"/>
          <w:left w:w="108" w:type="dxa"/>
          <w:bottom w:w="0" w:type="dxa"/>
          <w:right w:w="108" w:type="dxa"/>
        </w:tblCellMar>
      </w:tblPr>
      <w:tblGrid>
        <w:gridCol w:w="1296"/>
        <w:gridCol w:w="846"/>
        <w:gridCol w:w="3748"/>
        <w:gridCol w:w="798"/>
        <w:gridCol w:w="602"/>
        <w:gridCol w:w="905"/>
        <w:gridCol w:w="1207"/>
      </w:tblGrid>
      <w:tr>
        <w:tblPrEx>
          <w:tblCellMar>
            <w:top w:w="0" w:type="dxa"/>
            <w:left w:w="108" w:type="dxa"/>
            <w:bottom w:w="0" w:type="dxa"/>
            <w:right w:w="108" w:type="dxa"/>
          </w:tblCellMar>
        </w:tblPrEx>
        <w:trPr>
          <w:trHeight w:val="370" w:hRule="atLeast"/>
          <w:jc w:val="center"/>
        </w:trPr>
        <w:tc>
          <w:tcPr>
            <w:tcW w:w="9402" w:type="dxa"/>
            <w:gridSpan w:val="7"/>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主体结构检测数量及费用表</w:t>
            </w:r>
          </w:p>
        </w:tc>
      </w:tr>
      <w:tr>
        <w:tblPrEx>
          <w:tblCellMar>
            <w:top w:w="0" w:type="dxa"/>
            <w:left w:w="108" w:type="dxa"/>
            <w:bottom w:w="0" w:type="dxa"/>
            <w:right w:w="108" w:type="dxa"/>
          </w:tblCellMar>
        </w:tblPrEx>
        <w:trPr>
          <w:trHeight w:val="361" w:hRule="atLeast"/>
          <w:jc w:val="center"/>
        </w:trPr>
        <w:tc>
          <w:tcPr>
            <w:tcW w:w="1296" w:type="dxa"/>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检测项目</w:t>
            </w:r>
          </w:p>
        </w:tc>
        <w:tc>
          <w:tcPr>
            <w:tcW w:w="833"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检测项目序号</w:t>
            </w:r>
          </w:p>
        </w:tc>
        <w:tc>
          <w:tcPr>
            <w:tcW w:w="3761"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抽样规则</w:t>
            </w:r>
          </w:p>
        </w:tc>
        <w:tc>
          <w:tcPr>
            <w:tcW w:w="79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试验数量</w:t>
            </w:r>
          </w:p>
        </w:tc>
        <w:tc>
          <w:tcPr>
            <w:tcW w:w="602"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单位</w:t>
            </w:r>
          </w:p>
        </w:tc>
        <w:tc>
          <w:tcPr>
            <w:tcW w:w="905"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单价（元）</w:t>
            </w:r>
          </w:p>
        </w:tc>
        <w:tc>
          <w:tcPr>
            <w:tcW w:w="1207"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小计（元）</w:t>
            </w:r>
          </w:p>
        </w:tc>
      </w:tr>
      <w:tr>
        <w:tblPrEx>
          <w:tblCellMar>
            <w:top w:w="0" w:type="dxa"/>
            <w:left w:w="108" w:type="dxa"/>
            <w:bottom w:w="0" w:type="dxa"/>
            <w:right w:w="108" w:type="dxa"/>
          </w:tblCellMar>
        </w:tblPrEx>
        <w:trPr>
          <w:trHeight w:val="274" w:hRule="atLeast"/>
          <w:jc w:val="center"/>
        </w:trPr>
        <w:tc>
          <w:tcPr>
            <w:tcW w:w="1296" w:type="dxa"/>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抹灰砂浆粘结强度</w:t>
            </w:r>
          </w:p>
        </w:tc>
        <w:tc>
          <w:tcPr>
            <w:tcW w:w="833"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2.12.1</w:t>
            </w:r>
          </w:p>
        </w:tc>
        <w:tc>
          <w:tcPr>
            <w:tcW w:w="3761"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抹灰拉伸粘结强度检测时，相同的砂浆品种，强度等级，施工工艺的外墙、顶棚抹灰工程每5000㎡（抹灰面积）应为一个检验批，每个检验批应取一组试件进行检测，不足5000㎡的也应取一组。每组7个测点。</w:t>
            </w:r>
          </w:p>
        </w:tc>
        <w:tc>
          <w:tcPr>
            <w:tcW w:w="79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7</w:t>
            </w:r>
          </w:p>
        </w:tc>
        <w:tc>
          <w:tcPr>
            <w:tcW w:w="602"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测点</w:t>
            </w:r>
          </w:p>
        </w:tc>
        <w:tc>
          <w:tcPr>
            <w:tcW w:w="905"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207"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422" w:hRule="atLeast"/>
          <w:jc w:val="center"/>
        </w:trPr>
        <w:tc>
          <w:tcPr>
            <w:tcW w:w="2129" w:type="dxa"/>
            <w:gridSpan w:val="2"/>
            <w:tcBorders>
              <w:top w:val="single" w:color="auto" w:sz="4" w:space="0"/>
              <w:left w:val="single" w:color="auto" w:sz="4" w:space="0"/>
              <w:bottom w:val="single" w:color="auto" w:sz="4" w:space="0"/>
              <w:right w:val="single" w:color="000000"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费用合计（元）</w:t>
            </w:r>
          </w:p>
        </w:tc>
        <w:tc>
          <w:tcPr>
            <w:tcW w:w="7273" w:type="dxa"/>
            <w:gridSpan w:val="5"/>
            <w:tcBorders>
              <w:top w:val="single" w:color="auto" w:sz="4" w:space="0"/>
              <w:left w:val="nil"/>
              <w:bottom w:val="single" w:color="auto" w:sz="4" w:space="0"/>
              <w:right w:val="single" w:color="000000"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422" w:hRule="atLeast"/>
          <w:jc w:val="center"/>
        </w:trPr>
        <w:tc>
          <w:tcPr>
            <w:tcW w:w="9402" w:type="dxa"/>
            <w:gridSpan w:val="7"/>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jc w:val="left"/>
              <w:textAlignment w:val="auto"/>
              <w:rPr>
                <w:rFonts w:ascii="宋体" w:hAnsi="宋体" w:cs="宋体"/>
                <w:color w:val="auto"/>
                <w:szCs w:val="21"/>
                <w:u w:val="none" w:color="auto"/>
              </w:rPr>
            </w:pPr>
            <w:r>
              <w:rPr>
                <w:rFonts w:hint="eastAsia" w:ascii="宋体" w:hAnsi="宋体" w:cs="宋体"/>
                <w:color w:val="auto"/>
                <w:szCs w:val="21"/>
                <w:u w:val="none" w:color="auto"/>
              </w:rPr>
              <w:t>注：以实际发生量为准。</w:t>
            </w:r>
          </w:p>
        </w:tc>
      </w:tr>
    </w:tbl>
    <w:p>
      <w:pPr>
        <w:numPr>
          <w:ilvl w:val="0"/>
          <w:numId w:val="3"/>
        </w:numPr>
        <w:wordWrap w:val="0"/>
        <w:spacing w:line="580" w:lineRule="exact"/>
        <w:ind w:left="1418" w:hanging="567"/>
        <w:rPr>
          <w:b/>
          <w:bCs/>
          <w:color w:val="auto"/>
          <w:sz w:val="28"/>
          <w:szCs w:val="28"/>
        </w:rPr>
      </w:pPr>
      <w:r>
        <w:rPr>
          <w:rFonts w:hint="eastAsia"/>
          <w:b/>
          <w:bCs/>
          <w:color w:val="auto"/>
          <w:sz w:val="28"/>
          <w:szCs w:val="28"/>
        </w:rPr>
        <w:t xml:space="preserve">建筑物附属工程检测数量及费用  </w:t>
      </w:r>
    </w:p>
    <w:tbl>
      <w:tblPr>
        <w:tblStyle w:val="22"/>
        <w:tblW w:w="9300" w:type="dxa"/>
        <w:jc w:val="center"/>
        <w:tblLayout w:type="autofit"/>
        <w:tblCellMar>
          <w:top w:w="0" w:type="dxa"/>
          <w:left w:w="108" w:type="dxa"/>
          <w:bottom w:w="0" w:type="dxa"/>
          <w:right w:w="108" w:type="dxa"/>
        </w:tblCellMar>
      </w:tblPr>
      <w:tblGrid>
        <w:gridCol w:w="780"/>
        <w:gridCol w:w="860"/>
        <w:gridCol w:w="1120"/>
        <w:gridCol w:w="1180"/>
        <w:gridCol w:w="1020"/>
        <w:gridCol w:w="1040"/>
        <w:gridCol w:w="920"/>
        <w:gridCol w:w="1020"/>
        <w:gridCol w:w="1360"/>
      </w:tblGrid>
      <w:tr>
        <w:tblPrEx>
          <w:tblCellMar>
            <w:top w:w="0" w:type="dxa"/>
            <w:left w:w="108" w:type="dxa"/>
            <w:bottom w:w="0" w:type="dxa"/>
            <w:right w:w="108" w:type="dxa"/>
          </w:tblCellMar>
        </w:tblPrEx>
        <w:trPr>
          <w:trHeight w:val="477" w:hRule="atLeast"/>
          <w:jc w:val="center"/>
        </w:trPr>
        <w:tc>
          <w:tcPr>
            <w:tcW w:w="9300" w:type="dxa"/>
            <w:gridSpan w:val="9"/>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建筑物附属工程检测数量及费用表</w:t>
            </w:r>
          </w:p>
        </w:tc>
      </w:tr>
      <w:tr>
        <w:tblPrEx>
          <w:tblCellMar>
            <w:top w:w="0" w:type="dxa"/>
            <w:left w:w="108" w:type="dxa"/>
            <w:bottom w:w="0" w:type="dxa"/>
            <w:right w:w="108" w:type="dxa"/>
          </w:tblCellMar>
        </w:tblPrEx>
        <w:trPr>
          <w:trHeight w:val="570" w:hRule="atLeast"/>
          <w:jc w:val="center"/>
        </w:trPr>
        <w:tc>
          <w:tcPr>
            <w:tcW w:w="780" w:type="dxa"/>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检测项目</w:t>
            </w:r>
          </w:p>
        </w:tc>
        <w:tc>
          <w:tcPr>
            <w:tcW w:w="86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检测项目序号</w:t>
            </w:r>
          </w:p>
        </w:tc>
        <w:tc>
          <w:tcPr>
            <w:tcW w:w="112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抽样规则</w:t>
            </w:r>
          </w:p>
        </w:tc>
        <w:tc>
          <w:tcPr>
            <w:tcW w:w="118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单体名称</w:t>
            </w:r>
          </w:p>
        </w:tc>
        <w:tc>
          <w:tcPr>
            <w:tcW w:w="102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建筑面积（㎡）</w:t>
            </w:r>
          </w:p>
        </w:tc>
        <w:tc>
          <w:tcPr>
            <w:tcW w:w="104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试验数量</w:t>
            </w:r>
          </w:p>
        </w:tc>
        <w:tc>
          <w:tcPr>
            <w:tcW w:w="92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单位</w:t>
            </w:r>
          </w:p>
        </w:tc>
        <w:tc>
          <w:tcPr>
            <w:tcW w:w="102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单价（元）</w:t>
            </w:r>
          </w:p>
        </w:tc>
        <w:tc>
          <w:tcPr>
            <w:tcW w:w="136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小计（元）</w:t>
            </w:r>
          </w:p>
        </w:tc>
      </w:tr>
      <w:tr>
        <w:tblPrEx>
          <w:tblCellMar>
            <w:top w:w="0" w:type="dxa"/>
            <w:left w:w="108" w:type="dxa"/>
            <w:bottom w:w="0" w:type="dxa"/>
            <w:right w:w="108" w:type="dxa"/>
          </w:tblCellMar>
        </w:tblPrEx>
        <w:trPr>
          <w:trHeight w:val="1125" w:hRule="atLeast"/>
          <w:jc w:val="center"/>
        </w:trPr>
        <w:tc>
          <w:tcPr>
            <w:tcW w:w="780" w:type="dxa"/>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建筑给排水管道水压</w:t>
            </w:r>
          </w:p>
        </w:tc>
        <w:tc>
          <w:tcPr>
            <w:tcW w:w="86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7.1.1</w:t>
            </w:r>
          </w:p>
        </w:tc>
        <w:tc>
          <w:tcPr>
            <w:tcW w:w="112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计费按建筑面积计，每个单体2500元起</w:t>
            </w:r>
          </w:p>
        </w:tc>
        <w:tc>
          <w:tcPr>
            <w:tcW w:w="1180" w:type="dxa"/>
            <w:vMerge w:val="restart"/>
            <w:tcBorders>
              <w:top w:val="nil"/>
              <w:left w:val="single" w:color="auto" w:sz="4" w:space="0"/>
              <w:bottom w:val="single" w:color="000000"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广西自贸区产融城市运营管理有限公司新建汽车修理厂厂房项目</w:t>
            </w:r>
          </w:p>
        </w:tc>
        <w:tc>
          <w:tcPr>
            <w:tcW w:w="102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569</w:t>
            </w:r>
          </w:p>
        </w:tc>
        <w:tc>
          <w:tcPr>
            <w:tcW w:w="104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92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个</w:t>
            </w:r>
          </w:p>
        </w:tc>
        <w:tc>
          <w:tcPr>
            <w:tcW w:w="102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36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1125" w:hRule="atLeast"/>
          <w:jc w:val="center"/>
        </w:trPr>
        <w:tc>
          <w:tcPr>
            <w:tcW w:w="780" w:type="dxa"/>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建筑接地电阻</w:t>
            </w:r>
          </w:p>
        </w:tc>
        <w:tc>
          <w:tcPr>
            <w:tcW w:w="86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7.2.1</w:t>
            </w:r>
          </w:p>
        </w:tc>
        <w:tc>
          <w:tcPr>
            <w:tcW w:w="112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计费按建筑面积计，每个单体2500元起</w:t>
            </w:r>
          </w:p>
        </w:tc>
        <w:tc>
          <w:tcPr>
            <w:tcW w:w="1180" w:type="dxa"/>
            <w:vMerge w:val="continue"/>
            <w:tcBorders>
              <w:top w:val="nil"/>
              <w:left w:val="single" w:color="auto" w:sz="4" w:space="0"/>
              <w:bottom w:val="single" w:color="000000"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102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569</w:t>
            </w:r>
          </w:p>
        </w:tc>
        <w:tc>
          <w:tcPr>
            <w:tcW w:w="104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92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个</w:t>
            </w:r>
          </w:p>
        </w:tc>
        <w:tc>
          <w:tcPr>
            <w:tcW w:w="102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36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1125" w:hRule="atLeast"/>
          <w:jc w:val="center"/>
        </w:trPr>
        <w:tc>
          <w:tcPr>
            <w:tcW w:w="780" w:type="dxa"/>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建筑绝缘电阻</w:t>
            </w:r>
          </w:p>
        </w:tc>
        <w:tc>
          <w:tcPr>
            <w:tcW w:w="86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7.2.2</w:t>
            </w:r>
          </w:p>
        </w:tc>
        <w:tc>
          <w:tcPr>
            <w:tcW w:w="112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计费按建筑面积计，每个单体2500元起</w:t>
            </w:r>
          </w:p>
        </w:tc>
        <w:tc>
          <w:tcPr>
            <w:tcW w:w="1180" w:type="dxa"/>
            <w:vMerge w:val="continue"/>
            <w:tcBorders>
              <w:top w:val="nil"/>
              <w:left w:val="single" w:color="auto" w:sz="4" w:space="0"/>
              <w:bottom w:val="single" w:color="000000"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102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569</w:t>
            </w:r>
          </w:p>
        </w:tc>
        <w:tc>
          <w:tcPr>
            <w:tcW w:w="104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92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个</w:t>
            </w:r>
          </w:p>
        </w:tc>
        <w:tc>
          <w:tcPr>
            <w:tcW w:w="102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36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1170" w:hRule="atLeast"/>
          <w:jc w:val="center"/>
        </w:trPr>
        <w:tc>
          <w:tcPr>
            <w:tcW w:w="780" w:type="dxa"/>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三类防雷</w:t>
            </w:r>
          </w:p>
        </w:tc>
        <w:tc>
          <w:tcPr>
            <w:tcW w:w="86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7.3.1</w:t>
            </w:r>
          </w:p>
        </w:tc>
        <w:tc>
          <w:tcPr>
            <w:tcW w:w="112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计费按建筑面积计，每个单体3000元起</w:t>
            </w:r>
          </w:p>
        </w:tc>
        <w:tc>
          <w:tcPr>
            <w:tcW w:w="1180" w:type="dxa"/>
            <w:vMerge w:val="continue"/>
            <w:tcBorders>
              <w:top w:val="nil"/>
              <w:left w:val="single" w:color="auto" w:sz="4" w:space="0"/>
              <w:bottom w:val="single" w:color="000000"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102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569</w:t>
            </w:r>
          </w:p>
        </w:tc>
        <w:tc>
          <w:tcPr>
            <w:tcW w:w="104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92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个</w:t>
            </w:r>
          </w:p>
        </w:tc>
        <w:tc>
          <w:tcPr>
            <w:tcW w:w="102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36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529" w:hRule="atLeast"/>
          <w:jc w:val="center"/>
        </w:trPr>
        <w:tc>
          <w:tcPr>
            <w:tcW w:w="1640" w:type="dxa"/>
            <w:gridSpan w:val="2"/>
            <w:tcBorders>
              <w:top w:val="single" w:color="auto" w:sz="4" w:space="0"/>
              <w:left w:val="single" w:color="auto" w:sz="4" w:space="0"/>
              <w:bottom w:val="single" w:color="auto" w:sz="4" w:space="0"/>
              <w:right w:val="single" w:color="000000"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费用合计（元）</w:t>
            </w:r>
          </w:p>
        </w:tc>
        <w:tc>
          <w:tcPr>
            <w:tcW w:w="7660" w:type="dxa"/>
            <w:gridSpan w:val="7"/>
            <w:tcBorders>
              <w:top w:val="single" w:color="auto" w:sz="4" w:space="0"/>
              <w:left w:val="nil"/>
              <w:bottom w:val="single" w:color="auto" w:sz="4" w:space="0"/>
              <w:right w:val="single" w:color="000000"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364" w:hRule="atLeast"/>
          <w:jc w:val="center"/>
        </w:trPr>
        <w:tc>
          <w:tcPr>
            <w:tcW w:w="9300" w:type="dxa"/>
            <w:gridSpan w:val="9"/>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jc w:val="left"/>
              <w:textAlignment w:val="auto"/>
              <w:rPr>
                <w:rFonts w:ascii="宋体" w:hAnsi="宋体" w:cs="宋体"/>
                <w:color w:val="auto"/>
                <w:szCs w:val="21"/>
                <w:u w:val="none" w:color="auto"/>
              </w:rPr>
            </w:pPr>
            <w:r>
              <w:rPr>
                <w:rFonts w:hint="eastAsia" w:ascii="宋体" w:hAnsi="宋体" w:cs="宋体"/>
                <w:color w:val="auto"/>
                <w:szCs w:val="21"/>
                <w:u w:val="none" w:color="auto"/>
              </w:rPr>
              <w:t>注：以实际发生量为准。</w:t>
            </w:r>
          </w:p>
        </w:tc>
      </w:tr>
    </w:tbl>
    <w:p>
      <w:pPr>
        <w:numPr>
          <w:ilvl w:val="0"/>
          <w:numId w:val="3"/>
        </w:numPr>
        <w:wordWrap w:val="0"/>
        <w:spacing w:line="580" w:lineRule="exact"/>
        <w:ind w:left="1418" w:hanging="567"/>
        <w:rPr>
          <w:b/>
          <w:bCs/>
          <w:color w:val="auto"/>
          <w:sz w:val="28"/>
          <w:szCs w:val="28"/>
        </w:rPr>
      </w:pPr>
      <w:r>
        <w:rPr>
          <w:rFonts w:hint="eastAsia"/>
          <w:b/>
          <w:bCs/>
          <w:color w:val="auto"/>
          <w:sz w:val="28"/>
          <w:szCs w:val="28"/>
        </w:rPr>
        <w:t xml:space="preserve">钢结构检测数量及费用  </w:t>
      </w:r>
    </w:p>
    <w:tbl>
      <w:tblPr>
        <w:tblStyle w:val="22"/>
        <w:tblW w:w="9098" w:type="dxa"/>
        <w:jc w:val="center"/>
        <w:tblLayout w:type="autofit"/>
        <w:tblCellMar>
          <w:top w:w="0" w:type="dxa"/>
          <w:left w:w="108" w:type="dxa"/>
          <w:bottom w:w="0" w:type="dxa"/>
          <w:right w:w="108" w:type="dxa"/>
        </w:tblCellMar>
      </w:tblPr>
      <w:tblGrid>
        <w:gridCol w:w="2190"/>
        <w:gridCol w:w="1095"/>
        <w:gridCol w:w="2309"/>
        <w:gridCol w:w="717"/>
        <w:gridCol w:w="597"/>
        <w:gridCol w:w="1075"/>
        <w:gridCol w:w="1115"/>
      </w:tblGrid>
      <w:tr>
        <w:tblPrEx>
          <w:tblCellMar>
            <w:top w:w="0" w:type="dxa"/>
            <w:left w:w="108" w:type="dxa"/>
            <w:bottom w:w="0" w:type="dxa"/>
            <w:right w:w="108" w:type="dxa"/>
          </w:tblCellMar>
        </w:tblPrEx>
        <w:trPr>
          <w:trHeight w:val="544" w:hRule="atLeast"/>
          <w:jc w:val="center"/>
        </w:trPr>
        <w:tc>
          <w:tcPr>
            <w:tcW w:w="9098" w:type="dxa"/>
            <w:gridSpan w:val="7"/>
            <w:tcBorders>
              <w:top w:val="single" w:color="auto" w:sz="4" w:space="0"/>
              <w:left w:val="single" w:color="auto" w:sz="4" w:space="0"/>
              <w:bottom w:val="single" w:color="auto" w:sz="4" w:space="0"/>
              <w:right w:val="single" w:color="000000" w:sz="4" w:space="0"/>
            </w:tcBorders>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钢结构检测数量及费用表</w:t>
            </w:r>
          </w:p>
        </w:tc>
      </w:tr>
      <w:tr>
        <w:tblPrEx>
          <w:tblCellMar>
            <w:top w:w="0" w:type="dxa"/>
            <w:left w:w="108" w:type="dxa"/>
            <w:bottom w:w="0" w:type="dxa"/>
            <w:right w:w="108" w:type="dxa"/>
          </w:tblCellMar>
        </w:tblPrEx>
        <w:trPr>
          <w:trHeight w:val="814" w:hRule="atLeast"/>
          <w:jc w:val="center"/>
        </w:trPr>
        <w:tc>
          <w:tcPr>
            <w:tcW w:w="219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检测项目</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检测项目序号</w:t>
            </w:r>
          </w:p>
        </w:tc>
        <w:tc>
          <w:tcPr>
            <w:tcW w:w="2309"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抽样规则</w:t>
            </w:r>
          </w:p>
        </w:tc>
        <w:tc>
          <w:tcPr>
            <w:tcW w:w="717"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试验数量</w:t>
            </w:r>
          </w:p>
        </w:tc>
        <w:tc>
          <w:tcPr>
            <w:tcW w:w="597"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单位</w:t>
            </w:r>
          </w:p>
        </w:tc>
        <w:tc>
          <w:tcPr>
            <w:tcW w:w="1075"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单价（元）</w:t>
            </w:r>
          </w:p>
        </w:tc>
        <w:tc>
          <w:tcPr>
            <w:tcW w:w="1115"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小计（元）</w:t>
            </w:r>
          </w:p>
        </w:tc>
      </w:tr>
      <w:tr>
        <w:tblPrEx>
          <w:tblCellMar>
            <w:top w:w="0" w:type="dxa"/>
            <w:left w:w="108" w:type="dxa"/>
            <w:bottom w:w="0" w:type="dxa"/>
            <w:right w:w="108" w:type="dxa"/>
          </w:tblCellMar>
        </w:tblPrEx>
        <w:trPr>
          <w:trHeight w:val="3115" w:hRule="atLeast"/>
          <w:jc w:val="center"/>
        </w:trPr>
        <w:tc>
          <w:tcPr>
            <w:tcW w:w="2190" w:type="dxa"/>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A型超声波检测焊</w:t>
            </w:r>
            <w:r>
              <w:rPr>
                <w:rFonts w:hint="eastAsia" w:ascii="宋体" w:hAnsi="宋体" w:cs="宋体"/>
                <w:szCs w:val="21"/>
                <w:u w:val="none" w:color="auto"/>
              </w:rPr>
              <w:br w:type="textWrapping"/>
            </w:r>
            <w:r>
              <w:rPr>
                <w:rFonts w:hint="eastAsia" w:ascii="宋体" w:hAnsi="宋体" w:cs="宋体"/>
                <w:szCs w:val="21"/>
                <w:u w:val="none" w:color="auto"/>
              </w:rPr>
              <w:t>缝质量</w:t>
            </w:r>
          </w:p>
        </w:tc>
        <w:tc>
          <w:tcPr>
            <w:tcW w:w="1095"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2.16.1</w:t>
            </w:r>
          </w:p>
        </w:tc>
        <w:tc>
          <w:tcPr>
            <w:tcW w:w="2309"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焊缝质量等级为一级的焊缝，评定等级为II，检验等级为B级，探伤比例为100%；焊缝质量等级为二级的焊缝，评定等级为III，检验等级为B级，探伤比例为20%。每条不超过1米按1米算，单次检测总费用3000元起。</w:t>
            </w:r>
          </w:p>
        </w:tc>
        <w:tc>
          <w:tcPr>
            <w:tcW w:w="717"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8</w:t>
            </w:r>
          </w:p>
        </w:tc>
        <w:tc>
          <w:tcPr>
            <w:tcW w:w="597" w:type="dxa"/>
            <w:tcBorders>
              <w:top w:val="nil"/>
              <w:left w:val="nil"/>
              <w:bottom w:val="nil"/>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m</w:t>
            </w:r>
          </w:p>
        </w:tc>
        <w:tc>
          <w:tcPr>
            <w:tcW w:w="1075" w:type="dxa"/>
            <w:tcBorders>
              <w:top w:val="nil"/>
              <w:left w:val="nil"/>
              <w:bottom w:val="nil"/>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115"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997" w:hRule="atLeast"/>
          <w:jc w:val="center"/>
        </w:trPr>
        <w:tc>
          <w:tcPr>
            <w:tcW w:w="2190" w:type="dxa"/>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防腐涂层厚度</w:t>
            </w:r>
          </w:p>
        </w:tc>
        <w:tc>
          <w:tcPr>
            <w:tcW w:w="1095"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2.16.11</w:t>
            </w:r>
          </w:p>
        </w:tc>
        <w:tc>
          <w:tcPr>
            <w:tcW w:w="2309"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按构件数抽查10%，且同类构件不应少于3件。</w:t>
            </w:r>
          </w:p>
        </w:tc>
        <w:tc>
          <w:tcPr>
            <w:tcW w:w="717"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22</w:t>
            </w:r>
          </w:p>
        </w:tc>
        <w:tc>
          <w:tcPr>
            <w:tcW w:w="597" w:type="dxa"/>
            <w:tcBorders>
              <w:top w:val="single" w:color="auto" w:sz="4" w:space="0"/>
              <w:left w:val="nil"/>
              <w:bottom w:val="nil"/>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构件</w:t>
            </w:r>
          </w:p>
        </w:tc>
        <w:tc>
          <w:tcPr>
            <w:tcW w:w="1075" w:type="dxa"/>
            <w:tcBorders>
              <w:top w:val="single" w:color="auto" w:sz="4" w:space="0"/>
              <w:left w:val="nil"/>
              <w:bottom w:val="nil"/>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115"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1977" w:hRule="atLeast"/>
          <w:jc w:val="center"/>
        </w:trPr>
        <w:tc>
          <w:tcPr>
            <w:tcW w:w="2190" w:type="dxa"/>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防火涂层厚度</w:t>
            </w:r>
          </w:p>
        </w:tc>
        <w:tc>
          <w:tcPr>
            <w:tcW w:w="1095"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2.16.12</w:t>
            </w:r>
          </w:p>
        </w:tc>
        <w:tc>
          <w:tcPr>
            <w:tcW w:w="2309"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按同类构件数抽查10%，且均不应少于3件。柱的每个构件暂按3个截面计算，梁的每个构件暂按2个截面计算。</w:t>
            </w:r>
          </w:p>
        </w:tc>
        <w:tc>
          <w:tcPr>
            <w:tcW w:w="717"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22</w:t>
            </w:r>
          </w:p>
        </w:tc>
        <w:tc>
          <w:tcPr>
            <w:tcW w:w="597" w:type="dxa"/>
            <w:tcBorders>
              <w:top w:val="single" w:color="auto" w:sz="4" w:space="0"/>
              <w:left w:val="nil"/>
              <w:bottom w:val="nil"/>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截面</w:t>
            </w:r>
          </w:p>
        </w:tc>
        <w:tc>
          <w:tcPr>
            <w:tcW w:w="1075" w:type="dxa"/>
            <w:tcBorders>
              <w:top w:val="single" w:color="auto" w:sz="4" w:space="0"/>
              <w:left w:val="nil"/>
              <w:bottom w:val="nil"/>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115"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294" w:hRule="atLeast"/>
          <w:jc w:val="center"/>
        </w:trPr>
        <w:tc>
          <w:tcPr>
            <w:tcW w:w="2190" w:type="dxa"/>
            <w:tcBorders>
              <w:top w:val="nil"/>
              <w:left w:val="single" w:color="auto" w:sz="4" w:space="0"/>
              <w:bottom w:val="single" w:color="auto" w:sz="4" w:space="0"/>
              <w:right w:val="nil"/>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费用合计（元）</w:t>
            </w:r>
          </w:p>
        </w:tc>
        <w:tc>
          <w:tcPr>
            <w:tcW w:w="6908" w:type="dxa"/>
            <w:gridSpan w:val="6"/>
            <w:tcBorders>
              <w:top w:val="single" w:color="auto" w:sz="4" w:space="0"/>
              <w:left w:val="single" w:color="auto" w:sz="4" w:space="0"/>
              <w:bottom w:val="single" w:color="auto" w:sz="4" w:space="0"/>
              <w:right w:val="single" w:color="000000"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402" w:hRule="atLeast"/>
          <w:jc w:val="center"/>
        </w:trPr>
        <w:tc>
          <w:tcPr>
            <w:tcW w:w="9098" w:type="dxa"/>
            <w:gridSpan w:val="7"/>
            <w:tcBorders>
              <w:top w:val="single" w:color="auto" w:sz="4" w:space="0"/>
              <w:left w:val="single" w:color="auto" w:sz="4" w:space="0"/>
              <w:bottom w:val="single" w:color="auto" w:sz="4" w:space="0"/>
              <w:right w:val="single" w:color="000000" w:sz="4" w:space="0"/>
            </w:tcBorders>
            <w:noWrap/>
            <w:vAlign w:val="center"/>
          </w:tcPr>
          <w:p>
            <w:pPr>
              <w:spacing w:line="240" w:lineRule="auto"/>
              <w:ind w:firstLine="0"/>
              <w:jc w:val="left"/>
              <w:textAlignment w:val="auto"/>
              <w:rPr>
                <w:rFonts w:ascii="宋体" w:hAnsi="宋体" w:cs="宋体"/>
                <w:color w:val="auto"/>
                <w:szCs w:val="21"/>
                <w:u w:val="none" w:color="auto"/>
              </w:rPr>
            </w:pPr>
            <w:r>
              <w:rPr>
                <w:rFonts w:hint="eastAsia" w:ascii="宋体" w:hAnsi="宋体" w:cs="宋体"/>
                <w:color w:val="auto"/>
                <w:szCs w:val="21"/>
                <w:u w:val="none" w:color="auto"/>
              </w:rPr>
              <w:t>注：以实际发生量为准。</w:t>
            </w:r>
          </w:p>
        </w:tc>
      </w:tr>
    </w:tbl>
    <w:p>
      <w:pPr>
        <w:numPr>
          <w:ilvl w:val="0"/>
          <w:numId w:val="3"/>
        </w:numPr>
        <w:wordWrap w:val="0"/>
        <w:spacing w:line="580" w:lineRule="exact"/>
        <w:ind w:left="1418" w:hanging="567"/>
        <w:rPr>
          <w:b/>
          <w:bCs/>
          <w:color w:val="auto"/>
          <w:sz w:val="28"/>
          <w:szCs w:val="28"/>
        </w:rPr>
      </w:pPr>
      <w:r>
        <w:rPr>
          <w:rFonts w:hint="eastAsia"/>
          <w:b/>
          <w:bCs/>
          <w:color w:val="auto"/>
          <w:sz w:val="28"/>
          <w:szCs w:val="28"/>
        </w:rPr>
        <w:t>消防查验数量及费用</w:t>
      </w:r>
    </w:p>
    <w:tbl>
      <w:tblPr>
        <w:tblStyle w:val="22"/>
        <w:tblW w:w="9245" w:type="dxa"/>
        <w:jc w:val="center"/>
        <w:tblLayout w:type="autofit"/>
        <w:tblCellMar>
          <w:top w:w="0" w:type="dxa"/>
          <w:left w:w="108" w:type="dxa"/>
          <w:bottom w:w="0" w:type="dxa"/>
          <w:right w:w="108" w:type="dxa"/>
        </w:tblCellMar>
      </w:tblPr>
      <w:tblGrid>
        <w:gridCol w:w="2331"/>
        <w:gridCol w:w="1012"/>
        <w:gridCol w:w="1533"/>
        <w:gridCol w:w="1192"/>
        <w:gridCol w:w="729"/>
        <w:gridCol w:w="1042"/>
        <w:gridCol w:w="1406"/>
      </w:tblGrid>
      <w:tr>
        <w:tblPrEx>
          <w:tblCellMar>
            <w:top w:w="0" w:type="dxa"/>
            <w:left w:w="108" w:type="dxa"/>
            <w:bottom w:w="0" w:type="dxa"/>
            <w:right w:w="108" w:type="dxa"/>
          </w:tblCellMar>
        </w:tblPrEx>
        <w:trPr>
          <w:trHeight w:val="523" w:hRule="atLeast"/>
          <w:jc w:val="center"/>
        </w:trPr>
        <w:tc>
          <w:tcPr>
            <w:tcW w:w="9244"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消防查验数量及费用表</w:t>
            </w:r>
          </w:p>
        </w:tc>
      </w:tr>
      <w:tr>
        <w:tblPrEx>
          <w:tblCellMar>
            <w:top w:w="0" w:type="dxa"/>
            <w:left w:w="108" w:type="dxa"/>
            <w:bottom w:w="0" w:type="dxa"/>
            <w:right w:w="108" w:type="dxa"/>
          </w:tblCellMar>
        </w:tblPrEx>
        <w:trPr>
          <w:trHeight w:val="523" w:hRule="atLeast"/>
          <w:jc w:val="center"/>
        </w:trPr>
        <w:tc>
          <w:tcPr>
            <w:tcW w:w="2331" w:type="dxa"/>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单体名称</w:t>
            </w:r>
          </w:p>
        </w:tc>
        <w:tc>
          <w:tcPr>
            <w:tcW w:w="1012"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检测项目序号</w:t>
            </w:r>
          </w:p>
        </w:tc>
        <w:tc>
          <w:tcPr>
            <w:tcW w:w="1533"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建筑面积（㎡）</w:t>
            </w:r>
          </w:p>
        </w:tc>
        <w:tc>
          <w:tcPr>
            <w:tcW w:w="1192"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试验数量</w:t>
            </w:r>
          </w:p>
        </w:tc>
        <w:tc>
          <w:tcPr>
            <w:tcW w:w="729"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单位</w:t>
            </w:r>
          </w:p>
        </w:tc>
        <w:tc>
          <w:tcPr>
            <w:tcW w:w="1042"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单价（元）</w:t>
            </w:r>
          </w:p>
        </w:tc>
        <w:tc>
          <w:tcPr>
            <w:tcW w:w="140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小计（元）</w:t>
            </w:r>
          </w:p>
        </w:tc>
      </w:tr>
      <w:tr>
        <w:tblPrEx>
          <w:tblCellMar>
            <w:top w:w="0" w:type="dxa"/>
            <w:left w:w="108" w:type="dxa"/>
            <w:bottom w:w="0" w:type="dxa"/>
            <w:right w:w="108" w:type="dxa"/>
          </w:tblCellMar>
        </w:tblPrEx>
        <w:trPr>
          <w:trHeight w:val="960" w:hRule="atLeast"/>
          <w:jc w:val="center"/>
        </w:trPr>
        <w:tc>
          <w:tcPr>
            <w:tcW w:w="2331" w:type="dxa"/>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广西自贸区产融城市运营管理有限公司新建汽车修理厂厂房项目</w:t>
            </w:r>
          </w:p>
        </w:tc>
        <w:tc>
          <w:tcPr>
            <w:tcW w:w="1012" w:type="dxa"/>
            <w:tcBorders>
              <w:top w:val="nil"/>
              <w:left w:val="nil"/>
              <w:bottom w:val="nil"/>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7.4.1</w:t>
            </w:r>
          </w:p>
        </w:tc>
        <w:tc>
          <w:tcPr>
            <w:tcW w:w="1533"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569</w:t>
            </w:r>
          </w:p>
        </w:tc>
        <w:tc>
          <w:tcPr>
            <w:tcW w:w="1192"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729"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个</w:t>
            </w:r>
          </w:p>
        </w:tc>
        <w:tc>
          <w:tcPr>
            <w:tcW w:w="1042"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 xml:space="preserve"> </w:t>
            </w:r>
          </w:p>
        </w:tc>
        <w:tc>
          <w:tcPr>
            <w:tcW w:w="140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368" w:hRule="atLeast"/>
          <w:jc w:val="center"/>
        </w:trPr>
        <w:tc>
          <w:tcPr>
            <w:tcW w:w="2331" w:type="dxa"/>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费用合计（元）</w:t>
            </w:r>
          </w:p>
        </w:tc>
        <w:tc>
          <w:tcPr>
            <w:tcW w:w="6913" w:type="dxa"/>
            <w:gridSpan w:val="6"/>
            <w:tcBorders>
              <w:top w:val="single" w:color="auto" w:sz="4" w:space="0"/>
              <w:left w:val="nil"/>
              <w:bottom w:val="single" w:color="auto" w:sz="4" w:space="0"/>
              <w:right w:val="single" w:color="000000"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785" w:hRule="atLeast"/>
          <w:jc w:val="center"/>
        </w:trPr>
        <w:tc>
          <w:tcPr>
            <w:tcW w:w="9244"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r>
              <w:rPr>
                <w:rFonts w:hint="eastAsia" w:ascii="宋体" w:hAnsi="宋体" w:cs="宋体"/>
                <w:szCs w:val="21"/>
                <w:u w:val="none" w:color="auto"/>
              </w:rPr>
              <w:t>注：1.按建筑面积计算，单体建筑10000元起</w:t>
            </w:r>
            <w:r>
              <w:rPr>
                <w:rFonts w:hint="eastAsia" w:ascii="宋体" w:hAnsi="宋体" w:cs="宋体"/>
                <w:szCs w:val="21"/>
                <w:u w:val="none" w:color="auto"/>
              </w:rPr>
              <w:br w:type="textWrapping"/>
            </w:r>
            <w:r>
              <w:rPr>
                <w:rFonts w:hint="eastAsia" w:ascii="宋体" w:hAnsi="宋体" w:cs="宋体"/>
                <w:szCs w:val="21"/>
                <w:u w:val="none" w:color="auto"/>
              </w:rPr>
              <w:t>2.以实际发生量为准。</w:t>
            </w:r>
          </w:p>
        </w:tc>
      </w:tr>
    </w:tbl>
    <w:p>
      <w:pPr>
        <w:pStyle w:val="20"/>
        <w:keepNext w:val="0"/>
        <w:keepLines w:val="0"/>
        <w:widowControl/>
        <w:suppressLineNumbers w:val="0"/>
        <w:spacing w:before="0" w:beforeAutospacing="0" w:after="0" w:afterAutospacing="0"/>
        <w:ind w:left="0" w:firstLine="0"/>
        <w:jc w:val="center"/>
        <w:rPr>
          <w:rFonts w:hint="eastAsia" w:ascii="方正公文黑体" w:hAnsi="方正公文黑体" w:eastAsia="方正公文黑体" w:cs="方正公文黑体"/>
          <w:sz w:val="32"/>
          <w:szCs w:val="32"/>
          <w:lang w:val="en-US" w:eastAsia="zh-CN"/>
        </w:rPr>
      </w:pPr>
      <w:bookmarkStart w:id="7" w:name="OLE_LINK1"/>
      <w:r>
        <w:rPr>
          <w:rFonts w:hint="eastAsia" w:ascii="方正公文黑体" w:hAnsi="方正公文黑体" w:eastAsia="方正公文黑体" w:cs="方正公文黑体"/>
          <w:sz w:val="32"/>
          <w:szCs w:val="32"/>
          <w:lang w:val="en-US" w:eastAsia="zh-CN"/>
        </w:rPr>
        <w:t>二、钦保机动车检测线扩建项目</w:t>
      </w:r>
    </w:p>
    <w:p>
      <w:pPr>
        <w:numPr>
          <w:ilvl w:val="0"/>
          <w:numId w:val="3"/>
        </w:numPr>
        <w:wordWrap w:val="0"/>
        <w:spacing w:line="580" w:lineRule="exact"/>
        <w:ind w:left="1418" w:hanging="567"/>
        <w:rPr>
          <w:rFonts w:hint="eastAsia"/>
          <w:b/>
          <w:bCs/>
          <w:color w:val="auto"/>
          <w:sz w:val="28"/>
          <w:szCs w:val="28"/>
        </w:rPr>
      </w:pPr>
      <w:r>
        <w:rPr>
          <w:rFonts w:hint="eastAsia"/>
          <w:b/>
          <w:bCs/>
          <w:color w:val="auto"/>
          <w:sz w:val="28"/>
          <w:szCs w:val="28"/>
        </w:rPr>
        <w:t>原位测试动力触探试验（轻型）检测</w:t>
      </w:r>
    </w:p>
    <w:tbl>
      <w:tblPr>
        <w:tblStyle w:val="22"/>
        <w:tblW w:w="9769" w:type="dxa"/>
        <w:jc w:val="center"/>
        <w:tblLayout w:type="autofit"/>
        <w:tblCellMar>
          <w:top w:w="0" w:type="dxa"/>
          <w:left w:w="108" w:type="dxa"/>
          <w:bottom w:w="0" w:type="dxa"/>
          <w:right w:w="108" w:type="dxa"/>
        </w:tblCellMar>
      </w:tblPr>
      <w:tblGrid>
        <w:gridCol w:w="1558"/>
        <w:gridCol w:w="1558"/>
        <w:gridCol w:w="1299"/>
        <w:gridCol w:w="1338"/>
        <w:gridCol w:w="1338"/>
        <w:gridCol w:w="1340"/>
        <w:gridCol w:w="1338"/>
      </w:tblGrid>
      <w:tr>
        <w:tblPrEx>
          <w:tblCellMar>
            <w:top w:w="0" w:type="dxa"/>
            <w:left w:w="108" w:type="dxa"/>
            <w:bottom w:w="0" w:type="dxa"/>
            <w:right w:w="108" w:type="dxa"/>
          </w:tblCellMar>
        </w:tblPrEx>
        <w:trPr>
          <w:trHeight w:val="400" w:hRule="atLeast"/>
          <w:jc w:val="center"/>
        </w:trPr>
        <w:tc>
          <w:tcPr>
            <w:tcW w:w="9768"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原位测试动力触探试验（轻型）检测数量及费用表</w:t>
            </w:r>
          </w:p>
        </w:tc>
      </w:tr>
      <w:tr>
        <w:tblPrEx>
          <w:tblCellMar>
            <w:top w:w="0" w:type="dxa"/>
            <w:left w:w="108" w:type="dxa"/>
            <w:bottom w:w="0" w:type="dxa"/>
            <w:right w:w="108" w:type="dxa"/>
          </w:tblCellMar>
        </w:tblPrEx>
        <w:trPr>
          <w:trHeight w:val="538" w:hRule="atLeast"/>
          <w:jc w:val="center"/>
        </w:trPr>
        <w:tc>
          <w:tcPr>
            <w:tcW w:w="1558" w:type="dxa"/>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单元工程</w:t>
            </w:r>
          </w:p>
        </w:tc>
        <w:tc>
          <w:tcPr>
            <w:tcW w:w="155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检测项目序号</w:t>
            </w:r>
          </w:p>
        </w:tc>
        <w:tc>
          <w:tcPr>
            <w:tcW w:w="1299"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试验数量（点）</w:t>
            </w:r>
          </w:p>
        </w:tc>
        <w:tc>
          <w:tcPr>
            <w:tcW w:w="133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贯入深度（m</w:t>
            </w:r>
            <w:r>
              <w:rPr>
                <w:rFonts w:hint="eastAsia" w:ascii="宋体" w:hAnsi="宋体" w:cs="宋体"/>
                <w:color w:val="auto"/>
                <w:szCs w:val="21"/>
                <w:u w:val="none" w:color="auto"/>
                <w:lang w:eastAsia="zh-CN"/>
              </w:rPr>
              <w:t>）</w:t>
            </w:r>
          </w:p>
        </w:tc>
        <w:tc>
          <w:tcPr>
            <w:tcW w:w="133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总贯入深度（m</w:t>
            </w:r>
            <w:r>
              <w:rPr>
                <w:rFonts w:hint="eastAsia" w:ascii="宋体" w:hAnsi="宋体" w:cs="宋体"/>
                <w:color w:val="auto"/>
                <w:szCs w:val="21"/>
                <w:u w:val="none" w:color="auto"/>
                <w:lang w:eastAsia="zh-CN"/>
              </w:rPr>
              <w:t>）</w:t>
            </w:r>
          </w:p>
        </w:tc>
        <w:tc>
          <w:tcPr>
            <w:tcW w:w="134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单价（元/m）</w:t>
            </w:r>
          </w:p>
        </w:tc>
        <w:tc>
          <w:tcPr>
            <w:tcW w:w="133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试验费合计（元）</w:t>
            </w:r>
          </w:p>
        </w:tc>
      </w:tr>
      <w:tr>
        <w:tblPrEx>
          <w:tblCellMar>
            <w:top w:w="0" w:type="dxa"/>
            <w:left w:w="108" w:type="dxa"/>
            <w:bottom w:w="0" w:type="dxa"/>
            <w:right w:w="108" w:type="dxa"/>
          </w:tblCellMar>
        </w:tblPrEx>
        <w:trPr>
          <w:trHeight w:val="686" w:hRule="atLeast"/>
          <w:jc w:val="center"/>
        </w:trPr>
        <w:tc>
          <w:tcPr>
            <w:tcW w:w="1558" w:type="dxa"/>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业务大厅</w:t>
            </w:r>
          </w:p>
        </w:tc>
        <w:tc>
          <w:tcPr>
            <w:tcW w:w="1558" w:type="dxa"/>
            <w:tcBorders>
              <w:top w:val="nil"/>
              <w:left w:val="nil"/>
              <w:bottom w:val="nil"/>
              <w:right w:val="single" w:color="auto" w:sz="4" w:space="0"/>
            </w:tcBorders>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1.18.3</w:t>
            </w:r>
          </w:p>
        </w:tc>
        <w:tc>
          <w:tcPr>
            <w:tcW w:w="1299"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21</w:t>
            </w:r>
          </w:p>
        </w:tc>
        <w:tc>
          <w:tcPr>
            <w:tcW w:w="133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1</w:t>
            </w:r>
          </w:p>
        </w:tc>
        <w:tc>
          <w:tcPr>
            <w:tcW w:w="133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21</w:t>
            </w:r>
          </w:p>
        </w:tc>
        <w:tc>
          <w:tcPr>
            <w:tcW w:w="134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color w:val="auto"/>
                <w:szCs w:val="21"/>
                <w:u w:val="none" w:color="auto"/>
              </w:rPr>
            </w:pPr>
          </w:p>
        </w:tc>
        <w:tc>
          <w:tcPr>
            <w:tcW w:w="133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395" w:hRule="atLeast"/>
          <w:jc w:val="center"/>
        </w:trPr>
        <w:tc>
          <w:tcPr>
            <w:tcW w:w="8430" w:type="dxa"/>
            <w:gridSpan w:val="6"/>
            <w:tcBorders>
              <w:top w:val="single" w:color="auto" w:sz="4" w:space="0"/>
              <w:left w:val="single" w:color="auto" w:sz="4" w:space="0"/>
              <w:bottom w:val="single" w:color="auto" w:sz="4" w:space="0"/>
              <w:right w:val="single" w:color="000000" w:sz="4" w:space="0"/>
            </w:tcBorders>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费用合计（元）</w:t>
            </w:r>
          </w:p>
        </w:tc>
        <w:tc>
          <w:tcPr>
            <w:tcW w:w="1338"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color w:val="auto"/>
                <w:szCs w:val="21"/>
                <w:u w:val="none" w:color="auto"/>
              </w:rPr>
            </w:pPr>
          </w:p>
        </w:tc>
      </w:tr>
      <w:tr>
        <w:tblPrEx>
          <w:tblCellMar>
            <w:top w:w="0" w:type="dxa"/>
            <w:left w:w="108" w:type="dxa"/>
            <w:bottom w:w="0" w:type="dxa"/>
            <w:right w:w="108" w:type="dxa"/>
          </w:tblCellMar>
        </w:tblPrEx>
        <w:trPr>
          <w:trHeight w:val="1002" w:hRule="atLeast"/>
          <w:jc w:val="center"/>
        </w:trPr>
        <w:tc>
          <w:tcPr>
            <w:tcW w:w="9768"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color w:val="auto"/>
                <w:szCs w:val="21"/>
                <w:u w:val="none" w:color="auto"/>
              </w:rPr>
            </w:pPr>
            <w:r>
              <w:rPr>
                <w:rFonts w:hint="eastAsia" w:ascii="宋体" w:hAnsi="宋体" w:cs="宋体"/>
                <w:color w:val="auto"/>
                <w:szCs w:val="21"/>
                <w:u w:val="none" w:color="auto"/>
              </w:rPr>
              <w:t>注：1.单位工程检测数量不少于10点，当面积超过3000㎡应每500㎡增加1点。</w:t>
            </w:r>
            <w:r>
              <w:rPr>
                <w:rFonts w:hint="eastAsia" w:ascii="宋体" w:hAnsi="宋体" w:cs="宋体"/>
                <w:color w:val="auto"/>
                <w:szCs w:val="21"/>
                <w:u w:val="none" w:color="auto"/>
              </w:rPr>
              <w:br w:type="textWrapping"/>
            </w:r>
            <w:r>
              <w:rPr>
                <w:rFonts w:hint="eastAsia" w:ascii="宋体" w:hAnsi="宋体" w:cs="宋体"/>
                <w:color w:val="auto"/>
                <w:szCs w:val="21"/>
                <w:u w:val="none" w:color="auto"/>
              </w:rPr>
              <w:t>2.不足1m时按1m计。</w:t>
            </w:r>
            <w:r>
              <w:rPr>
                <w:rFonts w:hint="eastAsia" w:ascii="宋体" w:hAnsi="宋体" w:cs="宋体"/>
                <w:color w:val="auto"/>
                <w:szCs w:val="21"/>
                <w:u w:val="none" w:color="auto"/>
              </w:rPr>
              <w:br w:type="textWrapping"/>
            </w:r>
            <w:r>
              <w:rPr>
                <w:rFonts w:hint="eastAsia" w:ascii="宋体" w:hAnsi="宋体" w:cs="宋体"/>
                <w:color w:val="auto"/>
                <w:szCs w:val="21"/>
                <w:u w:val="none" w:color="auto"/>
              </w:rPr>
              <w:t>3.试验数量以实际发生量为准。</w:t>
            </w:r>
          </w:p>
        </w:tc>
      </w:tr>
    </w:tbl>
    <w:p>
      <w:pPr>
        <w:numPr>
          <w:ilvl w:val="0"/>
          <w:numId w:val="3"/>
        </w:numPr>
        <w:wordWrap w:val="0"/>
        <w:spacing w:line="580" w:lineRule="exact"/>
        <w:ind w:left="1418" w:hanging="567"/>
        <w:rPr>
          <w:b/>
          <w:bCs/>
          <w:color w:val="auto"/>
          <w:sz w:val="28"/>
          <w:szCs w:val="28"/>
        </w:rPr>
      </w:pPr>
      <w:r>
        <w:rPr>
          <w:rFonts w:hint="eastAsia"/>
          <w:b/>
          <w:bCs/>
          <w:color w:val="auto"/>
          <w:sz w:val="28"/>
          <w:szCs w:val="28"/>
        </w:rPr>
        <w:t xml:space="preserve">土工常规检测  </w:t>
      </w:r>
    </w:p>
    <w:tbl>
      <w:tblPr>
        <w:tblStyle w:val="22"/>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1"/>
        <w:gridCol w:w="1264"/>
        <w:gridCol w:w="2200"/>
        <w:gridCol w:w="917"/>
        <w:gridCol w:w="570"/>
        <w:gridCol w:w="1324"/>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30" w:type="dxa"/>
            <w:gridSpan w:val="7"/>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土工常规检测数量及费用表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31" w:type="dxa"/>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检测项目</w:t>
            </w:r>
          </w:p>
        </w:tc>
        <w:tc>
          <w:tcPr>
            <w:tcW w:w="1264" w:type="dxa"/>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检测项目序号</w:t>
            </w:r>
          </w:p>
        </w:tc>
        <w:tc>
          <w:tcPr>
            <w:tcW w:w="2200" w:type="dxa"/>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检测频率</w:t>
            </w:r>
          </w:p>
        </w:tc>
        <w:tc>
          <w:tcPr>
            <w:tcW w:w="917" w:type="dxa"/>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检测数量</w:t>
            </w:r>
          </w:p>
        </w:tc>
        <w:tc>
          <w:tcPr>
            <w:tcW w:w="570" w:type="dxa"/>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单位</w:t>
            </w:r>
          </w:p>
        </w:tc>
        <w:tc>
          <w:tcPr>
            <w:tcW w:w="1324" w:type="dxa"/>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单价（元）</w:t>
            </w:r>
          </w:p>
        </w:tc>
        <w:tc>
          <w:tcPr>
            <w:tcW w:w="1324" w:type="dxa"/>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31" w:type="dxa"/>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重型击实</w:t>
            </w:r>
          </w:p>
        </w:tc>
        <w:tc>
          <w:tcPr>
            <w:tcW w:w="1264" w:type="dxa"/>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1.20.4</w:t>
            </w:r>
          </w:p>
        </w:tc>
        <w:tc>
          <w:tcPr>
            <w:tcW w:w="2200" w:type="dxa"/>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每种土样为一组</w:t>
            </w:r>
          </w:p>
        </w:tc>
        <w:tc>
          <w:tcPr>
            <w:tcW w:w="917" w:type="dxa"/>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1</w:t>
            </w:r>
          </w:p>
        </w:tc>
        <w:tc>
          <w:tcPr>
            <w:tcW w:w="570" w:type="dxa"/>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项</w:t>
            </w:r>
          </w:p>
        </w:tc>
        <w:tc>
          <w:tcPr>
            <w:tcW w:w="1324" w:type="dxa"/>
            <w:noWrap w:val="0"/>
            <w:vAlign w:val="center"/>
          </w:tcPr>
          <w:p>
            <w:pPr>
              <w:spacing w:line="240" w:lineRule="auto"/>
              <w:ind w:firstLine="0"/>
              <w:jc w:val="center"/>
              <w:textAlignment w:val="auto"/>
              <w:rPr>
                <w:rFonts w:ascii="宋体" w:hAnsi="宋体" w:cs="宋体"/>
                <w:color w:val="auto"/>
                <w:szCs w:val="21"/>
                <w:u w:val="none" w:color="auto"/>
              </w:rPr>
            </w:pPr>
          </w:p>
        </w:tc>
        <w:tc>
          <w:tcPr>
            <w:tcW w:w="1324"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731" w:type="dxa"/>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轻型动力触探</w:t>
            </w:r>
          </w:p>
        </w:tc>
        <w:tc>
          <w:tcPr>
            <w:tcW w:w="1264" w:type="dxa"/>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10.1.12</w:t>
            </w:r>
          </w:p>
        </w:tc>
        <w:tc>
          <w:tcPr>
            <w:tcW w:w="2200" w:type="dxa"/>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每20米延长线取一组，（有承载力要求的道路长度+沟槽长度）/20</w:t>
            </w:r>
          </w:p>
        </w:tc>
        <w:tc>
          <w:tcPr>
            <w:tcW w:w="917" w:type="dxa"/>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30</w:t>
            </w:r>
          </w:p>
        </w:tc>
        <w:tc>
          <w:tcPr>
            <w:tcW w:w="570" w:type="dxa"/>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点</w:t>
            </w:r>
          </w:p>
        </w:tc>
        <w:tc>
          <w:tcPr>
            <w:tcW w:w="1324" w:type="dxa"/>
            <w:noWrap w:val="0"/>
            <w:vAlign w:val="center"/>
          </w:tcPr>
          <w:p>
            <w:pPr>
              <w:spacing w:line="240" w:lineRule="auto"/>
              <w:ind w:firstLine="0"/>
              <w:jc w:val="center"/>
              <w:textAlignment w:val="auto"/>
              <w:rPr>
                <w:rFonts w:ascii="宋体" w:hAnsi="宋体" w:cs="宋体"/>
                <w:color w:val="auto"/>
                <w:szCs w:val="21"/>
                <w:u w:val="none" w:color="auto"/>
              </w:rPr>
            </w:pPr>
          </w:p>
        </w:tc>
        <w:tc>
          <w:tcPr>
            <w:tcW w:w="1324"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731" w:type="dxa"/>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原位密度法测压实度/密实度</w:t>
            </w:r>
          </w:p>
        </w:tc>
        <w:tc>
          <w:tcPr>
            <w:tcW w:w="1264" w:type="dxa"/>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1.20.9</w:t>
            </w:r>
          </w:p>
        </w:tc>
        <w:tc>
          <w:tcPr>
            <w:tcW w:w="2200"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每层每1000㎡检测3点，暂按每层回填土300mm</w:t>
            </w:r>
            <w:r>
              <w:rPr>
                <w:rFonts w:hint="eastAsia" w:ascii="宋体" w:hAnsi="宋体" w:cs="宋体"/>
                <w:szCs w:val="21"/>
                <w:u w:val="none" w:color="auto"/>
                <w:lang w:eastAsia="zh-CN"/>
              </w:rPr>
              <w:t>（</w:t>
            </w:r>
            <w:r>
              <w:rPr>
                <w:rFonts w:hint="eastAsia" w:ascii="宋体" w:hAnsi="宋体" w:cs="宋体"/>
                <w:szCs w:val="21"/>
                <w:u w:val="none" w:color="auto"/>
              </w:rPr>
              <w:t>3点一组，不足3点按一组计算</w:t>
            </w:r>
            <w:r>
              <w:rPr>
                <w:rFonts w:hint="eastAsia" w:ascii="宋体" w:hAnsi="宋体" w:cs="宋体"/>
                <w:szCs w:val="21"/>
                <w:u w:val="none" w:color="auto"/>
                <w:lang w:eastAsia="zh-CN"/>
              </w:rPr>
              <w:t>）</w:t>
            </w:r>
          </w:p>
        </w:tc>
        <w:tc>
          <w:tcPr>
            <w:tcW w:w="917" w:type="dxa"/>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9</w:t>
            </w:r>
          </w:p>
        </w:tc>
        <w:tc>
          <w:tcPr>
            <w:tcW w:w="570" w:type="dxa"/>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点</w:t>
            </w:r>
          </w:p>
        </w:tc>
        <w:tc>
          <w:tcPr>
            <w:tcW w:w="1324" w:type="dxa"/>
            <w:noWrap w:val="0"/>
            <w:vAlign w:val="center"/>
          </w:tcPr>
          <w:p>
            <w:pPr>
              <w:spacing w:line="240" w:lineRule="auto"/>
              <w:ind w:firstLine="0"/>
              <w:jc w:val="center"/>
              <w:textAlignment w:val="auto"/>
              <w:rPr>
                <w:rFonts w:ascii="宋体" w:hAnsi="宋体" w:cs="宋体"/>
                <w:color w:val="auto"/>
                <w:szCs w:val="21"/>
                <w:u w:val="none" w:color="auto"/>
              </w:rPr>
            </w:pPr>
          </w:p>
        </w:tc>
        <w:tc>
          <w:tcPr>
            <w:tcW w:w="1324"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95" w:type="dxa"/>
            <w:gridSpan w:val="2"/>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费用合计（元）</w:t>
            </w:r>
          </w:p>
        </w:tc>
        <w:tc>
          <w:tcPr>
            <w:tcW w:w="6335" w:type="dxa"/>
            <w:gridSpan w:val="5"/>
            <w:noWrap w:val="0"/>
            <w:vAlign w:val="center"/>
          </w:tcPr>
          <w:p>
            <w:pPr>
              <w:spacing w:line="240" w:lineRule="auto"/>
              <w:ind w:firstLine="0"/>
              <w:jc w:val="center"/>
              <w:textAlignment w:val="auto"/>
              <w:rPr>
                <w:rFonts w:ascii="宋体" w:hAnsi="宋体" w:cs="宋体"/>
                <w:color w:val="auto"/>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30" w:type="dxa"/>
            <w:gridSpan w:val="7"/>
            <w:noWrap w:val="0"/>
            <w:vAlign w:val="center"/>
          </w:tcPr>
          <w:p>
            <w:pPr>
              <w:spacing w:line="240" w:lineRule="auto"/>
              <w:ind w:firstLine="0"/>
              <w:jc w:val="left"/>
              <w:textAlignment w:val="auto"/>
              <w:rPr>
                <w:rFonts w:ascii="宋体" w:hAnsi="宋体" w:cs="宋体"/>
                <w:color w:val="auto"/>
                <w:szCs w:val="21"/>
                <w:u w:val="none" w:color="auto"/>
              </w:rPr>
            </w:pPr>
            <w:r>
              <w:rPr>
                <w:rFonts w:hint="eastAsia" w:ascii="宋体" w:hAnsi="宋体" w:cs="宋体"/>
                <w:color w:val="auto"/>
                <w:szCs w:val="21"/>
                <w:u w:val="none" w:color="auto"/>
              </w:rPr>
              <w:t>注：以实际发生量为准</w:t>
            </w:r>
          </w:p>
        </w:tc>
      </w:tr>
    </w:tbl>
    <w:p>
      <w:pPr>
        <w:numPr>
          <w:ilvl w:val="0"/>
          <w:numId w:val="3"/>
        </w:numPr>
        <w:wordWrap w:val="0"/>
        <w:spacing w:line="580" w:lineRule="exact"/>
        <w:ind w:left="1418" w:hanging="567"/>
        <w:rPr>
          <w:b/>
          <w:bCs/>
          <w:color w:val="auto"/>
          <w:sz w:val="28"/>
          <w:szCs w:val="28"/>
        </w:rPr>
      </w:pPr>
      <w:r>
        <w:rPr>
          <w:rFonts w:hint="eastAsia"/>
          <w:b/>
          <w:bCs/>
          <w:color w:val="auto"/>
          <w:sz w:val="28"/>
          <w:szCs w:val="28"/>
        </w:rPr>
        <w:t xml:space="preserve">见证取样检测 </w:t>
      </w:r>
    </w:p>
    <w:tbl>
      <w:tblPr>
        <w:tblStyle w:val="22"/>
        <w:tblW w:w="9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
        <w:gridCol w:w="1038"/>
        <w:gridCol w:w="1272"/>
        <w:gridCol w:w="951"/>
        <w:gridCol w:w="2560"/>
        <w:gridCol w:w="598"/>
        <w:gridCol w:w="647"/>
        <w:gridCol w:w="1123"/>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9884" w:type="dxa"/>
            <w:gridSpan w:val="9"/>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见证取样检测数量及费用表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jc w:val="center"/>
        </w:trPr>
        <w:tc>
          <w:tcPr>
            <w:tcW w:w="51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检测类别</w:t>
            </w:r>
          </w:p>
        </w:tc>
        <w:tc>
          <w:tcPr>
            <w:tcW w:w="2312" w:type="dxa"/>
            <w:gridSpan w:val="2"/>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检测项目</w:t>
            </w:r>
          </w:p>
        </w:tc>
        <w:tc>
          <w:tcPr>
            <w:tcW w:w="94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检测项目序号</w:t>
            </w:r>
          </w:p>
        </w:tc>
        <w:tc>
          <w:tcPr>
            <w:tcW w:w="2564"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批    量</w:t>
            </w:r>
          </w:p>
        </w:tc>
        <w:tc>
          <w:tcPr>
            <w:tcW w:w="59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取样数量</w:t>
            </w:r>
          </w:p>
        </w:tc>
        <w:tc>
          <w:tcPr>
            <w:tcW w:w="64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单位</w:t>
            </w:r>
          </w:p>
        </w:tc>
        <w:tc>
          <w:tcPr>
            <w:tcW w:w="1124"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单价（元）</w:t>
            </w:r>
          </w:p>
        </w:tc>
        <w:tc>
          <w:tcPr>
            <w:tcW w:w="1184"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12" w:type="dxa"/>
            <w:vMerge w:val="restart"/>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水  泥</w:t>
            </w:r>
          </w:p>
        </w:tc>
        <w:tc>
          <w:tcPr>
            <w:tcW w:w="2312" w:type="dxa"/>
            <w:gridSpan w:val="2"/>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凝结时间</w:t>
            </w:r>
          </w:p>
        </w:tc>
        <w:tc>
          <w:tcPr>
            <w:tcW w:w="94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4.1.1</w:t>
            </w:r>
          </w:p>
        </w:tc>
        <w:tc>
          <w:tcPr>
            <w:tcW w:w="2564" w:type="dxa"/>
            <w:vMerge w:val="restart"/>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以同品种、同标号、同一出厂编号且同一次进场的，袋装水泥不超过200t</w:t>
            </w:r>
            <w:r>
              <w:rPr>
                <w:rFonts w:hint="eastAsia" w:ascii="宋体" w:hAnsi="宋体" w:cs="宋体"/>
                <w:szCs w:val="21"/>
                <w:u w:val="none" w:color="auto"/>
                <w:lang w:eastAsia="zh-CN"/>
              </w:rPr>
              <w:t>，</w:t>
            </w:r>
            <w:r>
              <w:rPr>
                <w:rFonts w:hint="eastAsia" w:ascii="宋体" w:hAnsi="宋体" w:cs="宋体"/>
                <w:szCs w:val="21"/>
                <w:u w:val="none" w:color="auto"/>
              </w:rPr>
              <w:t>散装水泥不超过500t为一批。</w:t>
            </w:r>
          </w:p>
        </w:tc>
        <w:tc>
          <w:tcPr>
            <w:tcW w:w="59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4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124" w:type="dxa"/>
            <w:noWrap w:val="0"/>
            <w:vAlign w:val="center"/>
          </w:tcPr>
          <w:p>
            <w:pPr>
              <w:spacing w:line="240" w:lineRule="auto"/>
              <w:ind w:firstLine="0"/>
              <w:jc w:val="center"/>
              <w:textAlignment w:val="auto"/>
              <w:rPr>
                <w:rFonts w:ascii="宋体" w:hAnsi="宋体" w:cs="宋体"/>
                <w:szCs w:val="21"/>
                <w:u w:val="none" w:color="auto"/>
              </w:rPr>
            </w:pPr>
          </w:p>
        </w:tc>
        <w:tc>
          <w:tcPr>
            <w:tcW w:w="1184"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12"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2312" w:type="dxa"/>
            <w:gridSpan w:val="2"/>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标准稠度用水量</w:t>
            </w:r>
          </w:p>
        </w:tc>
        <w:tc>
          <w:tcPr>
            <w:tcW w:w="94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4.1.2</w:t>
            </w:r>
          </w:p>
        </w:tc>
        <w:tc>
          <w:tcPr>
            <w:tcW w:w="2564"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59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4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124" w:type="dxa"/>
            <w:noWrap w:val="0"/>
            <w:vAlign w:val="center"/>
          </w:tcPr>
          <w:p>
            <w:pPr>
              <w:spacing w:line="240" w:lineRule="auto"/>
              <w:ind w:firstLine="0"/>
              <w:jc w:val="center"/>
              <w:textAlignment w:val="auto"/>
              <w:rPr>
                <w:rFonts w:ascii="宋体" w:hAnsi="宋体" w:cs="宋体"/>
                <w:szCs w:val="21"/>
                <w:u w:val="none" w:color="auto"/>
              </w:rPr>
            </w:pPr>
          </w:p>
        </w:tc>
        <w:tc>
          <w:tcPr>
            <w:tcW w:w="1184"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12"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2312" w:type="dxa"/>
            <w:gridSpan w:val="2"/>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安定性</w:t>
            </w:r>
          </w:p>
        </w:tc>
        <w:tc>
          <w:tcPr>
            <w:tcW w:w="94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4.1.3</w:t>
            </w:r>
          </w:p>
        </w:tc>
        <w:tc>
          <w:tcPr>
            <w:tcW w:w="2564"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59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4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124" w:type="dxa"/>
            <w:noWrap w:val="0"/>
            <w:vAlign w:val="center"/>
          </w:tcPr>
          <w:p>
            <w:pPr>
              <w:spacing w:line="240" w:lineRule="auto"/>
              <w:ind w:firstLine="0"/>
              <w:jc w:val="center"/>
              <w:textAlignment w:val="auto"/>
              <w:rPr>
                <w:rFonts w:ascii="宋体" w:hAnsi="宋体" w:cs="宋体"/>
                <w:szCs w:val="21"/>
                <w:u w:val="none" w:color="auto"/>
              </w:rPr>
            </w:pPr>
          </w:p>
        </w:tc>
        <w:tc>
          <w:tcPr>
            <w:tcW w:w="1184"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12"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2312" w:type="dxa"/>
            <w:gridSpan w:val="2"/>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胶砂强度</w:t>
            </w:r>
          </w:p>
        </w:tc>
        <w:tc>
          <w:tcPr>
            <w:tcW w:w="94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4.1.4</w:t>
            </w:r>
          </w:p>
        </w:tc>
        <w:tc>
          <w:tcPr>
            <w:tcW w:w="2564"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59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4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124" w:type="dxa"/>
            <w:noWrap w:val="0"/>
            <w:vAlign w:val="center"/>
          </w:tcPr>
          <w:p>
            <w:pPr>
              <w:spacing w:line="240" w:lineRule="auto"/>
              <w:ind w:firstLine="0"/>
              <w:jc w:val="center"/>
              <w:textAlignment w:val="auto"/>
              <w:rPr>
                <w:rFonts w:ascii="宋体" w:hAnsi="宋体" w:cs="宋体"/>
                <w:szCs w:val="21"/>
                <w:u w:val="none" w:color="auto"/>
              </w:rPr>
            </w:pPr>
          </w:p>
        </w:tc>
        <w:tc>
          <w:tcPr>
            <w:tcW w:w="1184"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512" w:type="dxa"/>
            <w:vMerge w:val="restart"/>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砂</w:t>
            </w:r>
          </w:p>
        </w:tc>
        <w:tc>
          <w:tcPr>
            <w:tcW w:w="2312" w:type="dxa"/>
            <w:gridSpan w:val="2"/>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表观（相对）密度</w:t>
            </w:r>
          </w:p>
        </w:tc>
        <w:tc>
          <w:tcPr>
            <w:tcW w:w="94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4.3.1</w:t>
            </w:r>
          </w:p>
        </w:tc>
        <w:tc>
          <w:tcPr>
            <w:tcW w:w="2564" w:type="dxa"/>
            <w:vMerge w:val="restart"/>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以400m3或600t同产地同规格且同一次进场的为一验收批。不足者以一批计</w:t>
            </w:r>
          </w:p>
        </w:tc>
        <w:tc>
          <w:tcPr>
            <w:tcW w:w="59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4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124" w:type="dxa"/>
            <w:noWrap w:val="0"/>
            <w:vAlign w:val="center"/>
          </w:tcPr>
          <w:p>
            <w:pPr>
              <w:spacing w:line="240" w:lineRule="auto"/>
              <w:ind w:firstLine="0"/>
              <w:jc w:val="center"/>
              <w:textAlignment w:val="auto"/>
              <w:rPr>
                <w:rFonts w:ascii="宋体" w:hAnsi="宋体" w:cs="宋体"/>
                <w:szCs w:val="21"/>
                <w:u w:val="none" w:color="auto"/>
              </w:rPr>
            </w:pPr>
          </w:p>
        </w:tc>
        <w:tc>
          <w:tcPr>
            <w:tcW w:w="1184"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512"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2312" w:type="dxa"/>
            <w:gridSpan w:val="2"/>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堆积密度</w:t>
            </w:r>
          </w:p>
        </w:tc>
        <w:tc>
          <w:tcPr>
            <w:tcW w:w="94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4.3.2</w:t>
            </w:r>
          </w:p>
        </w:tc>
        <w:tc>
          <w:tcPr>
            <w:tcW w:w="2564"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59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4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124" w:type="dxa"/>
            <w:noWrap w:val="0"/>
            <w:vAlign w:val="center"/>
          </w:tcPr>
          <w:p>
            <w:pPr>
              <w:spacing w:line="240" w:lineRule="auto"/>
              <w:ind w:firstLine="0"/>
              <w:jc w:val="center"/>
              <w:textAlignment w:val="auto"/>
              <w:rPr>
                <w:rFonts w:ascii="宋体" w:hAnsi="宋体" w:cs="宋体"/>
                <w:szCs w:val="21"/>
                <w:u w:val="none" w:color="auto"/>
              </w:rPr>
            </w:pPr>
          </w:p>
        </w:tc>
        <w:tc>
          <w:tcPr>
            <w:tcW w:w="1184"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512"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2312" w:type="dxa"/>
            <w:gridSpan w:val="2"/>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空隙率</w:t>
            </w:r>
          </w:p>
        </w:tc>
        <w:tc>
          <w:tcPr>
            <w:tcW w:w="94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4.3.3</w:t>
            </w:r>
          </w:p>
        </w:tc>
        <w:tc>
          <w:tcPr>
            <w:tcW w:w="2564"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59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4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124" w:type="dxa"/>
            <w:noWrap w:val="0"/>
            <w:vAlign w:val="center"/>
          </w:tcPr>
          <w:p>
            <w:pPr>
              <w:spacing w:line="240" w:lineRule="auto"/>
              <w:ind w:firstLine="0"/>
              <w:jc w:val="center"/>
              <w:textAlignment w:val="auto"/>
              <w:rPr>
                <w:rFonts w:ascii="宋体" w:hAnsi="宋体" w:cs="宋体"/>
                <w:szCs w:val="21"/>
                <w:u w:val="none" w:color="auto"/>
              </w:rPr>
            </w:pPr>
          </w:p>
        </w:tc>
        <w:tc>
          <w:tcPr>
            <w:tcW w:w="1184"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2"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2312" w:type="dxa"/>
            <w:gridSpan w:val="2"/>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颗粒级配/筛分试验（干筛法）</w:t>
            </w:r>
          </w:p>
        </w:tc>
        <w:tc>
          <w:tcPr>
            <w:tcW w:w="94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4.3.4</w:t>
            </w:r>
          </w:p>
        </w:tc>
        <w:tc>
          <w:tcPr>
            <w:tcW w:w="2564"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59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4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124" w:type="dxa"/>
            <w:noWrap w:val="0"/>
            <w:vAlign w:val="center"/>
          </w:tcPr>
          <w:p>
            <w:pPr>
              <w:spacing w:line="240" w:lineRule="auto"/>
              <w:ind w:firstLine="0"/>
              <w:jc w:val="center"/>
              <w:textAlignment w:val="auto"/>
              <w:rPr>
                <w:rFonts w:ascii="宋体" w:hAnsi="宋体" w:cs="宋体"/>
                <w:szCs w:val="21"/>
                <w:u w:val="none" w:color="auto"/>
              </w:rPr>
            </w:pPr>
          </w:p>
        </w:tc>
        <w:tc>
          <w:tcPr>
            <w:tcW w:w="1184"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512"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2312" w:type="dxa"/>
            <w:gridSpan w:val="2"/>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含泥量</w:t>
            </w:r>
          </w:p>
        </w:tc>
        <w:tc>
          <w:tcPr>
            <w:tcW w:w="94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4.3.5</w:t>
            </w:r>
          </w:p>
        </w:tc>
        <w:tc>
          <w:tcPr>
            <w:tcW w:w="2564"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59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4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124" w:type="dxa"/>
            <w:noWrap w:val="0"/>
            <w:vAlign w:val="center"/>
          </w:tcPr>
          <w:p>
            <w:pPr>
              <w:spacing w:line="240" w:lineRule="auto"/>
              <w:ind w:firstLine="0"/>
              <w:jc w:val="center"/>
              <w:textAlignment w:val="auto"/>
              <w:rPr>
                <w:rFonts w:ascii="宋体" w:hAnsi="宋体" w:cs="宋体"/>
                <w:szCs w:val="21"/>
                <w:u w:val="none" w:color="auto"/>
              </w:rPr>
            </w:pPr>
          </w:p>
        </w:tc>
        <w:tc>
          <w:tcPr>
            <w:tcW w:w="1184"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512"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2312" w:type="dxa"/>
            <w:gridSpan w:val="2"/>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 xml:space="preserve">石粉含量 </w:t>
            </w:r>
          </w:p>
        </w:tc>
        <w:tc>
          <w:tcPr>
            <w:tcW w:w="94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4.3.6</w:t>
            </w:r>
          </w:p>
        </w:tc>
        <w:tc>
          <w:tcPr>
            <w:tcW w:w="2564"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59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4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124" w:type="dxa"/>
            <w:noWrap w:val="0"/>
            <w:vAlign w:val="center"/>
          </w:tcPr>
          <w:p>
            <w:pPr>
              <w:spacing w:line="240" w:lineRule="auto"/>
              <w:ind w:firstLine="0"/>
              <w:jc w:val="center"/>
              <w:textAlignment w:val="auto"/>
              <w:rPr>
                <w:rFonts w:ascii="宋体" w:hAnsi="宋体" w:cs="宋体"/>
                <w:szCs w:val="21"/>
                <w:u w:val="none" w:color="auto"/>
              </w:rPr>
            </w:pPr>
          </w:p>
        </w:tc>
        <w:tc>
          <w:tcPr>
            <w:tcW w:w="1184"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512"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2312" w:type="dxa"/>
            <w:gridSpan w:val="2"/>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 xml:space="preserve">泥块含量 </w:t>
            </w:r>
          </w:p>
        </w:tc>
        <w:tc>
          <w:tcPr>
            <w:tcW w:w="94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4.3.7</w:t>
            </w:r>
          </w:p>
        </w:tc>
        <w:tc>
          <w:tcPr>
            <w:tcW w:w="2564"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59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4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124" w:type="dxa"/>
            <w:noWrap w:val="0"/>
            <w:vAlign w:val="center"/>
          </w:tcPr>
          <w:p>
            <w:pPr>
              <w:spacing w:line="240" w:lineRule="auto"/>
              <w:ind w:firstLine="0"/>
              <w:jc w:val="center"/>
              <w:textAlignment w:val="auto"/>
              <w:rPr>
                <w:rFonts w:ascii="宋体" w:hAnsi="宋体" w:cs="宋体"/>
                <w:szCs w:val="21"/>
                <w:u w:val="none" w:color="auto"/>
              </w:rPr>
            </w:pPr>
          </w:p>
        </w:tc>
        <w:tc>
          <w:tcPr>
            <w:tcW w:w="1184"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512"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2312" w:type="dxa"/>
            <w:gridSpan w:val="2"/>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氯离子含量</w:t>
            </w:r>
          </w:p>
        </w:tc>
        <w:tc>
          <w:tcPr>
            <w:tcW w:w="94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4.3.8</w:t>
            </w:r>
          </w:p>
        </w:tc>
        <w:tc>
          <w:tcPr>
            <w:tcW w:w="2564"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59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4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124" w:type="dxa"/>
            <w:noWrap w:val="0"/>
            <w:vAlign w:val="center"/>
          </w:tcPr>
          <w:p>
            <w:pPr>
              <w:spacing w:line="240" w:lineRule="auto"/>
              <w:ind w:firstLine="0"/>
              <w:jc w:val="center"/>
              <w:textAlignment w:val="auto"/>
              <w:rPr>
                <w:rFonts w:ascii="宋体" w:hAnsi="宋体" w:cs="宋体"/>
                <w:szCs w:val="21"/>
                <w:u w:val="none" w:color="auto"/>
              </w:rPr>
            </w:pPr>
          </w:p>
        </w:tc>
        <w:tc>
          <w:tcPr>
            <w:tcW w:w="1184"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512" w:type="dxa"/>
            <w:vMerge w:val="restart"/>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混凝土</w:t>
            </w:r>
          </w:p>
        </w:tc>
        <w:tc>
          <w:tcPr>
            <w:tcW w:w="2312" w:type="dxa"/>
            <w:gridSpan w:val="2"/>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立方体抗压强度（每组3件）</w:t>
            </w:r>
          </w:p>
        </w:tc>
        <w:tc>
          <w:tcPr>
            <w:tcW w:w="94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4.7.2</w:t>
            </w:r>
          </w:p>
        </w:tc>
        <w:tc>
          <w:tcPr>
            <w:tcW w:w="2564" w:type="dxa"/>
            <w:vMerge w:val="restart"/>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每100盘但不超过100m3的同配比混凝土取样不少于1组：每一工作班拌制的同配合比混凝土取样不少于1组：同时还应考虑为检验结构或构件施工阶段混凝土强度所必需的试件组数。</w:t>
            </w:r>
          </w:p>
        </w:tc>
        <w:tc>
          <w:tcPr>
            <w:tcW w:w="59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3</w:t>
            </w:r>
          </w:p>
        </w:tc>
        <w:tc>
          <w:tcPr>
            <w:tcW w:w="64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组</w:t>
            </w:r>
          </w:p>
        </w:tc>
        <w:tc>
          <w:tcPr>
            <w:tcW w:w="1124" w:type="dxa"/>
            <w:noWrap w:val="0"/>
            <w:vAlign w:val="center"/>
          </w:tcPr>
          <w:p>
            <w:pPr>
              <w:spacing w:line="240" w:lineRule="auto"/>
              <w:ind w:firstLine="0"/>
              <w:jc w:val="center"/>
              <w:textAlignment w:val="auto"/>
              <w:rPr>
                <w:rFonts w:ascii="宋体" w:hAnsi="宋体" w:cs="宋体"/>
                <w:szCs w:val="21"/>
                <w:u w:val="none" w:color="auto"/>
              </w:rPr>
            </w:pPr>
          </w:p>
        </w:tc>
        <w:tc>
          <w:tcPr>
            <w:tcW w:w="1184"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512"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2312" w:type="dxa"/>
            <w:gridSpan w:val="2"/>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标准养护（抗压试块</w:t>
            </w:r>
            <w:r>
              <w:rPr>
                <w:rFonts w:hint="eastAsia" w:ascii="宋体" w:hAnsi="宋体" w:cs="宋体"/>
                <w:szCs w:val="21"/>
                <w:u w:val="none" w:color="auto"/>
                <w:lang w:eastAsia="zh-CN"/>
              </w:rPr>
              <w:t>）</w:t>
            </w:r>
            <w:r>
              <w:rPr>
                <w:rFonts w:hint="eastAsia" w:ascii="宋体" w:hAnsi="宋体" w:cs="宋体"/>
                <w:szCs w:val="21"/>
                <w:u w:val="none" w:color="auto"/>
              </w:rPr>
              <w:t>（每组3件）</w:t>
            </w:r>
          </w:p>
        </w:tc>
        <w:tc>
          <w:tcPr>
            <w:tcW w:w="94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4.7.11</w:t>
            </w:r>
          </w:p>
        </w:tc>
        <w:tc>
          <w:tcPr>
            <w:tcW w:w="2564"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59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3</w:t>
            </w:r>
          </w:p>
        </w:tc>
        <w:tc>
          <w:tcPr>
            <w:tcW w:w="64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组</w:t>
            </w:r>
          </w:p>
        </w:tc>
        <w:tc>
          <w:tcPr>
            <w:tcW w:w="1124" w:type="dxa"/>
            <w:noWrap w:val="0"/>
            <w:vAlign w:val="center"/>
          </w:tcPr>
          <w:p>
            <w:pPr>
              <w:spacing w:line="240" w:lineRule="auto"/>
              <w:ind w:firstLine="0"/>
              <w:jc w:val="center"/>
              <w:textAlignment w:val="auto"/>
              <w:rPr>
                <w:rFonts w:ascii="宋体" w:hAnsi="宋体" w:cs="宋体"/>
                <w:szCs w:val="21"/>
                <w:u w:val="none" w:color="auto"/>
              </w:rPr>
            </w:pPr>
          </w:p>
        </w:tc>
        <w:tc>
          <w:tcPr>
            <w:tcW w:w="1184"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12"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2312" w:type="dxa"/>
            <w:gridSpan w:val="2"/>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氯离子含量（硬化后）（试块送检）</w:t>
            </w:r>
          </w:p>
        </w:tc>
        <w:tc>
          <w:tcPr>
            <w:tcW w:w="94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4.7.12</w:t>
            </w:r>
          </w:p>
        </w:tc>
        <w:tc>
          <w:tcPr>
            <w:tcW w:w="2564"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同产品、同批号每500张抽1组，不足500张为1组</w:t>
            </w:r>
          </w:p>
        </w:tc>
        <w:tc>
          <w:tcPr>
            <w:tcW w:w="59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3</w:t>
            </w:r>
          </w:p>
        </w:tc>
        <w:tc>
          <w:tcPr>
            <w:tcW w:w="64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组</w:t>
            </w:r>
          </w:p>
        </w:tc>
        <w:tc>
          <w:tcPr>
            <w:tcW w:w="1124" w:type="dxa"/>
            <w:noWrap w:val="0"/>
            <w:vAlign w:val="center"/>
          </w:tcPr>
          <w:p>
            <w:pPr>
              <w:spacing w:line="240" w:lineRule="auto"/>
              <w:ind w:firstLine="0"/>
              <w:jc w:val="center"/>
              <w:textAlignment w:val="auto"/>
              <w:rPr>
                <w:rFonts w:ascii="宋体" w:hAnsi="宋体" w:cs="宋体"/>
                <w:szCs w:val="21"/>
                <w:u w:val="none" w:color="auto"/>
              </w:rPr>
            </w:pPr>
          </w:p>
        </w:tc>
        <w:tc>
          <w:tcPr>
            <w:tcW w:w="1184"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12" w:type="dxa"/>
            <w:vMerge w:val="restart"/>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砂浆</w:t>
            </w:r>
          </w:p>
        </w:tc>
        <w:tc>
          <w:tcPr>
            <w:tcW w:w="2312" w:type="dxa"/>
            <w:gridSpan w:val="2"/>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砌筑砂浆配合比设计</w:t>
            </w:r>
          </w:p>
        </w:tc>
        <w:tc>
          <w:tcPr>
            <w:tcW w:w="94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4.8.1</w:t>
            </w:r>
          </w:p>
        </w:tc>
        <w:tc>
          <w:tcPr>
            <w:tcW w:w="2564"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每个强度为1组每组送样：砂子30kg、水泥20kg</w:t>
            </w:r>
          </w:p>
        </w:tc>
        <w:tc>
          <w:tcPr>
            <w:tcW w:w="59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4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个</w:t>
            </w:r>
          </w:p>
        </w:tc>
        <w:tc>
          <w:tcPr>
            <w:tcW w:w="1124" w:type="dxa"/>
            <w:noWrap w:val="0"/>
            <w:vAlign w:val="center"/>
          </w:tcPr>
          <w:p>
            <w:pPr>
              <w:spacing w:line="240" w:lineRule="auto"/>
              <w:ind w:firstLine="0"/>
              <w:jc w:val="center"/>
              <w:textAlignment w:val="auto"/>
              <w:rPr>
                <w:rFonts w:ascii="宋体" w:hAnsi="宋体" w:cs="宋体"/>
                <w:szCs w:val="21"/>
                <w:u w:val="none" w:color="auto"/>
              </w:rPr>
            </w:pPr>
          </w:p>
        </w:tc>
        <w:tc>
          <w:tcPr>
            <w:tcW w:w="1184"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12"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2312" w:type="dxa"/>
            <w:gridSpan w:val="2"/>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抹灰砂浆配合比设计</w:t>
            </w:r>
          </w:p>
        </w:tc>
        <w:tc>
          <w:tcPr>
            <w:tcW w:w="94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4.8.2</w:t>
            </w:r>
          </w:p>
        </w:tc>
        <w:tc>
          <w:tcPr>
            <w:tcW w:w="2564"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每个强度为1组每组送样：砂子30kg、水泥20kg</w:t>
            </w:r>
          </w:p>
        </w:tc>
        <w:tc>
          <w:tcPr>
            <w:tcW w:w="59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4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个</w:t>
            </w:r>
          </w:p>
        </w:tc>
        <w:tc>
          <w:tcPr>
            <w:tcW w:w="1124" w:type="dxa"/>
            <w:noWrap w:val="0"/>
            <w:vAlign w:val="center"/>
          </w:tcPr>
          <w:p>
            <w:pPr>
              <w:spacing w:line="240" w:lineRule="auto"/>
              <w:ind w:firstLine="0"/>
              <w:jc w:val="center"/>
              <w:textAlignment w:val="auto"/>
              <w:rPr>
                <w:rFonts w:ascii="宋体" w:hAnsi="宋体" w:cs="宋体"/>
                <w:szCs w:val="21"/>
                <w:u w:val="none" w:color="auto"/>
              </w:rPr>
            </w:pPr>
          </w:p>
        </w:tc>
        <w:tc>
          <w:tcPr>
            <w:tcW w:w="1184"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2"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2312" w:type="dxa"/>
            <w:gridSpan w:val="2"/>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试块抗压强度</w:t>
            </w:r>
          </w:p>
        </w:tc>
        <w:tc>
          <w:tcPr>
            <w:tcW w:w="94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4.8.3</w:t>
            </w:r>
          </w:p>
        </w:tc>
        <w:tc>
          <w:tcPr>
            <w:tcW w:w="2564" w:type="dxa"/>
            <w:vMerge w:val="restart"/>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砌筑砂浆按每一个台班，同一配合比，同一层砌体或250m3砌体取1组试块。</w:t>
            </w:r>
          </w:p>
        </w:tc>
        <w:tc>
          <w:tcPr>
            <w:tcW w:w="59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6</w:t>
            </w:r>
          </w:p>
        </w:tc>
        <w:tc>
          <w:tcPr>
            <w:tcW w:w="64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组</w:t>
            </w:r>
          </w:p>
        </w:tc>
        <w:tc>
          <w:tcPr>
            <w:tcW w:w="1124" w:type="dxa"/>
            <w:noWrap w:val="0"/>
            <w:vAlign w:val="center"/>
          </w:tcPr>
          <w:p>
            <w:pPr>
              <w:spacing w:line="240" w:lineRule="auto"/>
              <w:ind w:firstLine="0"/>
              <w:jc w:val="center"/>
              <w:textAlignment w:val="auto"/>
              <w:rPr>
                <w:rFonts w:ascii="宋体" w:hAnsi="宋体" w:cs="宋体"/>
                <w:szCs w:val="21"/>
                <w:u w:val="none" w:color="auto"/>
              </w:rPr>
            </w:pPr>
          </w:p>
        </w:tc>
        <w:tc>
          <w:tcPr>
            <w:tcW w:w="1184"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2"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2312" w:type="dxa"/>
            <w:gridSpan w:val="2"/>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标准养护（每组3件）</w:t>
            </w:r>
          </w:p>
        </w:tc>
        <w:tc>
          <w:tcPr>
            <w:tcW w:w="94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4.8.6</w:t>
            </w:r>
          </w:p>
        </w:tc>
        <w:tc>
          <w:tcPr>
            <w:tcW w:w="2564"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59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6</w:t>
            </w:r>
          </w:p>
        </w:tc>
        <w:tc>
          <w:tcPr>
            <w:tcW w:w="64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组</w:t>
            </w:r>
          </w:p>
        </w:tc>
        <w:tc>
          <w:tcPr>
            <w:tcW w:w="1124" w:type="dxa"/>
            <w:noWrap w:val="0"/>
            <w:vAlign w:val="center"/>
          </w:tcPr>
          <w:p>
            <w:pPr>
              <w:spacing w:line="240" w:lineRule="auto"/>
              <w:ind w:firstLine="0"/>
              <w:jc w:val="center"/>
              <w:textAlignment w:val="auto"/>
              <w:rPr>
                <w:rFonts w:ascii="宋体" w:hAnsi="宋体" w:cs="宋体"/>
                <w:szCs w:val="21"/>
                <w:u w:val="none" w:color="auto"/>
              </w:rPr>
            </w:pPr>
          </w:p>
        </w:tc>
        <w:tc>
          <w:tcPr>
            <w:tcW w:w="1184"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512" w:type="dxa"/>
            <w:vMerge w:val="restart"/>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钢材/钢筋</w:t>
            </w:r>
          </w:p>
        </w:tc>
        <w:tc>
          <w:tcPr>
            <w:tcW w:w="1039" w:type="dxa"/>
            <w:vMerge w:val="restart"/>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钢筋原材（拉伸试验）（包括焊接）</w:t>
            </w:r>
          </w:p>
        </w:tc>
        <w:tc>
          <w:tcPr>
            <w:tcW w:w="1273"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(d≤12mm)</w:t>
            </w:r>
          </w:p>
        </w:tc>
        <w:tc>
          <w:tcPr>
            <w:tcW w:w="942" w:type="dxa"/>
            <w:vMerge w:val="restart"/>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4.14.1</w:t>
            </w:r>
          </w:p>
        </w:tc>
        <w:tc>
          <w:tcPr>
            <w:tcW w:w="2564" w:type="dxa"/>
            <w:vMerge w:val="restart"/>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以同一牌号、同一厂家、同一炉罐号、同一规格、同一进场时间的不大于60t的钢筋为一批</w:t>
            </w:r>
          </w:p>
        </w:tc>
        <w:tc>
          <w:tcPr>
            <w:tcW w:w="59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8</w:t>
            </w:r>
          </w:p>
        </w:tc>
        <w:tc>
          <w:tcPr>
            <w:tcW w:w="64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根</w:t>
            </w:r>
          </w:p>
        </w:tc>
        <w:tc>
          <w:tcPr>
            <w:tcW w:w="1124" w:type="dxa"/>
            <w:noWrap w:val="0"/>
            <w:vAlign w:val="center"/>
          </w:tcPr>
          <w:p>
            <w:pPr>
              <w:spacing w:line="240" w:lineRule="auto"/>
              <w:ind w:firstLine="0"/>
              <w:jc w:val="center"/>
              <w:textAlignment w:val="auto"/>
              <w:rPr>
                <w:rFonts w:ascii="宋体" w:hAnsi="宋体" w:cs="宋体"/>
                <w:szCs w:val="21"/>
                <w:u w:val="none" w:color="auto"/>
              </w:rPr>
            </w:pPr>
          </w:p>
        </w:tc>
        <w:tc>
          <w:tcPr>
            <w:tcW w:w="1184"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12"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1039"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1273"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(12＜d≤20)</w:t>
            </w:r>
          </w:p>
        </w:tc>
        <w:tc>
          <w:tcPr>
            <w:tcW w:w="942"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2564"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59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8</w:t>
            </w:r>
          </w:p>
        </w:tc>
        <w:tc>
          <w:tcPr>
            <w:tcW w:w="64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根</w:t>
            </w:r>
          </w:p>
        </w:tc>
        <w:tc>
          <w:tcPr>
            <w:tcW w:w="1124" w:type="dxa"/>
            <w:noWrap w:val="0"/>
            <w:vAlign w:val="center"/>
          </w:tcPr>
          <w:p>
            <w:pPr>
              <w:spacing w:line="240" w:lineRule="auto"/>
              <w:ind w:firstLine="0"/>
              <w:jc w:val="center"/>
              <w:textAlignment w:val="auto"/>
              <w:rPr>
                <w:rFonts w:ascii="宋体" w:hAnsi="宋体" w:cs="宋体"/>
                <w:szCs w:val="21"/>
                <w:u w:val="none" w:color="auto"/>
              </w:rPr>
            </w:pPr>
          </w:p>
        </w:tc>
        <w:tc>
          <w:tcPr>
            <w:tcW w:w="1184"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512"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1039" w:type="dxa"/>
            <w:vMerge w:val="restart"/>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钢筋原材（反向弯曲）</w:t>
            </w:r>
          </w:p>
        </w:tc>
        <w:tc>
          <w:tcPr>
            <w:tcW w:w="1273"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(d≤12mm)</w:t>
            </w:r>
          </w:p>
        </w:tc>
        <w:tc>
          <w:tcPr>
            <w:tcW w:w="942" w:type="dxa"/>
            <w:vMerge w:val="restart"/>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4.14.3</w:t>
            </w:r>
          </w:p>
        </w:tc>
        <w:tc>
          <w:tcPr>
            <w:tcW w:w="2564"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59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w:t>
            </w:r>
          </w:p>
        </w:tc>
        <w:tc>
          <w:tcPr>
            <w:tcW w:w="64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根</w:t>
            </w:r>
          </w:p>
        </w:tc>
        <w:tc>
          <w:tcPr>
            <w:tcW w:w="1124" w:type="dxa"/>
            <w:noWrap w:val="0"/>
            <w:vAlign w:val="center"/>
          </w:tcPr>
          <w:p>
            <w:pPr>
              <w:spacing w:line="240" w:lineRule="auto"/>
              <w:ind w:firstLine="0"/>
              <w:jc w:val="center"/>
              <w:textAlignment w:val="auto"/>
              <w:rPr>
                <w:rFonts w:ascii="宋体" w:hAnsi="宋体" w:cs="宋体"/>
                <w:szCs w:val="21"/>
                <w:u w:val="none" w:color="auto"/>
              </w:rPr>
            </w:pPr>
          </w:p>
        </w:tc>
        <w:tc>
          <w:tcPr>
            <w:tcW w:w="1184"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512"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1039"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1273"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(12＜d≤20)</w:t>
            </w:r>
          </w:p>
        </w:tc>
        <w:tc>
          <w:tcPr>
            <w:tcW w:w="942"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2564"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59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w:t>
            </w:r>
          </w:p>
        </w:tc>
        <w:tc>
          <w:tcPr>
            <w:tcW w:w="64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根</w:t>
            </w:r>
          </w:p>
        </w:tc>
        <w:tc>
          <w:tcPr>
            <w:tcW w:w="1124" w:type="dxa"/>
            <w:noWrap w:val="0"/>
            <w:vAlign w:val="center"/>
          </w:tcPr>
          <w:p>
            <w:pPr>
              <w:spacing w:line="240" w:lineRule="auto"/>
              <w:ind w:firstLine="0"/>
              <w:jc w:val="center"/>
              <w:textAlignment w:val="auto"/>
              <w:rPr>
                <w:rFonts w:ascii="宋体" w:hAnsi="宋体" w:cs="宋体"/>
                <w:szCs w:val="21"/>
                <w:u w:val="none" w:color="auto"/>
              </w:rPr>
            </w:pPr>
          </w:p>
        </w:tc>
        <w:tc>
          <w:tcPr>
            <w:tcW w:w="1184"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512"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1039"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尺寸或重量偏差检测</w:t>
            </w:r>
          </w:p>
        </w:tc>
        <w:tc>
          <w:tcPr>
            <w:tcW w:w="1273"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d≤20mm</w:t>
            </w:r>
          </w:p>
        </w:tc>
        <w:tc>
          <w:tcPr>
            <w:tcW w:w="94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4.14.4</w:t>
            </w:r>
          </w:p>
        </w:tc>
        <w:tc>
          <w:tcPr>
            <w:tcW w:w="2564"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59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8</w:t>
            </w:r>
          </w:p>
        </w:tc>
        <w:tc>
          <w:tcPr>
            <w:tcW w:w="64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124" w:type="dxa"/>
            <w:noWrap w:val="0"/>
            <w:vAlign w:val="center"/>
          </w:tcPr>
          <w:p>
            <w:pPr>
              <w:spacing w:line="240" w:lineRule="auto"/>
              <w:ind w:firstLine="0"/>
              <w:jc w:val="center"/>
              <w:textAlignment w:val="auto"/>
              <w:rPr>
                <w:rFonts w:ascii="宋体" w:hAnsi="宋体" w:cs="宋体"/>
                <w:szCs w:val="21"/>
                <w:u w:val="none" w:color="auto"/>
              </w:rPr>
            </w:pPr>
          </w:p>
        </w:tc>
        <w:tc>
          <w:tcPr>
            <w:tcW w:w="1184"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12"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1039" w:type="dxa"/>
            <w:vMerge w:val="restart"/>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型钢、钢</w:t>
            </w:r>
            <w:r>
              <w:rPr>
                <w:rFonts w:hint="eastAsia" w:ascii="宋体" w:hAnsi="宋体" w:cs="宋体"/>
                <w:szCs w:val="21"/>
                <w:u w:val="none" w:color="auto"/>
              </w:rPr>
              <w:br w:type="textWrapping"/>
            </w:r>
            <w:r>
              <w:rPr>
                <w:rFonts w:hint="eastAsia" w:ascii="宋体" w:hAnsi="宋体" w:cs="宋体"/>
                <w:szCs w:val="21"/>
                <w:u w:val="none" w:color="auto"/>
              </w:rPr>
              <w:t>板、碳素</w:t>
            </w:r>
            <w:r>
              <w:rPr>
                <w:rFonts w:hint="eastAsia" w:ascii="宋体" w:hAnsi="宋体" w:cs="宋体"/>
                <w:szCs w:val="21"/>
                <w:u w:val="none" w:color="auto"/>
              </w:rPr>
              <w:br w:type="textWrapping"/>
            </w:r>
            <w:r>
              <w:rPr>
                <w:rFonts w:hint="eastAsia" w:ascii="宋体" w:hAnsi="宋体" w:cs="宋体"/>
                <w:szCs w:val="21"/>
                <w:u w:val="none" w:color="auto"/>
                <w:lang w:eastAsia="zh-CN"/>
              </w:rPr>
              <w:t>结构</w:t>
            </w:r>
            <w:r>
              <w:rPr>
                <w:rFonts w:hint="eastAsia" w:ascii="宋体" w:hAnsi="宋体" w:cs="宋体"/>
                <w:szCs w:val="21"/>
                <w:u w:val="none" w:color="auto"/>
              </w:rPr>
              <w:t>等</w:t>
            </w:r>
            <w:r>
              <w:rPr>
                <w:rFonts w:hint="eastAsia" w:ascii="宋体" w:hAnsi="宋体" w:cs="宋体"/>
                <w:szCs w:val="21"/>
                <w:u w:val="none" w:color="auto"/>
              </w:rPr>
              <w:br w:type="textWrapping"/>
            </w:r>
            <w:r>
              <w:rPr>
                <w:rFonts w:hint="eastAsia" w:ascii="宋体" w:hAnsi="宋体" w:cs="宋体"/>
                <w:szCs w:val="21"/>
                <w:u w:val="none" w:color="auto"/>
              </w:rPr>
              <w:t>工艺力学</w:t>
            </w:r>
            <w:r>
              <w:rPr>
                <w:rFonts w:hint="eastAsia" w:ascii="宋体" w:hAnsi="宋体" w:cs="宋体"/>
                <w:szCs w:val="21"/>
                <w:u w:val="none" w:color="auto"/>
              </w:rPr>
              <w:br w:type="textWrapping"/>
            </w:r>
            <w:r>
              <w:rPr>
                <w:rFonts w:hint="eastAsia" w:ascii="宋体" w:hAnsi="宋体" w:cs="宋体"/>
                <w:szCs w:val="21"/>
                <w:u w:val="none" w:color="auto"/>
              </w:rPr>
              <w:t>性能</w:t>
            </w:r>
          </w:p>
        </w:tc>
        <w:tc>
          <w:tcPr>
            <w:tcW w:w="1273" w:type="dxa"/>
            <w:noWrap w:val="0"/>
            <w:vAlign w:val="center"/>
          </w:tcPr>
          <w:p>
            <w:pPr>
              <w:spacing w:line="240" w:lineRule="auto"/>
              <w:ind w:firstLine="0"/>
              <w:jc w:val="left"/>
              <w:textAlignment w:val="auto"/>
              <w:rPr>
                <w:rFonts w:ascii="宋体" w:hAnsi="宋体" w:cs="宋体"/>
                <w:szCs w:val="21"/>
                <w:u w:val="none" w:color="auto"/>
              </w:rPr>
            </w:pPr>
            <w:r>
              <w:rPr>
                <w:rFonts w:hint="eastAsia" w:ascii="宋体" w:hAnsi="宋体" w:cs="宋体"/>
                <w:szCs w:val="21"/>
                <w:u w:val="none" w:color="auto"/>
              </w:rPr>
              <w:t>厚度＜15mm</w:t>
            </w:r>
          </w:p>
        </w:tc>
        <w:tc>
          <w:tcPr>
            <w:tcW w:w="942" w:type="dxa"/>
            <w:vMerge w:val="restart"/>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4.14.5</w:t>
            </w:r>
          </w:p>
        </w:tc>
        <w:tc>
          <w:tcPr>
            <w:tcW w:w="2564" w:type="dxa"/>
            <w:vMerge w:val="restart"/>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同一牌号、同一炉罐号、同一尺寸的每60t为一验收批</w:t>
            </w:r>
          </w:p>
        </w:tc>
        <w:tc>
          <w:tcPr>
            <w:tcW w:w="59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2</w:t>
            </w:r>
          </w:p>
        </w:tc>
        <w:tc>
          <w:tcPr>
            <w:tcW w:w="64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组</w:t>
            </w:r>
          </w:p>
        </w:tc>
        <w:tc>
          <w:tcPr>
            <w:tcW w:w="1124" w:type="dxa"/>
            <w:noWrap w:val="0"/>
            <w:vAlign w:val="center"/>
          </w:tcPr>
          <w:p>
            <w:pPr>
              <w:spacing w:line="240" w:lineRule="auto"/>
              <w:ind w:firstLine="0"/>
              <w:jc w:val="center"/>
              <w:textAlignment w:val="auto"/>
              <w:rPr>
                <w:rFonts w:ascii="宋体" w:hAnsi="宋体" w:cs="宋体"/>
                <w:szCs w:val="21"/>
                <w:u w:val="none" w:color="auto"/>
              </w:rPr>
            </w:pPr>
          </w:p>
        </w:tc>
        <w:tc>
          <w:tcPr>
            <w:tcW w:w="1184"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12"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1039"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1273" w:type="dxa"/>
            <w:noWrap w:val="0"/>
            <w:vAlign w:val="center"/>
          </w:tcPr>
          <w:p>
            <w:pPr>
              <w:spacing w:line="240" w:lineRule="auto"/>
              <w:ind w:firstLine="0"/>
              <w:jc w:val="left"/>
              <w:textAlignment w:val="auto"/>
              <w:rPr>
                <w:rFonts w:ascii="宋体" w:hAnsi="宋体" w:cs="宋体"/>
                <w:szCs w:val="21"/>
                <w:u w:val="none" w:color="auto"/>
              </w:rPr>
            </w:pPr>
            <w:r>
              <w:rPr>
                <w:rFonts w:hint="eastAsia" w:ascii="宋体" w:hAnsi="宋体" w:cs="宋体"/>
                <w:szCs w:val="21"/>
                <w:u w:val="none" w:color="auto"/>
              </w:rPr>
              <w:t>15mm≤厚度＜25mm</w:t>
            </w:r>
          </w:p>
        </w:tc>
        <w:tc>
          <w:tcPr>
            <w:tcW w:w="942"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2564"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59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2</w:t>
            </w:r>
          </w:p>
        </w:tc>
        <w:tc>
          <w:tcPr>
            <w:tcW w:w="64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组</w:t>
            </w:r>
          </w:p>
        </w:tc>
        <w:tc>
          <w:tcPr>
            <w:tcW w:w="1124" w:type="dxa"/>
            <w:noWrap w:val="0"/>
            <w:vAlign w:val="center"/>
          </w:tcPr>
          <w:p>
            <w:pPr>
              <w:spacing w:line="240" w:lineRule="auto"/>
              <w:ind w:firstLine="0"/>
              <w:jc w:val="center"/>
              <w:textAlignment w:val="auto"/>
              <w:rPr>
                <w:rFonts w:ascii="宋体" w:hAnsi="宋体" w:cs="宋体"/>
                <w:szCs w:val="21"/>
                <w:u w:val="none" w:color="auto"/>
              </w:rPr>
            </w:pPr>
          </w:p>
        </w:tc>
        <w:tc>
          <w:tcPr>
            <w:tcW w:w="1184"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jc w:val="center"/>
        </w:trPr>
        <w:tc>
          <w:tcPr>
            <w:tcW w:w="512" w:type="dxa"/>
            <w:vMerge w:val="restart"/>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钢结构用螺栓</w:t>
            </w:r>
          </w:p>
        </w:tc>
        <w:tc>
          <w:tcPr>
            <w:tcW w:w="2312" w:type="dxa"/>
            <w:gridSpan w:val="2"/>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扭矩系数</w:t>
            </w:r>
          </w:p>
        </w:tc>
        <w:tc>
          <w:tcPr>
            <w:tcW w:w="94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4.15.1</w:t>
            </w:r>
          </w:p>
        </w:tc>
        <w:tc>
          <w:tcPr>
            <w:tcW w:w="2564"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按螺栓3000套为一批，每组8根</w:t>
            </w:r>
          </w:p>
        </w:tc>
        <w:tc>
          <w:tcPr>
            <w:tcW w:w="59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3</w:t>
            </w:r>
          </w:p>
        </w:tc>
        <w:tc>
          <w:tcPr>
            <w:tcW w:w="64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件</w:t>
            </w:r>
          </w:p>
        </w:tc>
        <w:tc>
          <w:tcPr>
            <w:tcW w:w="1124" w:type="dxa"/>
            <w:noWrap w:val="0"/>
            <w:vAlign w:val="center"/>
          </w:tcPr>
          <w:p>
            <w:pPr>
              <w:spacing w:line="240" w:lineRule="auto"/>
              <w:ind w:firstLine="0"/>
              <w:jc w:val="center"/>
              <w:textAlignment w:val="auto"/>
              <w:rPr>
                <w:rFonts w:ascii="宋体" w:hAnsi="宋体" w:cs="宋体"/>
                <w:szCs w:val="21"/>
                <w:u w:val="none" w:color="auto"/>
              </w:rPr>
            </w:pPr>
          </w:p>
        </w:tc>
        <w:tc>
          <w:tcPr>
            <w:tcW w:w="1184"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512"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2312" w:type="dxa"/>
            <w:gridSpan w:val="2"/>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抗滑移系数</w:t>
            </w:r>
          </w:p>
        </w:tc>
        <w:tc>
          <w:tcPr>
            <w:tcW w:w="94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4.15.2</w:t>
            </w:r>
          </w:p>
        </w:tc>
        <w:tc>
          <w:tcPr>
            <w:tcW w:w="2564"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每5万个高强螺栓的用量为一批，选择两种及两种以上的表面处理工艺时，每种处理工艺都需检验</w:t>
            </w:r>
          </w:p>
        </w:tc>
        <w:tc>
          <w:tcPr>
            <w:tcW w:w="59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3</w:t>
            </w:r>
          </w:p>
        </w:tc>
        <w:tc>
          <w:tcPr>
            <w:tcW w:w="64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组</w:t>
            </w:r>
          </w:p>
        </w:tc>
        <w:tc>
          <w:tcPr>
            <w:tcW w:w="1124" w:type="dxa"/>
            <w:noWrap w:val="0"/>
            <w:vAlign w:val="center"/>
          </w:tcPr>
          <w:p>
            <w:pPr>
              <w:spacing w:line="240" w:lineRule="auto"/>
              <w:ind w:firstLine="0"/>
              <w:jc w:val="center"/>
              <w:textAlignment w:val="auto"/>
              <w:rPr>
                <w:rFonts w:ascii="宋体" w:hAnsi="宋体" w:cs="宋体"/>
                <w:szCs w:val="21"/>
                <w:u w:val="none" w:color="auto"/>
              </w:rPr>
            </w:pPr>
          </w:p>
        </w:tc>
        <w:tc>
          <w:tcPr>
            <w:tcW w:w="1184"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12"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2312" w:type="dxa"/>
            <w:gridSpan w:val="2"/>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预拉力</w:t>
            </w:r>
          </w:p>
        </w:tc>
        <w:tc>
          <w:tcPr>
            <w:tcW w:w="94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4.15.3</w:t>
            </w:r>
          </w:p>
        </w:tc>
        <w:tc>
          <w:tcPr>
            <w:tcW w:w="2564"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按螺栓3000套为一批，每组8根</w:t>
            </w:r>
          </w:p>
        </w:tc>
        <w:tc>
          <w:tcPr>
            <w:tcW w:w="59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24</w:t>
            </w:r>
          </w:p>
        </w:tc>
        <w:tc>
          <w:tcPr>
            <w:tcW w:w="64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根</w:t>
            </w:r>
          </w:p>
        </w:tc>
        <w:tc>
          <w:tcPr>
            <w:tcW w:w="1124" w:type="dxa"/>
            <w:noWrap w:val="0"/>
            <w:vAlign w:val="center"/>
          </w:tcPr>
          <w:p>
            <w:pPr>
              <w:spacing w:line="240" w:lineRule="auto"/>
              <w:ind w:firstLine="0"/>
              <w:jc w:val="center"/>
              <w:textAlignment w:val="auto"/>
              <w:rPr>
                <w:rFonts w:ascii="宋体" w:hAnsi="宋体" w:cs="宋体"/>
                <w:szCs w:val="21"/>
                <w:u w:val="none" w:color="auto"/>
              </w:rPr>
            </w:pPr>
          </w:p>
        </w:tc>
        <w:tc>
          <w:tcPr>
            <w:tcW w:w="1184"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512"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1039" w:type="dxa"/>
            <w:vMerge w:val="restart"/>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最小拉力荷载</w:t>
            </w:r>
          </w:p>
        </w:tc>
        <w:tc>
          <w:tcPr>
            <w:tcW w:w="1273"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D≤M24</w:t>
            </w:r>
          </w:p>
        </w:tc>
        <w:tc>
          <w:tcPr>
            <w:tcW w:w="942" w:type="dxa"/>
            <w:vMerge w:val="restart"/>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4.15.4</w:t>
            </w:r>
          </w:p>
        </w:tc>
        <w:tc>
          <w:tcPr>
            <w:tcW w:w="2564" w:type="dxa"/>
            <w:vMerge w:val="restart"/>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60t为1批次，每种规格取2件</w:t>
            </w:r>
          </w:p>
        </w:tc>
        <w:tc>
          <w:tcPr>
            <w:tcW w:w="59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6</w:t>
            </w:r>
          </w:p>
        </w:tc>
        <w:tc>
          <w:tcPr>
            <w:tcW w:w="64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件</w:t>
            </w:r>
          </w:p>
        </w:tc>
        <w:tc>
          <w:tcPr>
            <w:tcW w:w="1124" w:type="dxa"/>
            <w:noWrap w:val="0"/>
            <w:vAlign w:val="center"/>
          </w:tcPr>
          <w:p>
            <w:pPr>
              <w:spacing w:line="240" w:lineRule="auto"/>
              <w:ind w:firstLine="0"/>
              <w:jc w:val="center"/>
              <w:textAlignment w:val="auto"/>
              <w:rPr>
                <w:rFonts w:ascii="宋体" w:hAnsi="宋体" w:cs="宋体"/>
                <w:szCs w:val="21"/>
                <w:u w:val="none" w:color="auto"/>
              </w:rPr>
            </w:pPr>
          </w:p>
        </w:tc>
        <w:tc>
          <w:tcPr>
            <w:tcW w:w="1184"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512"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1039"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1273"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D＞M24</w:t>
            </w:r>
          </w:p>
        </w:tc>
        <w:tc>
          <w:tcPr>
            <w:tcW w:w="942"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2564"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59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6</w:t>
            </w:r>
          </w:p>
        </w:tc>
        <w:tc>
          <w:tcPr>
            <w:tcW w:w="64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件</w:t>
            </w:r>
          </w:p>
        </w:tc>
        <w:tc>
          <w:tcPr>
            <w:tcW w:w="1124" w:type="dxa"/>
            <w:noWrap w:val="0"/>
            <w:vAlign w:val="center"/>
          </w:tcPr>
          <w:p>
            <w:pPr>
              <w:spacing w:line="240" w:lineRule="auto"/>
              <w:ind w:firstLine="0"/>
              <w:jc w:val="center"/>
              <w:textAlignment w:val="auto"/>
              <w:rPr>
                <w:rFonts w:ascii="宋体" w:hAnsi="宋体" w:cs="宋体"/>
                <w:szCs w:val="21"/>
                <w:u w:val="none" w:color="auto"/>
              </w:rPr>
            </w:pPr>
          </w:p>
        </w:tc>
        <w:tc>
          <w:tcPr>
            <w:tcW w:w="1184"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512" w:type="dxa"/>
            <w:vMerge w:val="restart"/>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砖</w:t>
            </w:r>
          </w:p>
        </w:tc>
        <w:tc>
          <w:tcPr>
            <w:tcW w:w="2312" w:type="dxa"/>
            <w:gridSpan w:val="2"/>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抗压强度</w:t>
            </w:r>
          </w:p>
        </w:tc>
        <w:tc>
          <w:tcPr>
            <w:tcW w:w="94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4.17.1</w:t>
            </w:r>
          </w:p>
        </w:tc>
        <w:tc>
          <w:tcPr>
            <w:tcW w:w="2564" w:type="dxa"/>
            <w:vMerge w:val="restart"/>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在每批中随机抽取：</w:t>
            </w:r>
            <w:r>
              <w:rPr>
                <w:rFonts w:hint="eastAsia" w:ascii="宋体" w:hAnsi="宋体" w:cs="宋体"/>
                <w:szCs w:val="21"/>
                <w:u w:val="none" w:color="auto"/>
              </w:rPr>
              <w:br w:type="textWrapping"/>
            </w:r>
            <w:r>
              <w:rPr>
                <w:rFonts w:hint="eastAsia" w:ascii="宋体" w:hAnsi="宋体" w:cs="宋体"/>
                <w:szCs w:val="21"/>
                <w:u w:val="none" w:color="auto"/>
              </w:rPr>
              <w:t>以同规格、材料、强度和同一工艺生产的3.5万～15万块为一批，不足3.5万块以一批计</w:t>
            </w:r>
          </w:p>
        </w:tc>
        <w:tc>
          <w:tcPr>
            <w:tcW w:w="59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4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组</w:t>
            </w:r>
          </w:p>
        </w:tc>
        <w:tc>
          <w:tcPr>
            <w:tcW w:w="1124" w:type="dxa"/>
            <w:noWrap w:val="0"/>
            <w:vAlign w:val="center"/>
          </w:tcPr>
          <w:p>
            <w:pPr>
              <w:spacing w:line="240" w:lineRule="auto"/>
              <w:ind w:firstLine="0"/>
              <w:jc w:val="center"/>
              <w:textAlignment w:val="auto"/>
              <w:rPr>
                <w:rFonts w:ascii="宋体" w:hAnsi="宋体" w:cs="宋体"/>
                <w:szCs w:val="21"/>
                <w:u w:val="none" w:color="auto"/>
              </w:rPr>
            </w:pPr>
          </w:p>
        </w:tc>
        <w:tc>
          <w:tcPr>
            <w:tcW w:w="1184"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512"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2312" w:type="dxa"/>
            <w:gridSpan w:val="2"/>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孔洞率</w:t>
            </w:r>
          </w:p>
        </w:tc>
        <w:tc>
          <w:tcPr>
            <w:tcW w:w="94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4.17.2</w:t>
            </w:r>
          </w:p>
        </w:tc>
        <w:tc>
          <w:tcPr>
            <w:tcW w:w="2564"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59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4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组</w:t>
            </w:r>
          </w:p>
        </w:tc>
        <w:tc>
          <w:tcPr>
            <w:tcW w:w="1124" w:type="dxa"/>
            <w:noWrap w:val="0"/>
            <w:vAlign w:val="center"/>
          </w:tcPr>
          <w:p>
            <w:pPr>
              <w:spacing w:line="240" w:lineRule="auto"/>
              <w:ind w:firstLine="0"/>
              <w:jc w:val="center"/>
              <w:textAlignment w:val="auto"/>
              <w:rPr>
                <w:rFonts w:ascii="宋体" w:hAnsi="宋体" w:cs="宋体"/>
                <w:szCs w:val="21"/>
                <w:u w:val="none" w:color="auto"/>
              </w:rPr>
            </w:pPr>
          </w:p>
        </w:tc>
        <w:tc>
          <w:tcPr>
            <w:tcW w:w="1184"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512"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2312" w:type="dxa"/>
            <w:gridSpan w:val="2"/>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规格尺寸及外观质量</w:t>
            </w:r>
          </w:p>
        </w:tc>
        <w:tc>
          <w:tcPr>
            <w:tcW w:w="94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4.17.7</w:t>
            </w:r>
          </w:p>
        </w:tc>
        <w:tc>
          <w:tcPr>
            <w:tcW w:w="2564"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59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4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组</w:t>
            </w:r>
          </w:p>
        </w:tc>
        <w:tc>
          <w:tcPr>
            <w:tcW w:w="1124" w:type="dxa"/>
            <w:noWrap w:val="0"/>
            <w:vAlign w:val="center"/>
          </w:tcPr>
          <w:p>
            <w:pPr>
              <w:spacing w:line="240" w:lineRule="auto"/>
              <w:ind w:firstLine="0"/>
              <w:jc w:val="center"/>
              <w:textAlignment w:val="auto"/>
              <w:rPr>
                <w:rFonts w:ascii="宋体" w:hAnsi="宋体" w:cs="宋体"/>
                <w:szCs w:val="21"/>
                <w:u w:val="none" w:color="auto"/>
              </w:rPr>
            </w:pPr>
          </w:p>
        </w:tc>
        <w:tc>
          <w:tcPr>
            <w:tcW w:w="1184"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512" w:type="dxa"/>
            <w:vMerge w:val="restart"/>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防水材料</w:t>
            </w:r>
          </w:p>
        </w:tc>
        <w:tc>
          <w:tcPr>
            <w:tcW w:w="1039" w:type="dxa"/>
            <w:vMerge w:val="restart"/>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改性沥青防水卷材</w:t>
            </w:r>
          </w:p>
        </w:tc>
        <w:tc>
          <w:tcPr>
            <w:tcW w:w="1273"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厚度</w:t>
            </w:r>
          </w:p>
        </w:tc>
        <w:tc>
          <w:tcPr>
            <w:tcW w:w="94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4.20.4</w:t>
            </w:r>
          </w:p>
        </w:tc>
        <w:tc>
          <w:tcPr>
            <w:tcW w:w="2564" w:type="dxa"/>
            <w:vMerge w:val="restart"/>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以同一类型</w:t>
            </w:r>
            <w:r>
              <w:rPr>
                <w:rFonts w:hint="eastAsia" w:ascii="宋体" w:hAnsi="宋体" w:cs="宋体"/>
                <w:szCs w:val="21"/>
                <w:u w:val="none" w:color="auto"/>
                <w:lang w:eastAsia="zh-CN"/>
              </w:rPr>
              <w:t>，</w:t>
            </w:r>
            <w:r>
              <w:rPr>
                <w:rFonts w:hint="eastAsia" w:ascii="宋体" w:hAnsi="宋体" w:cs="宋体"/>
                <w:szCs w:val="21"/>
                <w:u w:val="none" w:color="auto"/>
              </w:rPr>
              <w:t>同一规格</w:t>
            </w:r>
            <w:r>
              <w:rPr>
                <w:rFonts w:hint="eastAsia" w:ascii="宋体" w:hAnsi="宋体" w:cs="宋体"/>
                <w:szCs w:val="21"/>
                <w:u w:val="none" w:color="auto"/>
                <w:lang w:eastAsia="zh-CN"/>
              </w:rPr>
              <w:t>，</w:t>
            </w:r>
            <w:r>
              <w:rPr>
                <w:rFonts w:hint="eastAsia" w:ascii="宋体" w:hAnsi="宋体" w:cs="宋体"/>
                <w:szCs w:val="21"/>
                <w:u w:val="none" w:color="auto"/>
              </w:rPr>
              <w:t>10000㎡为一批</w:t>
            </w:r>
            <w:r>
              <w:rPr>
                <w:rFonts w:hint="eastAsia" w:ascii="宋体" w:hAnsi="宋体" w:cs="宋体"/>
                <w:szCs w:val="21"/>
                <w:u w:val="none" w:color="auto"/>
                <w:lang w:eastAsia="zh-CN"/>
              </w:rPr>
              <w:t>，</w:t>
            </w:r>
            <w:r>
              <w:rPr>
                <w:rFonts w:hint="eastAsia" w:ascii="宋体" w:hAnsi="宋体" w:cs="宋体"/>
                <w:szCs w:val="21"/>
                <w:u w:val="none" w:color="auto"/>
              </w:rPr>
              <w:t>不足10000㎡亦可作为一批</w:t>
            </w:r>
          </w:p>
        </w:tc>
        <w:tc>
          <w:tcPr>
            <w:tcW w:w="59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4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124" w:type="dxa"/>
            <w:noWrap w:val="0"/>
            <w:vAlign w:val="center"/>
          </w:tcPr>
          <w:p>
            <w:pPr>
              <w:spacing w:line="240" w:lineRule="auto"/>
              <w:ind w:firstLine="0"/>
              <w:jc w:val="center"/>
              <w:textAlignment w:val="auto"/>
              <w:rPr>
                <w:rFonts w:ascii="宋体" w:hAnsi="宋体" w:cs="宋体"/>
                <w:szCs w:val="21"/>
                <w:u w:val="none" w:color="auto"/>
              </w:rPr>
            </w:pPr>
          </w:p>
        </w:tc>
        <w:tc>
          <w:tcPr>
            <w:tcW w:w="1184"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512"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1039"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1273"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可溶物含量</w:t>
            </w:r>
          </w:p>
        </w:tc>
        <w:tc>
          <w:tcPr>
            <w:tcW w:w="94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4.20.5</w:t>
            </w:r>
          </w:p>
        </w:tc>
        <w:tc>
          <w:tcPr>
            <w:tcW w:w="2564"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59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4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124" w:type="dxa"/>
            <w:noWrap w:val="0"/>
            <w:vAlign w:val="center"/>
          </w:tcPr>
          <w:p>
            <w:pPr>
              <w:spacing w:line="240" w:lineRule="auto"/>
              <w:ind w:firstLine="0"/>
              <w:jc w:val="center"/>
              <w:textAlignment w:val="auto"/>
              <w:rPr>
                <w:rFonts w:ascii="宋体" w:hAnsi="宋体" w:cs="宋体"/>
                <w:szCs w:val="21"/>
                <w:u w:val="none" w:color="auto"/>
              </w:rPr>
            </w:pPr>
          </w:p>
        </w:tc>
        <w:tc>
          <w:tcPr>
            <w:tcW w:w="1184"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512"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1039"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1273"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不透水性</w:t>
            </w:r>
          </w:p>
        </w:tc>
        <w:tc>
          <w:tcPr>
            <w:tcW w:w="94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4.20.6</w:t>
            </w:r>
          </w:p>
        </w:tc>
        <w:tc>
          <w:tcPr>
            <w:tcW w:w="2564"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59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4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124" w:type="dxa"/>
            <w:noWrap w:val="0"/>
            <w:vAlign w:val="center"/>
          </w:tcPr>
          <w:p>
            <w:pPr>
              <w:spacing w:line="240" w:lineRule="auto"/>
              <w:ind w:firstLine="0"/>
              <w:jc w:val="center"/>
              <w:textAlignment w:val="auto"/>
              <w:rPr>
                <w:rFonts w:ascii="宋体" w:hAnsi="宋体" w:cs="宋体"/>
                <w:szCs w:val="21"/>
                <w:u w:val="none" w:color="auto"/>
              </w:rPr>
            </w:pPr>
          </w:p>
        </w:tc>
        <w:tc>
          <w:tcPr>
            <w:tcW w:w="1184"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512"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1039"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1273"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耐热度</w:t>
            </w:r>
          </w:p>
        </w:tc>
        <w:tc>
          <w:tcPr>
            <w:tcW w:w="94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4.20.7</w:t>
            </w:r>
          </w:p>
        </w:tc>
        <w:tc>
          <w:tcPr>
            <w:tcW w:w="2564"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59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4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124" w:type="dxa"/>
            <w:noWrap w:val="0"/>
            <w:vAlign w:val="center"/>
          </w:tcPr>
          <w:p>
            <w:pPr>
              <w:spacing w:line="240" w:lineRule="auto"/>
              <w:ind w:firstLine="0"/>
              <w:jc w:val="center"/>
              <w:textAlignment w:val="auto"/>
              <w:rPr>
                <w:rFonts w:ascii="宋体" w:hAnsi="宋体" w:cs="宋体"/>
                <w:szCs w:val="21"/>
                <w:u w:val="none" w:color="auto"/>
              </w:rPr>
            </w:pPr>
          </w:p>
        </w:tc>
        <w:tc>
          <w:tcPr>
            <w:tcW w:w="1184"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512"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1039"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1273"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拉力</w:t>
            </w:r>
          </w:p>
        </w:tc>
        <w:tc>
          <w:tcPr>
            <w:tcW w:w="94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4.20.8</w:t>
            </w:r>
          </w:p>
        </w:tc>
        <w:tc>
          <w:tcPr>
            <w:tcW w:w="2564"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59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4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124" w:type="dxa"/>
            <w:noWrap w:val="0"/>
            <w:vAlign w:val="center"/>
          </w:tcPr>
          <w:p>
            <w:pPr>
              <w:spacing w:line="240" w:lineRule="auto"/>
              <w:ind w:firstLine="0"/>
              <w:jc w:val="center"/>
              <w:textAlignment w:val="auto"/>
              <w:rPr>
                <w:rFonts w:ascii="宋体" w:hAnsi="宋体" w:cs="宋体"/>
                <w:szCs w:val="21"/>
                <w:u w:val="none" w:color="auto"/>
              </w:rPr>
            </w:pPr>
          </w:p>
        </w:tc>
        <w:tc>
          <w:tcPr>
            <w:tcW w:w="1184"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512"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1039"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1273"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断裂延伸率</w:t>
            </w:r>
          </w:p>
        </w:tc>
        <w:tc>
          <w:tcPr>
            <w:tcW w:w="94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4.20.9</w:t>
            </w:r>
          </w:p>
        </w:tc>
        <w:tc>
          <w:tcPr>
            <w:tcW w:w="2564"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59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4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124" w:type="dxa"/>
            <w:noWrap w:val="0"/>
            <w:vAlign w:val="center"/>
          </w:tcPr>
          <w:p>
            <w:pPr>
              <w:spacing w:line="240" w:lineRule="auto"/>
              <w:ind w:firstLine="0"/>
              <w:jc w:val="center"/>
              <w:textAlignment w:val="auto"/>
              <w:rPr>
                <w:rFonts w:ascii="宋体" w:hAnsi="宋体" w:cs="宋体"/>
                <w:szCs w:val="21"/>
                <w:u w:val="none" w:color="auto"/>
              </w:rPr>
            </w:pPr>
          </w:p>
        </w:tc>
        <w:tc>
          <w:tcPr>
            <w:tcW w:w="1184"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512"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1039"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1273"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低温柔度</w:t>
            </w:r>
          </w:p>
        </w:tc>
        <w:tc>
          <w:tcPr>
            <w:tcW w:w="94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4.20.10</w:t>
            </w:r>
          </w:p>
        </w:tc>
        <w:tc>
          <w:tcPr>
            <w:tcW w:w="2564"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59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4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124" w:type="dxa"/>
            <w:noWrap w:val="0"/>
            <w:vAlign w:val="center"/>
          </w:tcPr>
          <w:p>
            <w:pPr>
              <w:spacing w:line="240" w:lineRule="auto"/>
              <w:ind w:firstLine="0"/>
              <w:jc w:val="center"/>
              <w:textAlignment w:val="auto"/>
              <w:rPr>
                <w:rFonts w:ascii="宋体" w:hAnsi="宋体" w:cs="宋体"/>
                <w:szCs w:val="21"/>
                <w:u w:val="none" w:color="auto"/>
              </w:rPr>
            </w:pPr>
          </w:p>
        </w:tc>
        <w:tc>
          <w:tcPr>
            <w:tcW w:w="1184"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512"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1039"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1273"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剥离性能</w:t>
            </w:r>
          </w:p>
        </w:tc>
        <w:tc>
          <w:tcPr>
            <w:tcW w:w="94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4.20.11</w:t>
            </w:r>
          </w:p>
        </w:tc>
        <w:tc>
          <w:tcPr>
            <w:tcW w:w="2564"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59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4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124" w:type="dxa"/>
            <w:noWrap w:val="0"/>
            <w:vAlign w:val="center"/>
          </w:tcPr>
          <w:p>
            <w:pPr>
              <w:spacing w:line="240" w:lineRule="auto"/>
              <w:ind w:firstLine="0"/>
              <w:jc w:val="center"/>
              <w:textAlignment w:val="auto"/>
              <w:rPr>
                <w:rFonts w:ascii="宋体" w:hAnsi="宋体" w:cs="宋体"/>
                <w:szCs w:val="21"/>
                <w:u w:val="none" w:color="auto"/>
              </w:rPr>
            </w:pPr>
          </w:p>
        </w:tc>
        <w:tc>
          <w:tcPr>
            <w:tcW w:w="1184"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512"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1039"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1273"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制作费</w:t>
            </w:r>
          </w:p>
        </w:tc>
        <w:tc>
          <w:tcPr>
            <w:tcW w:w="94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4.20</w:t>
            </w:r>
          </w:p>
        </w:tc>
        <w:tc>
          <w:tcPr>
            <w:tcW w:w="2564"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59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4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组</w:t>
            </w:r>
          </w:p>
        </w:tc>
        <w:tc>
          <w:tcPr>
            <w:tcW w:w="1124" w:type="dxa"/>
            <w:noWrap w:val="0"/>
            <w:vAlign w:val="center"/>
          </w:tcPr>
          <w:p>
            <w:pPr>
              <w:spacing w:line="240" w:lineRule="auto"/>
              <w:ind w:firstLine="0"/>
              <w:jc w:val="center"/>
              <w:textAlignment w:val="auto"/>
              <w:rPr>
                <w:rFonts w:ascii="宋体" w:hAnsi="宋体" w:cs="宋体"/>
                <w:szCs w:val="21"/>
                <w:u w:val="none" w:color="auto"/>
              </w:rPr>
            </w:pPr>
          </w:p>
        </w:tc>
        <w:tc>
          <w:tcPr>
            <w:tcW w:w="1184"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512" w:type="dxa"/>
            <w:vMerge w:val="restart"/>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安全网检测</w:t>
            </w:r>
          </w:p>
        </w:tc>
        <w:tc>
          <w:tcPr>
            <w:tcW w:w="2312" w:type="dxa"/>
            <w:gridSpan w:val="2"/>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耐贯穿性</w:t>
            </w:r>
          </w:p>
        </w:tc>
        <w:tc>
          <w:tcPr>
            <w:tcW w:w="94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12.18.6</w:t>
            </w:r>
          </w:p>
        </w:tc>
        <w:tc>
          <w:tcPr>
            <w:tcW w:w="2564" w:type="dxa"/>
            <w:vMerge w:val="restart"/>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同产品、同批号每500张抽1组，不足500张为1组</w:t>
            </w:r>
          </w:p>
        </w:tc>
        <w:tc>
          <w:tcPr>
            <w:tcW w:w="59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4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124" w:type="dxa"/>
            <w:noWrap w:val="0"/>
            <w:vAlign w:val="center"/>
          </w:tcPr>
          <w:p>
            <w:pPr>
              <w:spacing w:line="240" w:lineRule="auto"/>
              <w:ind w:firstLine="0"/>
              <w:jc w:val="center"/>
              <w:textAlignment w:val="auto"/>
              <w:rPr>
                <w:rFonts w:ascii="宋体" w:hAnsi="宋体" w:cs="宋体"/>
                <w:szCs w:val="21"/>
                <w:u w:val="none" w:color="auto"/>
              </w:rPr>
            </w:pPr>
          </w:p>
        </w:tc>
        <w:tc>
          <w:tcPr>
            <w:tcW w:w="1184"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512"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2312" w:type="dxa"/>
            <w:gridSpan w:val="2"/>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耐冲击性</w:t>
            </w:r>
          </w:p>
        </w:tc>
        <w:tc>
          <w:tcPr>
            <w:tcW w:w="94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12.18.7</w:t>
            </w:r>
          </w:p>
        </w:tc>
        <w:tc>
          <w:tcPr>
            <w:tcW w:w="2564"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59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4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124" w:type="dxa"/>
            <w:noWrap w:val="0"/>
            <w:vAlign w:val="center"/>
          </w:tcPr>
          <w:p>
            <w:pPr>
              <w:spacing w:line="240" w:lineRule="auto"/>
              <w:ind w:firstLine="0"/>
              <w:jc w:val="center"/>
              <w:textAlignment w:val="auto"/>
              <w:rPr>
                <w:rFonts w:ascii="宋体" w:hAnsi="宋体" w:cs="宋体"/>
                <w:szCs w:val="21"/>
                <w:u w:val="none" w:color="auto"/>
              </w:rPr>
            </w:pPr>
          </w:p>
        </w:tc>
        <w:tc>
          <w:tcPr>
            <w:tcW w:w="1184"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512"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2312" w:type="dxa"/>
            <w:gridSpan w:val="2"/>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阻燃性能</w:t>
            </w:r>
          </w:p>
        </w:tc>
        <w:tc>
          <w:tcPr>
            <w:tcW w:w="94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12.18.8</w:t>
            </w:r>
          </w:p>
        </w:tc>
        <w:tc>
          <w:tcPr>
            <w:tcW w:w="2564"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59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48"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124" w:type="dxa"/>
            <w:noWrap w:val="0"/>
            <w:vAlign w:val="center"/>
          </w:tcPr>
          <w:p>
            <w:pPr>
              <w:spacing w:line="240" w:lineRule="auto"/>
              <w:ind w:firstLine="0"/>
              <w:jc w:val="center"/>
              <w:textAlignment w:val="auto"/>
              <w:rPr>
                <w:rFonts w:ascii="宋体" w:hAnsi="宋体" w:cs="宋体"/>
                <w:szCs w:val="21"/>
                <w:u w:val="none" w:color="auto"/>
              </w:rPr>
            </w:pPr>
          </w:p>
        </w:tc>
        <w:tc>
          <w:tcPr>
            <w:tcW w:w="1184"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824" w:type="dxa"/>
            <w:gridSpan w:val="3"/>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费用合计（元）</w:t>
            </w:r>
          </w:p>
        </w:tc>
        <w:tc>
          <w:tcPr>
            <w:tcW w:w="7060" w:type="dxa"/>
            <w:gridSpan w:val="6"/>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884" w:type="dxa"/>
            <w:gridSpan w:val="9"/>
            <w:noWrap w:val="0"/>
            <w:vAlign w:val="center"/>
          </w:tcPr>
          <w:p>
            <w:pPr>
              <w:spacing w:line="240" w:lineRule="auto"/>
              <w:ind w:firstLine="0"/>
              <w:jc w:val="left"/>
              <w:textAlignment w:val="auto"/>
              <w:rPr>
                <w:rFonts w:ascii="宋体" w:hAnsi="宋体" w:cs="宋体"/>
                <w:szCs w:val="21"/>
                <w:u w:val="none" w:color="auto"/>
              </w:rPr>
            </w:pPr>
            <w:r>
              <w:rPr>
                <w:rFonts w:hint="eastAsia" w:ascii="宋体" w:hAnsi="宋体" w:cs="宋体"/>
                <w:szCs w:val="21"/>
                <w:u w:val="none" w:color="auto"/>
              </w:rPr>
              <w:t>注：以实际发生量为准</w:t>
            </w:r>
          </w:p>
        </w:tc>
      </w:tr>
    </w:tbl>
    <w:p>
      <w:pPr>
        <w:numPr>
          <w:ilvl w:val="0"/>
          <w:numId w:val="3"/>
        </w:numPr>
        <w:wordWrap w:val="0"/>
        <w:spacing w:line="580" w:lineRule="exact"/>
        <w:ind w:left="1418" w:hanging="567"/>
        <w:rPr>
          <w:b/>
          <w:bCs/>
          <w:color w:val="auto"/>
          <w:sz w:val="28"/>
          <w:szCs w:val="28"/>
        </w:rPr>
      </w:pPr>
      <w:r>
        <w:rPr>
          <w:rFonts w:hint="eastAsia"/>
          <w:b/>
          <w:bCs/>
          <w:color w:val="auto"/>
          <w:sz w:val="28"/>
          <w:szCs w:val="28"/>
        </w:rPr>
        <w:t xml:space="preserve">钢结构检测 </w:t>
      </w:r>
    </w:p>
    <w:tbl>
      <w:tblPr>
        <w:tblStyle w:val="22"/>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061"/>
        <w:gridCol w:w="2237"/>
        <w:gridCol w:w="695"/>
        <w:gridCol w:w="579"/>
        <w:gridCol w:w="1042"/>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6" w:hRule="atLeast"/>
          <w:jc w:val="center"/>
        </w:trPr>
        <w:tc>
          <w:tcPr>
            <w:tcW w:w="8817" w:type="dxa"/>
            <w:gridSpan w:val="7"/>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钢结构检测数量及费用表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12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检测项目</w:t>
            </w:r>
          </w:p>
        </w:tc>
        <w:tc>
          <w:tcPr>
            <w:tcW w:w="1061"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检测项目序号</w:t>
            </w:r>
          </w:p>
        </w:tc>
        <w:tc>
          <w:tcPr>
            <w:tcW w:w="2237"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抽样规则</w:t>
            </w:r>
          </w:p>
        </w:tc>
        <w:tc>
          <w:tcPr>
            <w:tcW w:w="695"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试验数量</w:t>
            </w:r>
          </w:p>
        </w:tc>
        <w:tc>
          <w:tcPr>
            <w:tcW w:w="579"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单位</w:t>
            </w:r>
          </w:p>
        </w:tc>
        <w:tc>
          <w:tcPr>
            <w:tcW w:w="104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单价（元）</w:t>
            </w:r>
          </w:p>
        </w:tc>
        <w:tc>
          <w:tcPr>
            <w:tcW w:w="1081"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212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A型超声波检测焊</w:t>
            </w:r>
            <w:r>
              <w:rPr>
                <w:rFonts w:hint="eastAsia" w:ascii="宋体" w:hAnsi="宋体" w:cs="宋体"/>
                <w:szCs w:val="21"/>
                <w:u w:val="none" w:color="auto"/>
              </w:rPr>
              <w:br w:type="textWrapping"/>
            </w:r>
            <w:r>
              <w:rPr>
                <w:rFonts w:hint="eastAsia" w:ascii="宋体" w:hAnsi="宋体" w:cs="宋体"/>
                <w:szCs w:val="21"/>
                <w:u w:val="none" w:color="auto"/>
              </w:rPr>
              <w:t>缝质量</w:t>
            </w:r>
          </w:p>
        </w:tc>
        <w:tc>
          <w:tcPr>
            <w:tcW w:w="1061"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2.16.1</w:t>
            </w:r>
          </w:p>
        </w:tc>
        <w:tc>
          <w:tcPr>
            <w:tcW w:w="2237"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焊缝质量等级为一级的焊缝，评定等级为II，检验等级为B级，探伤比例为100%；焊缝质量等级为二级的焊缝，评定等级为III，检验等级为B级，探伤比例为20%。每条不超过1米按1米算，单次检测总费用3000元起。</w:t>
            </w:r>
          </w:p>
        </w:tc>
        <w:tc>
          <w:tcPr>
            <w:tcW w:w="695"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6</w:t>
            </w:r>
          </w:p>
        </w:tc>
        <w:tc>
          <w:tcPr>
            <w:tcW w:w="579"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m</w:t>
            </w:r>
          </w:p>
        </w:tc>
        <w:tc>
          <w:tcPr>
            <w:tcW w:w="1042" w:type="dxa"/>
            <w:noWrap w:val="0"/>
            <w:vAlign w:val="center"/>
          </w:tcPr>
          <w:p>
            <w:pPr>
              <w:spacing w:line="240" w:lineRule="auto"/>
              <w:ind w:firstLine="0"/>
              <w:jc w:val="center"/>
              <w:textAlignment w:val="auto"/>
              <w:rPr>
                <w:rFonts w:ascii="宋体" w:hAnsi="宋体" w:cs="宋体"/>
                <w:szCs w:val="21"/>
                <w:u w:val="none" w:color="auto"/>
              </w:rPr>
            </w:pPr>
          </w:p>
        </w:tc>
        <w:tc>
          <w:tcPr>
            <w:tcW w:w="1081"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12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防腐涂层厚度</w:t>
            </w:r>
          </w:p>
        </w:tc>
        <w:tc>
          <w:tcPr>
            <w:tcW w:w="1061"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2.16.11</w:t>
            </w:r>
          </w:p>
        </w:tc>
        <w:tc>
          <w:tcPr>
            <w:tcW w:w="2237"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按构件数抽查10%，且同类构件不应少于3件。</w:t>
            </w:r>
          </w:p>
        </w:tc>
        <w:tc>
          <w:tcPr>
            <w:tcW w:w="695"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12</w:t>
            </w:r>
          </w:p>
        </w:tc>
        <w:tc>
          <w:tcPr>
            <w:tcW w:w="579"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构件</w:t>
            </w:r>
          </w:p>
        </w:tc>
        <w:tc>
          <w:tcPr>
            <w:tcW w:w="1042" w:type="dxa"/>
            <w:noWrap w:val="0"/>
            <w:vAlign w:val="center"/>
          </w:tcPr>
          <w:p>
            <w:pPr>
              <w:spacing w:line="240" w:lineRule="auto"/>
              <w:ind w:firstLine="0"/>
              <w:jc w:val="center"/>
              <w:textAlignment w:val="auto"/>
              <w:rPr>
                <w:rFonts w:ascii="宋体" w:hAnsi="宋体" w:cs="宋体"/>
                <w:szCs w:val="21"/>
                <w:u w:val="none" w:color="auto"/>
              </w:rPr>
            </w:pPr>
          </w:p>
        </w:tc>
        <w:tc>
          <w:tcPr>
            <w:tcW w:w="1081"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212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防火涂层厚度</w:t>
            </w:r>
          </w:p>
        </w:tc>
        <w:tc>
          <w:tcPr>
            <w:tcW w:w="1061"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2.16.12</w:t>
            </w:r>
          </w:p>
        </w:tc>
        <w:tc>
          <w:tcPr>
            <w:tcW w:w="2237"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按同类构件数抽查10%，且均不应少于3件。柱的每个构件暂按3个截面计算，梁的每个构件暂按2个截面计算。</w:t>
            </w:r>
          </w:p>
        </w:tc>
        <w:tc>
          <w:tcPr>
            <w:tcW w:w="695"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12</w:t>
            </w:r>
          </w:p>
        </w:tc>
        <w:tc>
          <w:tcPr>
            <w:tcW w:w="579"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截面</w:t>
            </w:r>
          </w:p>
        </w:tc>
        <w:tc>
          <w:tcPr>
            <w:tcW w:w="1042" w:type="dxa"/>
            <w:noWrap w:val="0"/>
            <w:vAlign w:val="center"/>
          </w:tcPr>
          <w:p>
            <w:pPr>
              <w:spacing w:line="240" w:lineRule="auto"/>
              <w:ind w:firstLine="0"/>
              <w:jc w:val="center"/>
              <w:textAlignment w:val="auto"/>
              <w:rPr>
                <w:rFonts w:ascii="宋体" w:hAnsi="宋体" w:cs="宋体"/>
                <w:szCs w:val="21"/>
                <w:u w:val="none" w:color="auto"/>
              </w:rPr>
            </w:pPr>
          </w:p>
        </w:tc>
        <w:tc>
          <w:tcPr>
            <w:tcW w:w="1081"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12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费用合计（元）</w:t>
            </w:r>
          </w:p>
        </w:tc>
        <w:tc>
          <w:tcPr>
            <w:tcW w:w="6694" w:type="dxa"/>
            <w:gridSpan w:val="6"/>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817" w:type="dxa"/>
            <w:gridSpan w:val="7"/>
            <w:noWrap/>
            <w:vAlign w:val="center"/>
          </w:tcPr>
          <w:p>
            <w:pPr>
              <w:spacing w:line="240" w:lineRule="auto"/>
              <w:ind w:firstLine="0"/>
              <w:jc w:val="left"/>
              <w:textAlignment w:val="auto"/>
              <w:rPr>
                <w:rFonts w:ascii="宋体" w:hAnsi="宋体" w:cs="宋体"/>
                <w:color w:val="auto"/>
                <w:szCs w:val="21"/>
                <w:u w:val="none" w:color="auto"/>
              </w:rPr>
            </w:pPr>
            <w:r>
              <w:rPr>
                <w:rFonts w:hint="eastAsia" w:ascii="宋体" w:hAnsi="宋体" w:cs="宋体"/>
                <w:color w:val="auto"/>
                <w:szCs w:val="21"/>
                <w:u w:val="none" w:color="auto"/>
              </w:rPr>
              <w:t>注：以实际发生量为准。</w:t>
            </w:r>
          </w:p>
        </w:tc>
      </w:tr>
    </w:tbl>
    <w:p>
      <w:pPr>
        <w:numPr>
          <w:ilvl w:val="0"/>
          <w:numId w:val="3"/>
        </w:numPr>
        <w:wordWrap w:val="0"/>
        <w:spacing w:line="580" w:lineRule="exact"/>
        <w:ind w:left="1418" w:hanging="567"/>
        <w:rPr>
          <w:b/>
          <w:bCs/>
          <w:color w:val="auto"/>
          <w:sz w:val="28"/>
          <w:szCs w:val="28"/>
        </w:rPr>
      </w:pPr>
      <w:r>
        <w:rPr>
          <w:rFonts w:hint="eastAsia"/>
          <w:b/>
          <w:bCs/>
          <w:color w:val="auto"/>
          <w:sz w:val="28"/>
          <w:szCs w:val="28"/>
        </w:rPr>
        <w:t xml:space="preserve">建筑节能检测 </w:t>
      </w:r>
    </w:p>
    <w:tbl>
      <w:tblPr>
        <w:tblStyle w:val="22"/>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684"/>
        <w:gridCol w:w="1247"/>
        <w:gridCol w:w="937"/>
        <w:gridCol w:w="2617"/>
        <w:gridCol w:w="622"/>
        <w:gridCol w:w="604"/>
        <w:gridCol w:w="1056"/>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465" w:type="dxa"/>
            <w:gridSpan w:val="9"/>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建筑节能检测数量及费用表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06"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分项工程</w:t>
            </w:r>
          </w:p>
        </w:tc>
        <w:tc>
          <w:tcPr>
            <w:tcW w:w="1931" w:type="dxa"/>
            <w:gridSpan w:val="2"/>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检测项目/检测参数</w:t>
            </w:r>
          </w:p>
        </w:tc>
        <w:tc>
          <w:tcPr>
            <w:tcW w:w="937" w:type="dxa"/>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检测项目序号</w:t>
            </w:r>
          </w:p>
        </w:tc>
        <w:tc>
          <w:tcPr>
            <w:tcW w:w="2617"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取样频率</w:t>
            </w:r>
          </w:p>
        </w:tc>
        <w:tc>
          <w:tcPr>
            <w:tcW w:w="62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试验数量</w:t>
            </w:r>
          </w:p>
        </w:tc>
        <w:tc>
          <w:tcPr>
            <w:tcW w:w="604"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单位</w:t>
            </w:r>
          </w:p>
        </w:tc>
        <w:tc>
          <w:tcPr>
            <w:tcW w:w="1056"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单价（元）</w:t>
            </w:r>
          </w:p>
        </w:tc>
        <w:tc>
          <w:tcPr>
            <w:tcW w:w="119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506" w:type="dxa"/>
            <w:vMerge w:val="restart"/>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墙体节能工程</w:t>
            </w:r>
          </w:p>
        </w:tc>
        <w:tc>
          <w:tcPr>
            <w:tcW w:w="1931" w:type="dxa"/>
            <w:gridSpan w:val="2"/>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传热系数（实验室内）</w:t>
            </w:r>
          </w:p>
        </w:tc>
        <w:tc>
          <w:tcPr>
            <w:tcW w:w="937" w:type="dxa"/>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6.5.8</w:t>
            </w:r>
          </w:p>
        </w:tc>
        <w:tc>
          <w:tcPr>
            <w:tcW w:w="2617"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单位工程建筑面积在20000㎡（含）以下时，同一厂家同一品种的非匀质材料（构造）砌块（砖）、复合砌筑墙各抽查不少于1次，单位工程建筑面积在20000㎡以上时抽查不少于2次</w:t>
            </w:r>
          </w:p>
        </w:tc>
        <w:tc>
          <w:tcPr>
            <w:tcW w:w="62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04"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056" w:type="dxa"/>
            <w:noWrap w:val="0"/>
            <w:vAlign w:val="center"/>
          </w:tcPr>
          <w:p>
            <w:pPr>
              <w:spacing w:line="240" w:lineRule="auto"/>
              <w:ind w:firstLine="0"/>
              <w:jc w:val="center"/>
              <w:textAlignment w:val="auto"/>
              <w:rPr>
                <w:rFonts w:ascii="宋体" w:hAnsi="宋体" w:cs="宋体"/>
                <w:szCs w:val="21"/>
                <w:u w:val="none" w:color="auto"/>
              </w:rPr>
            </w:pPr>
          </w:p>
        </w:tc>
        <w:tc>
          <w:tcPr>
            <w:tcW w:w="1192"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06"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684" w:type="dxa"/>
            <w:vMerge w:val="restart"/>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增强网（网格</w:t>
            </w:r>
            <w:r>
              <w:rPr>
                <w:rFonts w:hint="eastAsia" w:ascii="宋体" w:hAnsi="宋体" w:cs="宋体"/>
                <w:color w:val="auto"/>
                <w:szCs w:val="21"/>
                <w:u w:val="none" w:color="auto"/>
              </w:rPr>
              <w:br w:type="textWrapping"/>
            </w:r>
            <w:r>
              <w:rPr>
                <w:rFonts w:hint="eastAsia" w:ascii="宋体" w:hAnsi="宋体" w:cs="宋体"/>
                <w:color w:val="auto"/>
                <w:szCs w:val="21"/>
                <w:u w:val="none" w:color="auto"/>
              </w:rPr>
              <w:t>布、镀锌电焊</w:t>
            </w:r>
            <w:r>
              <w:rPr>
                <w:rFonts w:hint="eastAsia" w:ascii="宋体" w:hAnsi="宋体" w:cs="宋体"/>
                <w:color w:val="auto"/>
                <w:szCs w:val="21"/>
                <w:u w:val="none" w:color="auto"/>
              </w:rPr>
              <w:br w:type="textWrapping"/>
            </w:r>
            <w:r>
              <w:rPr>
                <w:rFonts w:hint="eastAsia" w:ascii="宋体" w:hAnsi="宋体" w:cs="宋体"/>
                <w:color w:val="auto"/>
                <w:szCs w:val="21"/>
                <w:u w:val="none" w:color="auto"/>
              </w:rPr>
              <w:t>网）</w:t>
            </w:r>
          </w:p>
        </w:tc>
        <w:tc>
          <w:tcPr>
            <w:tcW w:w="1247"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耐碱断裂强力</w:t>
            </w:r>
            <w:r>
              <w:rPr>
                <w:rFonts w:hint="eastAsia" w:ascii="宋体" w:hAnsi="宋体" w:cs="宋体"/>
                <w:szCs w:val="21"/>
                <w:u w:val="none" w:color="auto"/>
              </w:rPr>
              <w:br w:type="textWrapping"/>
            </w:r>
            <w:r>
              <w:rPr>
                <w:rFonts w:hint="eastAsia" w:ascii="宋体" w:hAnsi="宋体" w:cs="宋体"/>
                <w:szCs w:val="21"/>
                <w:u w:val="none" w:color="auto"/>
              </w:rPr>
              <w:t>（经、纬向）</w:t>
            </w:r>
          </w:p>
        </w:tc>
        <w:tc>
          <w:tcPr>
            <w:tcW w:w="937" w:type="dxa"/>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6.8.2</w:t>
            </w:r>
          </w:p>
        </w:tc>
        <w:tc>
          <w:tcPr>
            <w:tcW w:w="2617" w:type="dxa"/>
            <w:vMerge w:val="restart"/>
            <w:noWrap w:val="0"/>
            <w:vAlign w:val="center"/>
          </w:tcPr>
          <w:p>
            <w:pPr>
              <w:spacing w:line="240" w:lineRule="auto"/>
              <w:ind w:firstLine="0"/>
              <w:jc w:val="center"/>
              <w:textAlignment w:val="auto"/>
              <w:rPr>
                <w:rFonts w:ascii="宋体" w:hAnsi="宋体" w:cs="宋体"/>
                <w:color w:val="auto"/>
                <w:sz w:val="24"/>
                <w:szCs w:val="24"/>
                <w:u w:val="none" w:color="auto"/>
              </w:rPr>
            </w:pPr>
            <w:r>
              <w:rPr>
                <w:rFonts w:hint="eastAsia" w:ascii="宋体" w:hAnsi="宋体" w:cs="宋体"/>
                <w:color w:val="auto"/>
                <w:sz w:val="24"/>
                <w:szCs w:val="24"/>
                <w:u w:val="none" w:color="auto"/>
              </w:rPr>
              <w:t>同厂家、同品种的产品，按照扣除门窗洞口后的保温墙面面积所使用的材料用量，在5000m2以内时应复验1次；面积每增加5000m2应增加1次。同工程项目、同施工单位且同期施工的多个单位工程，可合并计算抽检面积</w:t>
            </w:r>
          </w:p>
        </w:tc>
        <w:tc>
          <w:tcPr>
            <w:tcW w:w="62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04"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056" w:type="dxa"/>
            <w:noWrap w:val="0"/>
            <w:vAlign w:val="center"/>
          </w:tcPr>
          <w:p>
            <w:pPr>
              <w:spacing w:line="240" w:lineRule="auto"/>
              <w:ind w:firstLine="0"/>
              <w:jc w:val="center"/>
              <w:textAlignment w:val="auto"/>
              <w:rPr>
                <w:rFonts w:ascii="宋体" w:hAnsi="宋体" w:cs="宋体"/>
                <w:szCs w:val="21"/>
                <w:u w:val="none" w:color="auto"/>
              </w:rPr>
            </w:pPr>
          </w:p>
        </w:tc>
        <w:tc>
          <w:tcPr>
            <w:tcW w:w="1192"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06"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684" w:type="dxa"/>
            <w:vMerge w:val="continue"/>
            <w:noWrap w:val="0"/>
            <w:vAlign w:val="center"/>
          </w:tcPr>
          <w:p>
            <w:pPr>
              <w:spacing w:line="240" w:lineRule="auto"/>
              <w:ind w:firstLine="0"/>
              <w:jc w:val="left"/>
              <w:textAlignment w:val="auto"/>
              <w:rPr>
                <w:rFonts w:ascii="宋体" w:hAnsi="宋体" w:cs="宋体"/>
                <w:color w:val="auto"/>
                <w:szCs w:val="21"/>
                <w:u w:val="none" w:color="auto"/>
              </w:rPr>
            </w:pPr>
          </w:p>
        </w:tc>
        <w:tc>
          <w:tcPr>
            <w:tcW w:w="1247"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断裂伸长率（经、纬向）</w:t>
            </w:r>
          </w:p>
        </w:tc>
        <w:tc>
          <w:tcPr>
            <w:tcW w:w="937" w:type="dxa"/>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6.8.3</w:t>
            </w:r>
          </w:p>
        </w:tc>
        <w:tc>
          <w:tcPr>
            <w:tcW w:w="2617" w:type="dxa"/>
            <w:vMerge w:val="continue"/>
            <w:noWrap w:val="0"/>
            <w:vAlign w:val="center"/>
          </w:tcPr>
          <w:p>
            <w:pPr>
              <w:spacing w:line="240" w:lineRule="auto"/>
              <w:ind w:firstLine="0"/>
              <w:jc w:val="left"/>
              <w:textAlignment w:val="auto"/>
              <w:rPr>
                <w:rFonts w:ascii="宋体" w:hAnsi="宋体" w:cs="宋体"/>
                <w:color w:val="auto"/>
                <w:sz w:val="24"/>
                <w:szCs w:val="24"/>
                <w:u w:val="none" w:color="auto"/>
              </w:rPr>
            </w:pPr>
          </w:p>
        </w:tc>
        <w:tc>
          <w:tcPr>
            <w:tcW w:w="62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04"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056" w:type="dxa"/>
            <w:noWrap w:val="0"/>
            <w:vAlign w:val="center"/>
          </w:tcPr>
          <w:p>
            <w:pPr>
              <w:spacing w:line="240" w:lineRule="auto"/>
              <w:ind w:firstLine="0"/>
              <w:jc w:val="center"/>
              <w:textAlignment w:val="auto"/>
              <w:rPr>
                <w:rFonts w:ascii="宋体" w:hAnsi="宋体" w:cs="宋体"/>
                <w:szCs w:val="21"/>
                <w:u w:val="none" w:color="auto"/>
              </w:rPr>
            </w:pPr>
          </w:p>
        </w:tc>
        <w:tc>
          <w:tcPr>
            <w:tcW w:w="1192"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06"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684" w:type="dxa"/>
            <w:vMerge w:val="continue"/>
            <w:noWrap w:val="0"/>
            <w:vAlign w:val="center"/>
          </w:tcPr>
          <w:p>
            <w:pPr>
              <w:spacing w:line="240" w:lineRule="auto"/>
              <w:ind w:firstLine="0"/>
              <w:jc w:val="left"/>
              <w:textAlignment w:val="auto"/>
              <w:rPr>
                <w:rFonts w:ascii="宋体" w:hAnsi="宋体" w:cs="宋体"/>
                <w:color w:val="auto"/>
                <w:szCs w:val="21"/>
                <w:u w:val="none" w:color="auto"/>
              </w:rPr>
            </w:pPr>
          </w:p>
        </w:tc>
        <w:tc>
          <w:tcPr>
            <w:tcW w:w="1247"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耐碱断裂强力保留率（经、纬向）</w:t>
            </w:r>
          </w:p>
        </w:tc>
        <w:tc>
          <w:tcPr>
            <w:tcW w:w="937" w:type="dxa"/>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6.8.4</w:t>
            </w:r>
          </w:p>
        </w:tc>
        <w:tc>
          <w:tcPr>
            <w:tcW w:w="2617" w:type="dxa"/>
            <w:vMerge w:val="continue"/>
            <w:noWrap w:val="0"/>
            <w:vAlign w:val="center"/>
          </w:tcPr>
          <w:p>
            <w:pPr>
              <w:spacing w:line="240" w:lineRule="auto"/>
              <w:ind w:firstLine="0"/>
              <w:jc w:val="left"/>
              <w:textAlignment w:val="auto"/>
              <w:rPr>
                <w:rFonts w:ascii="宋体" w:hAnsi="宋体" w:cs="宋体"/>
                <w:color w:val="auto"/>
                <w:sz w:val="24"/>
                <w:szCs w:val="24"/>
                <w:u w:val="none" w:color="auto"/>
              </w:rPr>
            </w:pPr>
          </w:p>
        </w:tc>
        <w:tc>
          <w:tcPr>
            <w:tcW w:w="62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04"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056" w:type="dxa"/>
            <w:noWrap w:val="0"/>
            <w:vAlign w:val="center"/>
          </w:tcPr>
          <w:p>
            <w:pPr>
              <w:spacing w:line="240" w:lineRule="auto"/>
              <w:ind w:firstLine="0"/>
              <w:jc w:val="center"/>
              <w:textAlignment w:val="auto"/>
              <w:rPr>
                <w:rFonts w:ascii="宋体" w:hAnsi="宋体" w:cs="宋体"/>
                <w:szCs w:val="21"/>
                <w:u w:val="none" w:color="auto"/>
              </w:rPr>
            </w:pPr>
          </w:p>
        </w:tc>
        <w:tc>
          <w:tcPr>
            <w:tcW w:w="1192"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506" w:type="dxa"/>
            <w:vMerge w:val="restart"/>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门窗节能工程</w:t>
            </w:r>
          </w:p>
        </w:tc>
        <w:tc>
          <w:tcPr>
            <w:tcW w:w="684" w:type="dxa"/>
            <w:vMerge w:val="restart"/>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中空玻璃</w:t>
            </w:r>
          </w:p>
        </w:tc>
        <w:tc>
          <w:tcPr>
            <w:tcW w:w="1247"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遮阳系数、可见光透射比</w:t>
            </w:r>
          </w:p>
        </w:tc>
        <w:tc>
          <w:tcPr>
            <w:tcW w:w="937" w:type="dxa"/>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6.3.2</w:t>
            </w:r>
          </w:p>
        </w:tc>
        <w:tc>
          <w:tcPr>
            <w:tcW w:w="2617"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每单位工程同一厂家同一品种同一类型的产品检测不少于1组。内、外层玻璃分别取3块试样：50㎜×50㎜×实际厚度</w:t>
            </w:r>
          </w:p>
        </w:tc>
        <w:tc>
          <w:tcPr>
            <w:tcW w:w="62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04"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组</w:t>
            </w:r>
          </w:p>
        </w:tc>
        <w:tc>
          <w:tcPr>
            <w:tcW w:w="1056" w:type="dxa"/>
            <w:noWrap w:val="0"/>
            <w:vAlign w:val="center"/>
          </w:tcPr>
          <w:p>
            <w:pPr>
              <w:spacing w:line="240" w:lineRule="auto"/>
              <w:ind w:firstLine="0"/>
              <w:jc w:val="center"/>
              <w:textAlignment w:val="auto"/>
              <w:rPr>
                <w:rFonts w:ascii="宋体" w:hAnsi="宋体" w:cs="宋体"/>
                <w:szCs w:val="21"/>
                <w:u w:val="none" w:color="auto"/>
              </w:rPr>
            </w:pPr>
          </w:p>
        </w:tc>
        <w:tc>
          <w:tcPr>
            <w:tcW w:w="1192"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506"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684" w:type="dxa"/>
            <w:vMerge w:val="continue"/>
            <w:noWrap w:val="0"/>
            <w:vAlign w:val="center"/>
          </w:tcPr>
          <w:p>
            <w:pPr>
              <w:spacing w:line="240" w:lineRule="auto"/>
              <w:ind w:firstLine="0"/>
              <w:jc w:val="left"/>
              <w:textAlignment w:val="auto"/>
              <w:rPr>
                <w:rFonts w:ascii="宋体" w:hAnsi="宋体" w:cs="宋体"/>
                <w:color w:val="auto"/>
                <w:szCs w:val="21"/>
                <w:u w:val="none" w:color="auto"/>
              </w:rPr>
            </w:pPr>
          </w:p>
        </w:tc>
        <w:tc>
          <w:tcPr>
            <w:tcW w:w="1247"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中空玻璃露点</w:t>
            </w:r>
          </w:p>
        </w:tc>
        <w:tc>
          <w:tcPr>
            <w:tcW w:w="937" w:type="dxa"/>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6.3.5</w:t>
            </w:r>
          </w:p>
        </w:tc>
        <w:tc>
          <w:tcPr>
            <w:tcW w:w="2617"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每单位工程同一厂家同一品种同一类型的产品检测不少于1组。每组10块，从工程使用的玻璃中抽取</w:t>
            </w:r>
          </w:p>
        </w:tc>
        <w:tc>
          <w:tcPr>
            <w:tcW w:w="62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04"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056" w:type="dxa"/>
            <w:noWrap w:val="0"/>
            <w:vAlign w:val="center"/>
          </w:tcPr>
          <w:p>
            <w:pPr>
              <w:spacing w:line="240" w:lineRule="auto"/>
              <w:ind w:firstLine="0"/>
              <w:jc w:val="center"/>
              <w:textAlignment w:val="auto"/>
              <w:rPr>
                <w:rFonts w:ascii="宋体" w:hAnsi="宋体" w:cs="宋体"/>
                <w:szCs w:val="21"/>
                <w:u w:val="none" w:color="auto"/>
              </w:rPr>
            </w:pPr>
          </w:p>
        </w:tc>
        <w:tc>
          <w:tcPr>
            <w:tcW w:w="1192"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6"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684" w:type="dxa"/>
            <w:vMerge w:val="restart"/>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建筑门窗</w:t>
            </w:r>
          </w:p>
        </w:tc>
        <w:tc>
          <w:tcPr>
            <w:tcW w:w="1247"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气密性能（实验室内）</w:t>
            </w:r>
          </w:p>
        </w:tc>
        <w:tc>
          <w:tcPr>
            <w:tcW w:w="937" w:type="dxa"/>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5.2.1</w:t>
            </w:r>
          </w:p>
        </w:tc>
        <w:tc>
          <w:tcPr>
            <w:tcW w:w="2617" w:type="dxa"/>
            <w:vMerge w:val="restart"/>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同品种、类型和规格的木门窗、金属门窗、塑料门窗每100樘应划分为一个检验批，每个检验批应至少抽查5%，并不得少于3樘，不足3樘时应全数检查</w:t>
            </w:r>
          </w:p>
        </w:tc>
        <w:tc>
          <w:tcPr>
            <w:tcW w:w="62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04"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056" w:type="dxa"/>
            <w:noWrap w:val="0"/>
            <w:vAlign w:val="center"/>
          </w:tcPr>
          <w:p>
            <w:pPr>
              <w:spacing w:line="240" w:lineRule="auto"/>
              <w:ind w:firstLine="0"/>
              <w:jc w:val="center"/>
              <w:textAlignment w:val="auto"/>
              <w:rPr>
                <w:rFonts w:ascii="宋体" w:hAnsi="宋体" w:cs="宋体"/>
                <w:szCs w:val="21"/>
                <w:u w:val="none" w:color="auto"/>
              </w:rPr>
            </w:pPr>
          </w:p>
        </w:tc>
        <w:tc>
          <w:tcPr>
            <w:tcW w:w="1192"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506"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684" w:type="dxa"/>
            <w:vMerge w:val="continue"/>
            <w:noWrap w:val="0"/>
            <w:vAlign w:val="center"/>
          </w:tcPr>
          <w:p>
            <w:pPr>
              <w:spacing w:line="240" w:lineRule="auto"/>
              <w:ind w:firstLine="0"/>
              <w:jc w:val="left"/>
              <w:textAlignment w:val="auto"/>
              <w:rPr>
                <w:rFonts w:ascii="宋体" w:hAnsi="宋体" w:cs="宋体"/>
                <w:color w:val="auto"/>
                <w:szCs w:val="21"/>
                <w:u w:val="none" w:color="auto"/>
              </w:rPr>
            </w:pPr>
          </w:p>
        </w:tc>
        <w:tc>
          <w:tcPr>
            <w:tcW w:w="1247"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水密性能（实验室内）</w:t>
            </w:r>
          </w:p>
        </w:tc>
        <w:tc>
          <w:tcPr>
            <w:tcW w:w="937" w:type="dxa"/>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5.2.3</w:t>
            </w:r>
          </w:p>
        </w:tc>
        <w:tc>
          <w:tcPr>
            <w:tcW w:w="2617"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62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04"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056" w:type="dxa"/>
            <w:noWrap w:val="0"/>
            <w:vAlign w:val="center"/>
          </w:tcPr>
          <w:p>
            <w:pPr>
              <w:spacing w:line="240" w:lineRule="auto"/>
              <w:ind w:firstLine="0"/>
              <w:jc w:val="center"/>
              <w:textAlignment w:val="auto"/>
              <w:rPr>
                <w:rFonts w:ascii="宋体" w:hAnsi="宋体" w:cs="宋体"/>
                <w:szCs w:val="21"/>
                <w:u w:val="none" w:color="auto"/>
              </w:rPr>
            </w:pPr>
          </w:p>
        </w:tc>
        <w:tc>
          <w:tcPr>
            <w:tcW w:w="1192"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506"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684" w:type="dxa"/>
            <w:vMerge w:val="continue"/>
            <w:noWrap w:val="0"/>
            <w:vAlign w:val="center"/>
          </w:tcPr>
          <w:p>
            <w:pPr>
              <w:spacing w:line="240" w:lineRule="auto"/>
              <w:ind w:firstLine="0"/>
              <w:jc w:val="left"/>
              <w:textAlignment w:val="auto"/>
              <w:rPr>
                <w:rFonts w:ascii="宋体" w:hAnsi="宋体" w:cs="宋体"/>
                <w:color w:val="auto"/>
                <w:szCs w:val="21"/>
                <w:u w:val="none" w:color="auto"/>
              </w:rPr>
            </w:pPr>
          </w:p>
        </w:tc>
        <w:tc>
          <w:tcPr>
            <w:tcW w:w="1247"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抗风压性能（实验室内）</w:t>
            </w:r>
          </w:p>
        </w:tc>
        <w:tc>
          <w:tcPr>
            <w:tcW w:w="937" w:type="dxa"/>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5.2.5</w:t>
            </w:r>
          </w:p>
        </w:tc>
        <w:tc>
          <w:tcPr>
            <w:tcW w:w="2617"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62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04"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056" w:type="dxa"/>
            <w:noWrap w:val="0"/>
            <w:vAlign w:val="center"/>
          </w:tcPr>
          <w:p>
            <w:pPr>
              <w:spacing w:line="240" w:lineRule="auto"/>
              <w:ind w:firstLine="0"/>
              <w:jc w:val="center"/>
              <w:textAlignment w:val="auto"/>
              <w:rPr>
                <w:rFonts w:ascii="宋体" w:hAnsi="宋体" w:cs="宋体"/>
                <w:szCs w:val="21"/>
                <w:u w:val="none" w:color="auto"/>
              </w:rPr>
            </w:pPr>
          </w:p>
        </w:tc>
        <w:tc>
          <w:tcPr>
            <w:tcW w:w="1192"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06"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684" w:type="dxa"/>
            <w:vMerge w:val="restart"/>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铝合金型材</w:t>
            </w:r>
          </w:p>
        </w:tc>
        <w:tc>
          <w:tcPr>
            <w:tcW w:w="1247"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壁厚</w:t>
            </w:r>
          </w:p>
        </w:tc>
        <w:tc>
          <w:tcPr>
            <w:tcW w:w="937" w:type="dxa"/>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4.39.5</w:t>
            </w:r>
          </w:p>
        </w:tc>
        <w:tc>
          <w:tcPr>
            <w:tcW w:w="2617" w:type="dxa"/>
            <w:vMerge w:val="restart"/>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每批应由同一合金牌号、状态、规格、颜色的型材组成一组，批量不限，每组10根（每根约长200㎜）</w:t>
            </w:r>
          </w:p>
        </w:tc>
        <w:tc>
          <w:tcPr>
            <w:tcW w:w="62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04"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056" w:type="dxa"/>
            <w:noWrap w:val="0"/>
            <w:vAlign w:val="center"/>
          </w:tcPr>
          <w:p>
            <w:pPr>
              <w:spacing w:line="240" w:lineRule="auto"/>
              <w:ind w:firstLine="0"/>
              <w:jc w:val="center"/>
              <w:textAlignment w:val="auto"/>
              <w:rPr>
                <w:rFonts w:ascii="宋体" w:hAnsi="宋体" w:cs="宋体"/>
                <w:szCs w:val="21"/>
                <w:u w:val="none" w:color="auto"/>
              </w:rPr>
            </w:pPr>
          </w:p>
        </w:tc>
        <w:tc>
          <w:tcPr>
            <w:tcW w:w="1192"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06"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684" w:type="dxa"/>
            <w:vMerge w:val="continue"/>
            <w:noWrap w:val="0"/>
            <w:vAlign w:val="center"/>
          </w:tcPr>
          <w:p>
            <w:pPr>
              <w:spacing w:line="240" w:lineRule="auto"/>
              <w:ind w:firstLine="0"/>
              <w:jc w:val="left"/>
              <w:textAlignment w:val="auto"/>
              <w:rPr>
                <w:rFonts w:ascii="宋体" w:hAnsi="宋体" w:cs="宋体"/>
                <w:color w:val="auto"/>
                <w:szCs w:val="21"/>
                <w:u w:val="none" w:color="auto"/>
              </w:rPr>
            </w:pPr>
          </w:p>
        </w:tc>
        <w:tc>
          <w:tcPr>
            <w:tcW w:w="1247"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膜厚</w:t>
            </w:r>
          </w:p>
        </w:tc>
        <w:tc>
          <w:tcPr>
            <w:tcW w:w="937" w:type="dxa"/>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4.39.6</w:t>
            </w:r>
          </w:p>
        </w:tc>
        <w:tc>
          <w:tcPr>
            <w:tcW w:w="2617" w:type="dxa"/>
            <w:vMerge w:val="continue"/>
            <w:noWrap w:val="0"/>
            <w:vAlign w:val="center"/>
          </w:tcPr>
          <w:p>
            <w:pPr>
              <w:spacing w:line="240" w:lineRule="auto"/>
              <w:ind w:firstLine="0"/>
              <w:jc w:val="left"/>
              <w:textAlignment w:val="auto"/>
              <w:rPr>
                <w:rFonts w:ascii="宋体" w:hAnsi="宋体" w:cs="宋体"/>
                <w:szCs w:val="21"/>
                <w:u w:val="none" w:color="auto"/>
              </w:rPr>
            </w:pPr>
          </w:p>
        </w:tc>
        <w:tc>
          <w:tcPr>
            <w:tcW w:w="622"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604" w:type="dxa"/>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项</w:t>
            </w:r>
          </w:p>
        </w:tc>
        <w:tc>
          <w:tcPr>
            <w:tcW w:w="1056" w:type="dxa"/>
            <w:noWrap w:val="0"/>
            <w:vAlign w:val="center"/>
          </w:tcPr>
          <w:p>
            <w:pPr>
              <w:spacing w:line="240" w:lineRule="auto"/>
              <w:ind w:firstLine="0"/>
              <w:jc w:val="center"/>
              <w:textAlignment w:val="auto"/>
              <w:rPr>
                <w:rFonts w:ascii="宋体" w:hAnsi="宋体" w:cs="宋体"/>
                <w:szCs w:val="21"/>
                <w:u w:val="none" w:color="auto"/>
              </w:rPr>
            </w:pPr>
          </w:p>
        </w:tc>
        <w:tc>
          <w:tcPr>
            <w:tcW w:w="1192" w:type="dxa"/>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437" w:type="dxa"/>
            <w:gridSpan w:val="3"/>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费用合计（元）</w:t>
            </w:r>
          </w:p>
        </w:tc>
        <w:tc>
          <w:tcPr>
            <w:tcW w:w="7028" w:type="dxa"/>
            <w:gridSpan w:val="6"/>
            <w:noWrap w:val="0"/>
            <w:vAlign w:val="center"/>
          </w:tcPr>
          <w:p>
            <w:pPr>
              <w:spacing w:line="240" w:lineRule="auto"/>
              <w:ind w:firstLine="0"/>
              <w:jc w:val="center"/>
              <w:textAlignment w:val="auto"/>
              <w:rPr>
                <w:rFonts w:ascii="宋体" w:hAnsi="宋体" w:cs="宋体"/>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465" w:type="dxa"/>
            <w:gridSpan w:val="9"/>
            <w:noWrap w:val="0"/>
            <w:vAlign w:val="center"/>
          </w:tcPr>
          <w:p>
            <w:pPr>
              <w:spacing w:line="240" w:lineRule="auto"/>
              <w:ind w:firstLine="0"/>
              <w:jc w:val="left"/>
              <w:textAlignment w:val="auto"/>
              <w:rPr>
                <w:rFonts w:ascii="宋体" w:hAnsi="宋体" w:cs="宋体"/>
                <w:szCs w:val="21"/>
                <w:u w:val="none" w:color="auto"/>
              </w:rPr>
            </w:pPr>
            <w:r>
              <w:rPr>
                <w:rFonts w:hint="eastAsia" w:ascii="宋体" w:hAnsi="宋体" w:cs="宋体"/>
                <w:szCs w:val="21"/>
                <w:u w:val="none" w:color="auto"/>
              </w:rPr>
              <w:t>注：以实际发生量为准。</w:t>
            </w:r>
          </w:p>
        </w:tc>
      </w:tr>
    </w:tbl>
    <w:p>
      <w:pPr>
        <w:numPr>
          <w:ilvl w:val="0"/>
          <w:numId w:val="3"/>
        </w:numPr>
        <w:wordWrap w:val="0"/>
        <w:spacing w:line="580" w:lineRule="exact"/>
        <w:ind w:left="1418" w:hanging="567"/>
        <w:rPr>
          <w:b/>
          <w:bCs/>
          <w:color w:val="auto"/>
          <w:sz w:val="28"/>
          <w:szCs w:val="28"/>
        </w:rPr>
      </w:pPr>
      <w:r>
        <w:rPr>
          <w:rFonts w:hint="eastAsia"/>
          <w:b/>
          <w:bCs/>
          <w:color w:val="auto"/>
          <w:sz w:val="28"/>
          <w:szCs w:val="28"/>
        </w:rPr>
        <w:t xml:space="preserve">室内环境检测 </w:t>
      </w:r>
    </w:p>
    <w:tbl>
      <w:tblPr>
        <w:tblStyle w:val="22"/>
        <w:tblW w:w="9651" w:type="dxa"/>
        <w:jc w:val="center"/>
        <w:tblLayout w:type="autofit"/>
        <w:tblCellMar>
          <w:top w:w="0" w:type="dxa"/>
          <w:left w:w="108" w:type="dxa"/>
          <w:bottom w:w="0" w:type="dxa"/>
          <w:right w:w="108" w:type="dxa"/>
        </w:tblCellMar>
      </w:tblPr>
      <w:tblGrid>
        <w:gridCol w:w="700"/>
        <w:gridCol w:w="1140"/>
        <w:gridCol w:w="960"/>
        <w:gridCol w:w="1607"/>
        <w:gridCol w:w="1275"/>
        <w:gridCol w:w="1134"/>
        <w:gridCol w:w="1560"/>
        <w:gridCol w:w="1275"/>
      </w:tblGrid>
      <w:tr>
        <w:tblPrEx>
          <w:tblCellMar>
            <w:top w:w="0" w:type="dxa"/>
            <w:left w:w="108" w:type="dxa"/>
            <w:bottom w:w="0" w:type="dxa"/>
            <w:right w:w="108" w:type="dxa"/>
          </w:tblCellMar>
        </w:tblPrEx>
        <w:trPr>
          <w:trHeight w:val="328" w:hRule="atLeast"/>
          <w:jc w:val="center"/>
        </w:trPr>
        <w:tc>
          <w:tcPr>
            <w:tcW w:w="9651"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室内环境检测数量及费用表</w:t>
            </w:r>
          </w:p>
        </w:tc>
      </w:tr>
      <w:tr>
        <w:tblPrEx>
          <w:tblCellMar>
            <w:top w:w="0" w:type="dxa"/>
            <w:left w:w="108" w:type="dxa"/>
            <w:bottom w:w="0" w:type="dxa"/>
            <w:right w:w="108" w:type="dxa"/>
          </w:tblCellMar>
        </w:tblPrEx>
        <w:trPr>
          <w:trHeight w:val="735" w:hRule="atLeast"/>
          <w:jc w:val="center"/>
        </w:trPr>
        <w:tc>
          <w:tcPr>
            <w:tcW w:w="700" w:type="dxa"/>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单体名称</w:t>
            </w:r>
          </w:p>
        </w:tc>
        <w:tc>
          <w:tcPr>
            <w:tcW w:w="114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检测项目名称</w:t>
            </w:r>
          </w:p>
        </w:tc>
        <w:tc>
          <w:tcPr>
            <w:tcW w:w="96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检测项目序号</w:t>
            </w:r>
          </w:p>
        </w:tc>
        <w:tc>
          <w:tcPr>
            <w:tcW w:w="1607" w:type="dxa"/>
            <w:tcBorders>
              <w:top w:val="single" w:color="auto" w:sz="4" w:space="0"/>
              <w:left w:val="nil"/>
              <w:bottom w:val="single" w:color="auto" w:sz="4" w:space="0"/>
              <w:right w:val="single" w:color="000000"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抽检明细</w:t>
            </w:r>
          </w:p>
        </w:tc>
        <w:tc>
          <w:tcPr>
            <w:tcW w:w="1275"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试验数量</w:t>
            </w:r>
          </w:p>
        </w:tc>
        <w:tc>
          <w:tcPr>
            <w:tcW w:w="11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单位</w:t>
            </w:r>
          </w:p>
        </w:tc>
        <w:tc>
          <w:tcPr>
            <w:tcW w:w="156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单价（元）</w:t>
            </w:r>
          </w:p>
        </w:tc>
        <w:tc>
          <w:tcPr>
            <w:tcW w:w="1275"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小计（元）</w:t>
            </w:r>
          </w:p>
        </w:tc>
      </w:tr>
      <w:tr>
        <w:tblPrEx>
          <w:tblCellMar>
            <w:top w:w="0" w:type="dxa"/>
            <w:left w:w="108" w:type="dxa"/>
            <w:bottom w:w="0" w:type="dxa"/>
            <w:right w:w="108" w:type="dxa"/>
          </w:tblCellMar>
        </w:tblPrEx>
        <w:trPr>
          <w:trHeight w:val="315" w:hRule="atLeast"/>
          <w:jc w:val="center"/>
        </w:trPr>
        <w:tc>
          <w:tcPr>
            <w:tcW w:w="700" w:type="dxa"/>
            <w:vMerge w:val="restart"/>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业务大厅</w:t>
            </w:r>
          </w:p>
        </w:tc>
        <w:tc>
          <w:tcPr>
            <w:tcW w:w="114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甲醛</w:t>
            </w:r>
          </w:p>
        </w:tc>
        <w:tc>
          <w:tcPr>
            <w:tcW w:w="96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8.1.1</w:t>
            </w:r>
          </w:p>
        </w:tc>
        <w:tc>
          <w:tcPr>
            <w:tcW w:w="1607" w:type="dxa"/>
            <w:vMerge w:val="restart"/>
            <w:tcBorders>
              <w:top w:val="single" w:color="auto" w:sz="4" w:space="0"/>
              <w:left w:val="single" w:color="auto" w:sz="4" w:space="0"/>
              <w:bottom w:val="single" w:color="000000" w:sz="4" w:space="0"/>
              <w:right w:val="single" w:color="000000"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面积＜50㎡抽取3间，每间1点，共3点。</w:t>
            </w:r>
          </w:p>
        </w:tc>
        <w:tc>
          <w:tcPr>
            <w:tcW w:w="1275"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3</w:t>
            </w:r>
          </w:p>
        </w:tc>
        <w:tc>
          <w:tcPr>
            <w:tcW w:w="11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点</w:t>
            </w:r>
          </w:p>
        </w:tc>
        <w:tc>
          <w:tcPr>
            <w:tcW w:w="156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275"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315" w:hRule="atLeast"/>
          <w:jc w:val="center"/>
        </w:trPr>
        <w:tc>
          <w:tcPr>
            <w:tcW w:w="700"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114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苯</w:t>
            </w:r>
          </w:p>
        </w:tc>
        <w:tc>
          <w:tcPr>
            <w:tcW w:w="96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8.1.2</w:t>
            </w:r>
          </w:p>
        </w:tc>
        <w:tc>
          <w:tcPr>
            <w:tcW w:w="1607" w:type="dxa"/>
            <w:vMerge w:val="continue"/>
            <w:tcBorders>
              <w:top w:val="nil"/>
              <w:left w:val="nil"/>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1275"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3</w:t>
            </w:r>
          </w:p>
        </w:tc>
        <w:tc>
          <w:tcPr>
            <w:tcW w:w="11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点</w:t>
            </w:r>
          </w:p>
        </w:tc>
        <w:tc>
          <w:tcPr>
            <w:tcW w:w="156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275"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315" w:hRule="atLeast"/>
          <w:jc w:val="center"/>
        </w:trPr>
        <w:tc>
          <w:tcPr>
            <w:tcW w:w="700"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114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TVOC</w:t>
            </w:r>
          </w:p>
        </w:tc>
        <w:tc>
          <w:tcPr>
            <w:tcW w:w="96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8.1.3</w:t>
            </w:r>
          </w:p>
        </w:tc>
        <w:tc>
          <w:tcPr>
            <w:tcW w:w="1607" w:type="dxa"/>
            <w:vMerge w:val="continue"/>
            <w:tcBorders>
              <w:top w:val="nil"/>
              <w:left w:val="nil"/>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1275"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3</w:t>
            </w:r>
          </w:p>
        </w:tc>
        <w:tc>
          <w:tcPr>
            <w:tcW w:w="11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点</w:t>
            </w:r>
          </w:p>
        </w:tc>
        <w:tc>
          <w:tcPr>
            <w:tcW w:w="156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275"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315" w:hRule="atLeast"/>
          <w:jc w:val="center"/>
        </w:trPr>
        <w:tc>
          <w:tcPr>
            <w:tcW w:w="700"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114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氨</w:t>
            </w:r>
          </w:p>
        </w:tc>
        <w:tc>
          <w:tcPr>
            <w:tcW w:w="96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8.1.4</w:t>
            </w:r>
          </w:p>
        </w:tc>
        <w:tc>
          <w:tcPr>
            <w:tcW w:w="1607" w:type="dxa"/>
            <w:vMerge w:val="continue"/>
            <w:tcBorders>
              <w:top w:val="nil"/>
              <w:left w:val="nil"/>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1275"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3</w:t>
            </w:r>
          </w:p>
        </w:tc>
        <w:tc>
          <w:tcPr>
            <w:tcW w:w="11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点</w:t>
            </w:r>
          </w:p>
        </w:tc>
        <w:tc>
          <w:tcPr>
            <w:tcW w:w="156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275"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315" w:hRule="atLeast"/>
          <w:jc w:val="center"/>
        </w:trPr>
        <w:tc>
          <w:tcPr>
            <w:tcW w:w="700"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114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氡</w:t>
            </w:r>
          </w:p>
        </w:tc>
        <w:tc>
          <w:tcPr>
            <w:tcW w:w="96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8.1.5</w:t>
            </w:r>
          </w:p>
        </w:tc>
        <w:tc>
          <w:tcPr>
            <w:tcW w:w="1607" w:type="dxa"/>
            <w:vMerge w:val="continue"/>
            <w:tcBorders>
              <w:top w:val="nil"/>
              <w:left w:val="nil"/>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1275"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3</w:t>
            </w:r>
          </w:p>
        </w:tc>
        <w:tc>
          <w:tcPr>
            <w:tcW w:w="11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点</w:t>
            </w:r>
          </w:p>
        </w:tc>
        <w:tc>
          <w:tcPr>
            <w:tcW w:w="156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275"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315" w:hRule="atLeast"/>
          <w:jc w:val="center"/>
        </w:trPr>
        <w:tc>
          <w:tcPr>
            <w:tcW w:w="700"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114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甲苯</w:t>
            </w:r>
          </w:p>
        </w:tc>
        <w:tc>
          <w:tcPr>
            <w:tcW w:w="96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8.1.6</w:t>
            </w:r>
          </w:p>
        </w:tc>
        <w:tc>
          <w:tcPr>
            <w:tcW w:w="1607" w:type="dxa"/>
            <w:vMerge w:val="continue"/>
            <w:tcBorders>
              <w:top w:val="nil"/>
              <w:left w:val="nil"/>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1275"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3</w:t>
            </w:r>
          </w:p>
        </w:tc>
        <w:tc>
          <w:tcPr>
            <w:tcW w:w="11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点</w:t>
            </w:r>
          </w:p>
        </w:tc>
        <w:tc>
          <w:tcPr>
            <w:tcW w:w="156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275"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315" w:hRule="atLeast"/>
          <w:jc w:val="center"/>
        </w:trPr>
        <w:tc>
          <w:tcPr>
            <w:tcW w:w="700"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114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二甲苯</w:t>
            </w:r>
          </w:p>
        </w:tc>
        <w:tc>
          <w:tcPr>
            <w:tcW w:w="96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8.1.7</w:t>
            </w:r>
          </w:p>
        </w:tc>
        <w:tc>
          <w:tcPr>
            <w:tcW w:w="1607" w:type="dxa"/>
            <w:vMerge w:val="continue"/>
            <w:tcBorders>
              <w:top w:val="nil"/>
              <w:left w:val="nil"/>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1275"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3</w:t>
            </w:r>
          </w:p>
        </w:tc>
        <w:tc>
          <w:tcPr>
            <w:tcW w:w="113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点</w:t>
            </w:r>
          </w:p>
        </w:tc>
        <w:tc>
          <w:tcPr>
            <w:tcW w:w="156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275"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477" w:hRule="atLeast"/>
          <w:jc w:val="center"/>
        </w:trPr>
        <w:tc>
          <w:tcPr>
            <w:tcW w:w="2800" w:type="dxa"/>
            <w:gridSpan w:val="3"/>
            <w:tcBorders>
              <w:top w:val="single" w:color="auto" w:sz="4" w:space="0"/>
              <w:left w:val="single" w:color="auto" w:sz="4" w:space="0"/>
              <w:bottom w:val="single" w:color="auto" w:sz="4" w:space="0"/>
              <w:right w:val="single" w:color="000000"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费用合计（元）</w:t>
            </w:r>
          </w:p>
        </w:tc>
        <w:tc>
          <w:tcPr>
            <w:tcW w:w="6851" w:type="dxa"/>
            <w:gridSpan w:val="5"/>
            <w:tcBorders>
              <w:top w:val="single" w:color="auto" w:sz="4" w:space="0"/>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1714" w:hRule="atLeast"/>
          <w:jc w:val="center"/>
        </w:trPr>
        <w:tc>
          <w:tcPr>
            <w:tcW w:w="9651"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color w:val="auto"/>
                <w:szCs w:val="21"/>
                <w:u w:val="none" w:color="auto"/>
              </w:rPr>
            </w:pPr>
            <w:r>
              <w:rPr>
                <w:rFonts w:hint="eastAsia" w:ascii="宋体" w:hAnsi="宋体" w:cs="宋体"/>
                <w:color w:val="auto"/>
                <w:szCs w:val="21"/>
                <w:u w:val="none" w:color="auto"/>
              </w:rPr>
              <w:t>注：1.每个建筑单体抽检不得少于房间总数的5%，且不得少于三间。房间使用面积小于50m2时，设1个检测点；房间使用面积50~100㎡时，设2个检测点；房间面积100~500㎡时，设不少于3个检测点；房间面积500~1000㎡时，设不少于5个检测点；房间面积1000~3000㎡时，设不少于6个检测点；房间面积大于3000㎡时，每1000㎡设不少于3个检测点。</w:t>
            </w:r>
            <w:r>
              <w:rPr>
                <w:rFonts w:hint="eastAsia" w:ascii="宋体" w:hAnsi="宋体" w:cs="宋体"/>
                <w:color w:val="auto"/>
                <w:szCs w:val="21"/>
                <w:u w:val="none" w:color="auto"/>
              </w:rPr>
              <w:br w:type="textWrapping"/>
            </w:r>
            <w:r>
              <w:rPr>
                <w:rFonts w:hint="eastAsia" w:ascii="宋体" w:hAnsi="宋体" w:cs="宋体"/>
                <w:color w:val="auto"/>
                <w:szCs w:val="21"/>
                <w:u w:val="none" w:color="auto"/>
              </w:rPr>
              <w:t>2.幼儿园、学校教室、学生宿舍、老年人照料房屋设施室内装饰装修验收时，室内空气中氡、甲醛、氨、苯、甲苯、二甲苯、TVOC的抽检量不得少于房间总数的50%，且不得少于20间。当房间总数不大于20间时，应全数检测。</w:t>
            </w:r>
            <w:r>
              <w:rPr>
                <w:rFonts w:hint="eastAsia" w:ascii="宋体" w:hAnsi="宋体" w:cs="宋体"/>
                <w:color w:val="auto"/>
                <w:szCs w:val="21"/>
                <w:u w:val="none" w:color="auto"/>
              </w:rPr>
              <w:br w:type="textWrapping"/>
            </w:r>
            <w:r>
              <w:rPr>
                <w:rFonts w:hint="eastAsia" w:ascii="宋体" w:hAnsi="宋体" w:cs="宋体"/>
                <w:color w:val="auto"/>
                <w:szCs w:val="21"/>
                <w:u w:val="none" w:color="auto"/>
              </w:rPr>
              <w:t>3.以实际发生量为准。</w:t>
            </w:r>
          </w:p>
        </w:tc>
      </w:tr>
    </w:tbl>
    <w:p>
      <w:pPr>
        <w:numPr>
          <w:ilvl w:val="0"/>
          <w:numId w:val="3"/>
        </w:numPr>
        <w:wordWrap w:val="0"/>
        <w:spacing w:line="580" w:lineRule="exact"/>
        <w:ind w:left="1418" w:hanging="567"/>
        <w:rPr>
          <w:b/>
          <w:bCs/>
          <w:color w:val="auto"/>
          <w:sz w:val="28"/>
          <w:szCs w:val="28"/>
        </w:rPr>
      </w:pPr>
      <w:r>
        <w:rPr>
          <w:rFonts w:hint="eastAsia"/>
          <w:b/>
          <w:bCs/>
          <w:color w:val="auto"/>
          <w:sz w:val="28"/>
          <w:szCs w:val="28"/>
        </w:rPr>
        <w:t xml:space="preserve">建筑物附属工程检测  </w:t>
      </w:r>
    </w:p>
    <w:tbl>
      <w:tblPr>
        <w:tblStyle w:val="22"/>
        <w:tblW w:w="9157" w:type="dxa"/>
        <w:jc w:val="center"/>
        <w:tblLayout w:type="autofit"/>
        <w:tblCellMar>
          <w:top w:w="0" w:type="dxa"/>
          <w:left w:w="108" w:type="dxa"/>
          <w:bottom w:w="0" w:type="dxa"/>
          <w:right w:w="108" w:type="dxa"/>
        </w:tblCellMar>
      </w:tblPr>
      <w:tblGrid>
        <w:gridCol w:w="768"/>
        <w:gridCol w:w="847"/>
        <w:gridCol w:w="1103"/>
        <w:gridCol w:w="1162"/>
        <w:gridCol w:w="1004"/>
        <w:gridCol w:w="1024"/>
        <w:gridCol w:w="906"/>
        <w:gridCol w:w="1004"/>
        <w:gridCol w:w="1339"/>
      </w:tblGrid>
      <w:tr>
        <w:tblPrEx>
          <w:tblCellMar>
            <w:top w:w="0" w:type="dxa"/>
            <w:left w:w="108" w:type="dxa"/>
            <w:bottom w:w="0" w:type="dxa"/>
            <w:right w:w="108" w:type="dxa"/>
          </w:tblCellMar>
        </w:tblPrEx>
        <w:trPr>
          <w:trHeight w:val="420" w:hRule="atLeast"/>
          <w:jc w:val="center"/>
        </w:trPr>
        <w:tc>
          <w:tcPr>
            <w:tcW w:w="9156" w:type="dxa"/>
            <w:gridSpan w:val="9"/>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建筑物附属工程检测数量及费用表</w:t>
            </w:r>
          </w:p>
        </w:tc>
      </w:tr>
      <w:tr>
        <w:tblPrEx>
          <w:tblCellMar>
            <w:top w:w="0" w:type="dxa"/>
            <w:left w:w="108" w:type="dxa"/>
            <w:bottom w:w="0" w:type="dxa"/>
            <w:right w:w="108" w:type="dxa"/>
          </w:tblCellMar>
        </w:tblPrEx>
        <w:trPr>
          <w:trHeight w:val="501" w:hRule="atLeast"/>
          <w:jc w:val="center"/>
        </w:trPr>
        <w:tc>
          <w:tcPr>
            <w:tcW w:w="768" w:type="dxa"/>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检测项目</w:t>
            </w:r>
          </w:p>
        </w:tc>
        <w:tc>
          <w:tcPr>
            <w:tcW w:w="847"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检测项目序号</w:t>
            </w:r>
          </w:p>
        </w:tc>
        <w:tc>
          <w:tcPr>
            <w:tcW w:w="1103"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抽样规则</w:t>
            </w:r>
          </w:p>
        </w:tc>
        <w:tc>
          <w:tcPr>
            <w:tcW w:w="1162"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单体名称</w:t>
            </w:r>
          </w:p>
        </w:tc>
        <w:tc>
          <w:tcPr>
            <w:tcW w:w="100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建筑面积（㎡）</w:t>
            </w:r>
          </w:p>
        </w:tc>
        <w:tc>
          <w:tcPr>
            <w:tcW w:w="102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试验数量</w:t>
            </w:r>
          </w:p>
        </w:tc>
        <w:tc>
          <w:tcPr>
            <w:tcW w:w="90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单位</w:t>
            </w:r>
          </w:p>
        </w:tc>
        <w:tc>
          <w:tcPr>
            <w:tcW w:w="100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单价（元）</w:t>
            </w:r>
          </w:p>
        </w:tc>
        <w:tc>
          <w:tcPr>
            <w:tcW w:w="1339"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小计（元）</w:t>
            </w:r>
          </w:p>
        </w:tc>
      </w:tr>
      <w:tr>
        <w:tblPrEx>
          <w:tblCellMar>
            <w:top w:w="0" w:type="dxa"/>
            <w:left w:w="108" w:type="dxa"/>
            <w:bottom w:w="0" w:type="dxa"/>
            <w:right w:w="108" w:type="dxa"/>
          </w:tblCellMar>
        </w:tblPrEx>
        <w:trPr>
          <w:trHeight w:val="897" w:hRule="atLeast"/>
          <w:jc w:val="center"/>
        </w:trPr>
        <w:tc>
          <w:tcPr>
            <w:tcW w:w="768" w:type="dxa"/>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建筑给排水管道水压</w:t>
            </w:r>
          </w:p>
        </w:tc>
        <w:tc>
          <w:tcPr>
            <w:tcW w:w="847"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7.1.1</w:t>
            </w:r>
          </w:p>
        </w:tc>
        <w:tc>
          <w:tcPr>
            <w:tcW w:w="1103"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计费按建筑面积计，每个单体2500元起</w:t>
            </w:r>
          </w:p>
        </w:tc>
        <w:tc>
          <w:tcPr>
            <w:tcW w:w="1162" w:type="dxa"/>
            <w:vMerge w:val="restart"/>
            <w:tcBorders>
              <w:top w:val="nil"/>
              <w:left w:val="single" w:color="auto" w:sz="4" w:space="0"/>
              <w:bottom w:val="single" w:color="000000"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业务大厅</w:t>
            </w:r>
          </w:p>
        </w:tc>
        <w:tc>
          <w:tcPr>
            <w:tcW w:w="100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200</w:t>
            </w:r>
          </w:p>
        </w:tc>
        <w:tc>
          <w:tcPr>
            <w:tcW w:w="102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90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个</w:t>
            </w:r>
          </w:p>
        </w:tc>
        <w:tc>
          <w:tcPr>
            <w:tcW w:w="100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339"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897" w:hRule="atLeast"/>
          <w:jc w:val="center"/>
        </w:trPr>
        <w:tc>
          <w:tcPr>
            <w:tcW w:w="768" w:type="dxa"/>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建筑接地电阻</w:t>
            </w:r>
          </w:p>
        </w:tc>
        <w:tc>
          <w:tcPr>
            <w:tcW w:w="847"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7.2.1</w:t>
            </w:r>
          </w:p>
        </w:tc>
        <w:tc>
          <w:tcPr>
            <w:tcW w:w="1103"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计费按建筑面积计，每个单体2500元起</w:t>
            </w:r>
          </w:p>
        </w:tc>
        <w:tc>
          <w:tcPr>
            <w:tcW w:w="1162" w:type="dxa"/>
            <w:vMerge w:val="continue"/>
            <w:tcBorders>
              <w:top w:val="nil"/>
              <w:left w:val="single" w:color="auto" w:sz="4" w:space="0"/>
              <w:bottom w:val="single" w:color="000000"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100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200</w:t>
            </w:r>
          </w:p>
        </w:tc>
        <w:tc>
          <w:tcPr>
            <w:tcW w:w="102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90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个</w:t>
            </w:r>
          </w:p>
        </w:tc>
        <w:tc>
          <w:tcPr>
            <w:tcW w:w="100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339"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897" w:hRule="atLeast"/>
          <w:jc w:val="center"/>
        </w:trPr>
        <w:tc>
          <w:tcPr>
            <w:tcW w:w="768" w:type="dxa"/>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建筑绝缘电阻</w:t>
            </w:r>
          </w:p>
        </w:tc>
        <w:tc>
          <w:tcPr>
            <w:tcW w:w="847"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7.2.2</w:t>
            </w:r>
          </w:p>
        </w:tc>
        <w:tc>
          <w:tcPr>
            <w:tcW w:w="1103"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计费按建筑面积计，每个单体2500元起</w:t>
            </w:r>
          </w:p>
        </w:tc>
        <w:tc>
          <w:tcPr>
            <w:tcW w:w="1162" w:type="dxa"/>
            <w:vMerge w:val="continue"/>
            <w:tcBorders>
              <w:top w:val="nil"/>
              <w:left w:val="single" w:color="auto" w:sz="4" w:space="0"/>
              <w:bottom w:val="single" w:color="000000"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100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200</w:t>
            </w:r>
          </w:p>
        </w:tc>
        <w:tc>
          <w:tcPr>
            <w:tcW w:w="102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90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个</w:t>
            </w:r>
          </w:p>
        </w:tc>
        <w:tc>
          <w:tcPr>
            <w:tcW w:w="100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339"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897" w:hRule="atLeast"/>
          <w:jc w:val="center"/>
        </w:trPr>
        <w:tc>
          <w:tcPr>
            <w:tcW w:w="768" w:type="dxa"/>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三类防雷</w:t>
            </w:r>
          </w:p>
        </w:tc>
        <w:tc>
          <w:tcPr>
            <w:tcW w:w="847"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7.3.1</w:t>
            </w:r>
          </w:p>
        </w:tc>
        <w:tc>
          <w:tcPr>
            <w:tcW w:w="1103"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计费按建筑面积计，每个单体3000元起</w:t>
            </w:r>
          </w:p>
        </w:tc>
        <w:tc>
          <w:tcPr>
            <w:tcW w:w="1162" w:type="dxa"/>
            <w:vMerge w:val="continue"/>
            <w:tcBorders>
              <w:top w:val="nil"/>
              <w:left w:val="single" w:color="auto" w:sz="4" w:space="0"/>
              <w:bottom w:val="single" w:color="000000"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p>
        </w:tc>
        <w:tc>
          <w:tcPr>
            <w:tcW w:w="100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200</w:t>
            </w:r>
          </w:p>
        </w:tc>
        <w:tc>
          <w:tcPr>
            <w:tcW w:w="102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90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个</w:t>
            </w:r>
          </w:p>
        </w:tc>
        <w:tc>
          <w:tcPr>
            <w:tcW w:w="100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339"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465" w:hRule="atLeast"/>
          <w:jc w:val="center"/>
        </w:trPr>
        <w:tc>
          <w:tcPr>
            <w:tcW w:w="1615" w:type="dxa"/>
            <w:gridSpan w:val="2"/>
            <w:tcBorders>
              <w:top w:val="single" w:color="auto" w:sz="4" w:space="0"/>
              <w:left w:val="single" w:color="auto" w:sz="4" w:space="0"/>
              <w:bottom w:val="single" w:color="auto" w:sz="4" w:space="0"/>
              <w:right w:val="single" w:color="000000"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费用合计（元）</w:t>
            </w:r>
          </w:p>
        </w:tc>
        <w:tc>
          <w:tcPr>
            <w:tcW w:w="7541" w:type="dxa"/>
            <w:gridSpan w:val="7"/>
            <w:tcBorders>
              <w:top w:val="single" w:color="auto" w:sz="4" w:space="0"/>
              <w:left w:val="nil"/>
              <w:bottom w:val="single" w:color="auto" w:sz="4" w:space="0"/>
              <w:right w:val="single" w:color="000000"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320" w:hRule="atLeast"/>
          <w:jc w:val="center"/>
        </w:trPr>
        <w:tc>
          <w:tcPr>
            <w:tcW w:w="9156" w:type="dxa"/>
            <w:gridSpan w:val="9"/>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jc w:val="left"/>
              <w:textAlignment w:val="auto"/>
              <w:rPr>
                <w:rFonts w:ascii="宋体" w:hAnsi="宋体" w:cs="宋体"/>
                <w:color w:val="auto"/>
                <w:szCs w:val="21"/>
                <w:u w:val="none" w:color="auto"/>
              </w:rPr>
            </w:pPr>
            <w:r>
              <w:rPr>
                <w:rFonts w:hint="eastAsia" w:ascii="宋体" w:hAnsi="宋体" w:cs="宋体"/>
                <w:color w:val="auto"/>
                <w:szCs w:val="21"/>
                <w:u w:val="none" w:color="auto"/>
              </w:rPr>
              <w:t>注：以实际发生量为准。</w:t>
            </w:r>
          </w:p>
        </w:tc>
      </w:tr>
    </w:tbl>
    <w:p>
      <w:pPr>
        <w:numPr>
          <w:ilvl w:val="0"/>
          <w:numId w:val="3"/>
        </w:numPr>
        <w:wordWrap w:val="0"/>
        <w:spacing w:line="580" w:lineRule="exact"/>
        <w:ind w:left="1418" w:hanging="567"/>
        <w:rPr>
          <w:b/>
          <w:bCs/>
          <w:color w:val="auto"/>
          <w:sz w:val="28"/>
          <w:szCs w:val="28"/>
        </w:rPr>
      </w:pPr>
      <w:r>
        <w:rPr>
          <w:rFonts w:hint="eastAsia"/>
          <w:b/>
          <w:bCs/>
          <w:color w:val="auto"/>
          <w:sz w:val="28"/>
          <w:szCs w:val="28"/>
        </w:rPr>
        <w:t xml:space="preserve">消防查验 </w:t>
      </w:r>
    </w:p>
    <w:tbl>
      <w:tblPr>
        <w:tblStyle w:val="22"/>
        <w:tblW w:w="9349" w:type="dxa"/>
        <w:jc w:val="center"/>
        <w:tblLayout w:type="autofit"/>
        <w:tblCellMar>
          <w:top w:w="0" w:type="dxa"/>
          <w:left w:w="108" w:type="dxa"/>
          <w:bottom w:w="0" w:type="dxa"/>
          <w:right w:w="108" w:type="dxa"/>
        </w:tblCellMar>
      </w:tblPr>
      <w:tblGrid>
        <w:gridCol w:w="2354"/>
        <w:gridCol w:w="1024"/>
        <w:gridCol w:w="1549"/>
        <w:gridCol w:w="1207"/>
        <w:gridCol w:w="739"/>
        <w:gridCol w:w="1056"/>
        <w:gridCol w:w="1420"/>
      </w:tblGrid>
      <w:tr>
        <w:tblPrEx>
          <w:tblCellMar>
            <w:top w:w="0" w:type="dxa"/>
            <w:left w:w="108" w:type="dxa"/>
            <w:bottom w:w="0" w:type="dxa"/>
            <w:right w:w="108" w:type="dxa"/>
          </w:tblCellMar>
        </w:tblPrEx>
        <w:trPr>
          <w:trHeight w:val="393" w:hRule="atLeast"/>
          <w:jc w:val="center"/>
        </w:trPr>
        <w:tc>
          <w:tcPr>
            <w:tcW w:w="9349"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消防查验数量及费用表</w:t>
            </w:r>
          </w:p>
        </w:tc>
      </w:tr>
      <w:tr>
        <w:tblPrEx>
          <w:tblCellMar>
            <w:top w:w="0" w:type="dxa"/>
            <w:left w:w="108" w:type="dxa"/>
            <w:bottom w:w="0" w:type="dxa"/>
            <w:right w:w="108" w:type="dxa"/>
          </w:tblCellMar>
        </w:tblPrEx>
        <w:trPr>
          <w:trHeight w:val="505" w:hRule="atLeast"/>
          <w:jc w:val="center"/>
        </w:trPr>
        <w:tc>
          <w:tcPr>
            <w:tcW w:w="2354" w:type="dxa"/>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color w:val="auto"/>
                <w:szCs w:val="21"/>
                <w:u w:val="none" w:color="auto"/>
              </w:rPr>
            </w:pPr>
            <w:r>
              <w:rPr>
                <w:rFonts w:hint="eastAsia" w:ascii="宋体" w:hAnsi="宋体" w:cs="宋体"/>
                <w:color w:val="auto"/>
                <w:szCs w:val="21"/>
                <w:u w:val="none" w:color="auto"/>
              </w:rPr>
              <w:t>单体名称</w:t>
            </w:r>
          </w:p>
        </w:tc>
        <w:tc>
          <w:tcPr>
            <w:tcW w:w="1024"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检测项目序号</w:t>
            </w:r>
          </w:p>
        </w:tc>
        <w:tc>
          <w:tcPr>
            <w:tcW w:w="1549"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建筑面积（㎡）</w:t>
            </w:r>
          </w:p>
        </w:tc>
        <w:tc>
          <w:tcPr>
            <w:tcW w:w="1207"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试验数量</w:t>
            </w:r>
          </w:p>
        </w:tc>
        <w:tc>
          <w:tcPr>
            <w:tcW w:w="739"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单位</w:t>
            </w:r>
          </w:p>
        </w:tc>
        <w:tc>
          <w:tcPr>
            <w:tcW w:w="105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单价（元）</w:t>
            </w:r>
          </w:p>
        </w:tc>
        <w:tc>
          <w:tcPr>
            <w:tcW w:w="142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小计（元）</w:t>
            </w:r>
          </w:p>
        </w:tc>
      </w:tr>
      <w:tr>
        <w:tblPrEx>
          <w:tblCellMar>
            <w:top w:w="0" w:type="dxa"/>
            <w:left w:w="108" w:type="dxa"/>
            <w:bottom w:w="0" w:type="dxa"/>
            <w:right w:w="108" w:type="dxa"/>
          </w:tblCellMar>
        </w:tblPrEx>
        <w:trPr>
          <w:trHeight w:val="451" w:hRule="atLeast"/>
          <w:jc w:val="center"/>
        </w:trPr>
        <w:tc>
          <w:tcPr>
            <w:tcW w:w="2354" w:type="dxa"/>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业务大厅</w:t>
            </w:r>
          </w:p>
        </w:tc>
        <w:tc>
          <w:tcPr>
            <w:tcW w:w="1024" w:type="dxa"/>
            <w:tcBorders>
              <w:top w:val="nil"/>
              <w:left w:val="nil"/>
              <w:bottom w:val="nil"/>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7.4.1</w:t>
            </w:r>
          </w:p>
        </w:tc>
        <w:tc>
          <w:tcPr>
            <w:tcW w:w="1549"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200</w:t>
            </w:r>
          </w:p>
        </w:tc>
        <w:tc>
          <w:tcPr>
            <w:tcW w:w="1207"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1</w:t>
            </w:r>
          </w:p>
        </w:tc>
        <w:tc>
          <w:tcPr>
            <w:tcW w:w="739"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个</w:t>
            </w:r>
          </w:p>
        </w:tc>
        <w:tc>
          <w:tcPr>
            <w:tcW w:w="1056"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c>
          <w:tcPr>
            <w:tcW w:w="1420" w:type="dxa"/>
            <w:tcBorders>
              <w:top w:val="nil"/>
              <w:left w:val="nil"/>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379" w:hRule="atLeast"/>
          <w:jc w:val="center"/>
        </w:trPr>
        <w:tc>
          <w:tcPr>
            <w:tcW w:w="2354" w:type="dxa"/>
            <w:tcBorders>
              <w:top w:val="nil"/>
              <w:left w:val="single" w:color="auto" w:sz="4" w:space="0"/>
              <w:bottom w:val="single" w:color="auto" w:sz="4" w:space="0"/>
              <w:right w:val="single" w:color="auto" w:sz="4" w:space="0"/>
            </w:tcBorders>
            <w:noWrap w:val="0"/>
            <w:vAlign w:val="center"/>
          </w:tcPr>
          <w:p>
            <w:pPr>
              <w:spacing w:line="240" w:lineRule="auto"/>
              <w:ind w:firstLine="0"/>
              <w:jc w:val="center"/>
              <w:textAlignment w:val="auto"/>
              <w:rPr>
                <w:rFonts w:ascii="宋体" w:hAnsi="宋体" w:cs="宋体"/>
                <w:szCs w:val="21"/>
                <w:u w:val="none" w:color="auto"/>
              </w:rPr>
            </w:pPr>
            <w:r>
              <w:rPr>
                <w:rFonts w:hint="eastAsia" w:ascii="宋体" w:hAnsi="宋体" w:cs="宋体"/>
                <w:szCs w:val="21"/>
                <w:u w:val="none" w:color="auto"/>
              </w:rPr>
              <w:t>费用合计（元）</w:t>
            </w:r>
          </w:p>
        </w:tc>
        <w:tc>
          <w:tcPr>
            <w:tcW w:w="6995" w:type="dxa"/>
            <w:gridSpan w:val="6"/>
            <w:tcBorders>
              <w:top w:val="single" w:color="auto" w:sz="4" w:space="0"/>
              <w:left w:val="nil"/>
              <w:bottom w:val="single" w:color="auto" w:sz="4" w:space="0"/>
              <w:right w:val="single" w:color="000000" w:sz="4" w:space="0"/>
            </w:tcBorders>
            <w:noWrap w:val="0"/>
            <w:vAlign w:val="center"/>
          </w:tcPr>
          <w:p>
            <w:pPr>
              <w:spacing w:line="240" w:lineRule="auto"/>
              <w:ind w:firstLine="0"/>
              <w:jc w:val="center"/>
              <w:textAlignment w:val="auto"/>
              <w:rPr>
                <w:rFonts w:ascii="宋体" w:hAnsi="宋体" w:cs="宋体"/>
                <w:szCs w:val="21"/>
                <w:u w:val="none" w:color="auto"/>
              </w:rPr>
            </w:pPr>
          </w:p>
        </w:tc>
      </w:tr>
      <w:tr>
        <w:tblPrEx>
          <w:tblCellMar>
            <w:top w:w="0" w:type="dxa"/>
            <w:left w:w="108" w:type="dxa"/>
            <w:bottom w:w="0" w:type="dxa"/>
            <w:right w:w="108" w:type="dxa"/>
          </w:tblCellMar>
        </w:tblPrEx>
        <w:trPr>
          <w:trHeight w:val="755" w:hRule="atLeast"/>
          <w:jc w:val="center"/>
        </w:trPr>
        <w:tc>
          <w:tcPr>
            <w:tcW w:w="9349"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left"/>
              <w:textAlignment w:val="auto"/>
              <w:rPr>
                <w:rFonts w:ascii="宋体" w:hAnsi="宋体" w:cs="宋体"/>
                <w:szCs w:val="21"/>
                <w:u w:val="none" w:color="auto"/>
              </w:rPr>
            </w:pPr>
            <w:r>
              <w:rPr>
                <w:rFonts w:hint="eastAsia" w:ascii="宋体" w:hAnsi="宋体" w:cs="宋体"/>
                <w:szCs w:val="21"/>
                <w:u w:val="none" w:color="auto"/>
              </w:rPr>
              <w:t>注：1.按建筑面积计算，单体建筑10000元起</w:t>
            </w:r>
            <w:r>
              <w:rPr>
                <w:rFonts w:hint="eastAsia" w:ascii="宋体" w:hAnsi="宋体" w:cs="宋体"/>
                <w:szCs w:val="21"/>
                <w:u w:val="none" w:color="auto"/>
              </w:rPr>
              <w:br w:type="textWrapping"/>
            </w:r>
            <w:r>
              <w:rPr>
                <w:rFonts w:hint="eastAsia" w:ascii="宋体" w:hAnsi="宋体" w:cs="宋体"/>
                <w:szCs w:val="21"/>
                <w:u w:val="none" w:color="auto"/>
              </w:rPr>
              <w:t>2.以实际发生量为准。</w:t>
            </w:r>
          </w:p>
        </w:tc>
      </w:tr>
    </w:tbl>
    <w:p>
      <w:pPr>
        <w:wordWrap w:val="0"/>
        <w:spacing w:line="360" w:lineRule="auto"/>
        <w:ind w:firstLine="700" w:firstLineChars="250"/>
        <w:rPr>
          <w:rFonts w:hint="eastAsia"/>
          <w:b/>
          <w:bCs/>
          <w:color w:val="auto"/>
          <w:sz w:val="28"/>
          <w:szCs w:val="28"/>
        </w:rPr>
      </w:pPr>
    </w:p>
    <w:p>
      <w:pPr>
        <w:wordWrap w:val="0"/>
        <w:spacing w:line="360" w:lineRule="auto"/>
        <w:ind w:firstLine="700" w:firstLineChars="250"/>
        <w:rPr>
          <w:rFonts w:hint="default" w:eastAsiaTheme="minorEastAsia"/>
          <w:b/>
          <w:bCs/>
          <w:color w:val="auto"/>
          <w:sz w:val="28"/>
          <w:szCs w:val="28"/>
          <w:u w:val="single"/>
          <w:lang w:val="en-US" w:eastAsia="zh-CN"/>
        </w:rPr>
      </w:pPr>
      <w:r>
        <w:rPr>
          <w:rFonts w:hint="eastAsia"/>
          <w:b/>
          <w:bCs/>
          <w:color w:val="auto"/>
          <w:sz w:val="28"/>
          <w:szCs w:val="28"/>
        </w:rPr>
        <w:t>8 综上所述，总费用为：</w:t>
      </w:r>
      <w:bookmarkEnd w:id="7"/>
      <w:r>
        <w:rPr>
          <w:rFonts w:hint="eastAsia"/>
          <w:b/>
          <w:bCs/>
          <w:color w:val="auto"/>
          <w:sz w:val="28"/>
          <w:szCs w:val="28"/>
          <w:u w:val="single"/>
          <w:lang w:val="en-US" w:eastAsia="zh-CN"/>
        </w:rPr>
        <w:t xml:space="preserve">         </w:t>
      </w:r>
      <w:r>
        <w:rPr>
          <w:rFonts w:hint="eastAsia"/>
          <w:b/>
          <w:bCs/>
          <w:color w:val="auto"/>
          <w:sz w:val="28"/>
          <w:szCs w:val="28"/>
        </w:rPr>
        <w:t>元（含税），</w:t>
      </w:r>
      <w:r>
        <w:rPr>
          <w:rFonts w:hint="eastAsia"/>
          <w:b/>
          <w:bCs/>
          <w:color w:val="auto"/>
          <w:sz w:val="28"/>
          <w:szCs w:val="28"/>
          <w:lang w:val="en-US" w:eastAsia="zh-CN"/>
        </w:rPr>
        <w:t>税率</w:t>
      </w:r>
      <w:r>
        <w:rPr>
          <w:rFonts w:hint="eastAsia"/>
          <w:b/>
          <w:bCs/>
          <w:color w:val="auto"/>
          <w:sz w:val="28"/>
          <w:szCs w:val="28"/>
          <w:u w:val="single"/>
          <w:lang w:val="en-US" w:eastAsia="zh-CN"/>
        </w:rPr>
        <w:t xml:space="preserve">  %</w:t>
      </w:r>
      <w:r>
        <w:rPr>
          <w:rFonts w:hint="eastAsia"/>
          <w:b/>
          <w:bCs/>
          <w:color w:val="auto"/>
          <w:sz w:val="28"/>
          <w:szCs w:val="28"/>
          <w:u w:val="none"/>
          <w:lang w:val="en-US" w:eastAsia="zh-CN"/>
        </w:rPr>
        <w:t>，税额</w:t>
      </w:r>
      <w:r>
        <w:rPr>
          <w:rFonts w:hint="eastAsia"/>
          <w:b/>
          <w:bCs/>
          <w:color w:val="auto"/>
          <w:sz w:val="28"/>
          <w:szCs w:val="28"/>
          <w:u w:val="single"/>
          <w:lang w:val="en-US" w:eastAsia="zh-CN"/>
        </w:rPr>
        <w:t xml:space="preserve">           </w:t>
      </w:r>
      <w:r>
        <w:rPr>
          <w:rFonts w:hint="eastAsia"/>
          <w:b/>
          <w:bCs/>
          <w:color w:val="auto"/>
          <w:sz w:val="28"/>
          <w:szCs w:val="28"/>
          <w:u w:val="none"/>
          <w:lang w:val="en-US" w:eastAsia="zh-CN"/>
        </w:rPr>
        <w:t>元，不含税报价</w:t>
      </w:r>
      <w:r>
        <w:rPr>
          <w:rFonts w:hint="eastAsia"/>
          <w:b/>
          <w:bCs/>
          <w:color w:val="auto"/>
          <w:sz w:val="28"/>
          <w:szCs w:val="28"/>
          <w:u w:val="single"/>
          <w:lang w:val="en-US" w:eastAsia="zh-CN"/>
        </w:rPr>
        <w:t xml:space="preserve">         </w:t>
      </w:r>
      <w:r>
        <w:rPr>
          <w:rFonts w:hint="eastAsia"/>
          <w:b/>
          <w:bCs/>
          <w:color w:val="auto"/>
          <w:sz w:val="28"/>
          <w:szCs w:val="28"/>
          <w:u w:val="none"/>
          <w:lang w:val="en-US" w:eastAsia="zh-CN"/>
        </w:rPr>
        <w:t>元。</w:t>
      </w:r>
    </w:p>
    <w:p>
      <w:pPr>
        <w:pStyle w:val="8"/>
      </w:pPr>
    </w:p>
    <w:p>
      <w:pPr>
        <w:spacing w:line="360" w:lineRule="auto"/>
        <w:ind w:firstLine="3080" w:firstLineChars="1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法定代表人或者委托代理人（签字）： </w:t>
      </w:r>
    </w:p>
    <w:p>
      <w:pPr>
        <w:spacing w:line="360" w:lineRule="auto"/>
        <w:ind w:left="2520" w:leftChars="1200"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服务商（盖公章）：      </w:t>
      </w:r>
    </w:p>
    <w:p>
      <w:pPr>
        <w:spacing w:line="360" w:lineRule="auto"/>
        <w:ind w:left="2520" w:leftChars="1200"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日期：   年   月   日</w:t>
      </w:r>
    </w:p>
    <w:p>
      <w:pP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br w:type="page"/>
      </w:r>
    </w:p>
    <w:p>
      <w:pPr>
        <w:spacing w:afterLines="100"/>
        <w:jc w:val="cente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项目实施方案</w:t>
      </w:r>
    </w:p>
    <w:p>
      <w:pPr>
        <w:pStyle w:val="5"/>
      </w:pPr>
      <w:r>
        <w:rPr>
          <w:rFonts w:hint="eastAsia" w:ascii="宋体" w:hAnsi="宋体" w:eastAsia="宋体" w:cs="宋体"/>
          <w:color w:val="000000" w:themeColor="text1"/>
          <w:sz w:val="32"/>
          <w:szCs w:val="32"/>
          <w14:textFill>
            <w14:solidFill>
              <w14:schemeClr w14:val="tx1"/>
            </w14:solidFill>
          </w14:textFill>
        </w:rPr>
        <w:t>（格式自拟）</w:t>
      </w:r>
    </w:p>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05D707E-7975-417B-BAA9-1FD634B7110C}"/>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82E5B961-0CCE-4659-8A6D-CF4C42776D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embedRegular r:id="rId3" w:fontKey="{5DB5F3AE-B031-4666-9C57-938CF4E82CC1}"/>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embedRegular r:id="rId4" w:fontKey="{50C3EE51-9215-449B-8112-BB7DDD84D8D9}"/>
  </w:font>
  <w:font w:name="方正公文黑体">
    <w:panose1 w:val="02000500000000000000"/>
    <w:charset w:val="86"/>
    <w:family w:val="auto"/>
    <w:pitch w:val="default"/>
    <w:sig w:usb0="A00002BF" w:usb1="38CF7CFA" w:usb2="00000016" w:usb3="00000000" w:csb0="00040001" w:csb1="00000000"/>
    <w:embedRegular r:id="rId5" w:fontKey="{EC8CDB5D-B8AA-4A20-A385-F7683DABD769}"/>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6NceJ1AAAAAUBAAAPAAAAAAAAAAEAIAAAACIAAABkcnMvZG93&#10;bnJldi54bWxQSwECFAAUAAAACACHTuJAZEwMXD0CAABvBAAADgAAAAAAAAABACAAAAAjAQAAZHJz&#10;L2Uyb0RvYy54bWxQSwUGAAAAAAYABgBZAQAA0gUAAAAA&#10;">
              <v:fill on="f" focussize="0,0"/>
              <v:stroke on="f" weight="0.5pt"/>
              <v:imagedata o:title=""/>
              <o:lock v:ext="edit" aspectratio="f"/>
              <v:textbox inset="0mm,0mm,0mm,0mm">
                <w:txbxContent>
                  <w:p>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abstractNum w:abstractNumId="2">
    <w:nsid w:val="7F3E2EE2"/>
    <w:multiLevelType w:val="multilevel"/>
    <w:tmpl w:val="7F3E2EE2"/>
    <w:lvl w:ilvl="0" w:tentative="0">
      <w:start w:val="1"/>
      <w:numFmt w:val="decimal"/>
      <w:lvlText w:val="%1 "/>
      <w:lvlJc w:val="left"/>
      <w:pPr>
        <w:ind w:left="840" w:hanging="420"/>
      </w:pPr>
      <w:rPr>
        <w:rFonts w:hint="default"/>
        <w:b w:val="0"/>
        <w:bCs w:val="0"/>
        <w:sz w:val="28"/>
        <w:szCs w:val="2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3MjZkNjQ3ZTc4MTI5NWFkOGI1Njk3MjJhMjIyMTcifQ=="/>
  </w:docVars>
  <w:rsids>
    <w:rsidRoot w:val="00172A27"/>
    <w:rsid w:val="0002691C"/>
    <w:rsid w:val="00080E82"/>
    <w:rsid w:val="001348C9"/>
    <w:rsid w:val="001552AD"/>
    <w:rsid w:val="00286F24"/>
    <w:rsid w:val="00295BA7"/>
    <w:rsid w:val="0031304A"/>
    <w:rsid w:val="0036000A"/>
    <w:rsid w:val="00377E77"/>
    <w:rsid w:val="003B76EC"/>
    <w:rsid w:val="004B1E74"/>
    <w:rsid w:val="0052334A"/>
    <w:rsid w:val="00544AAF"/>
    <w:rsid w:val="00597EC8"/>
    <w:rsid w:val="006226B5"/>
    <w:rsid w:val="006A5CDE"/>
    <w:rsid w:val="006B4864"/>
    <w:rsid w:val="00741910"/>
    <w:rsid w:val="007B37AE"/>
    <w:rsid w:val="0083536D"/>
    <w:rsid w:val="008374CD"/>
    <w:rsid w:val="008B0AC4"/>
    <w:rsid w:val="00953FA3"/>
    <w:rsid w:val="009603D8"/>
    <w:rsid w:val="00AC0202"/>
    <w:rsid w:val="00AC7889"/>
    <w:rsid w:val="00B510FC"/>
    <w:rsid w:val="00B8322B"/>
    <w:rsid w:val="00C576EF"/>
    <w:rsid w:val="00CA21A2"/>
    <w:rsid w:val="00D20F5D"/>
    <w:rsid w:val="00D27823"/>
    <w:rsid w:val="00D64575"/>
    <w:rsid w:val="00D91B2E"/>
    <w:rsid w:val="00E46B90"/>
    <w:rsid w:val="00F20589"/>
    <w:rsid w:val="01692279"/>
    <w:rsid w:val="0187206E"/>
    <w:rsid w:val="018B2C0E"/>
    <w:rsid w:val="01B11A47"/>
    <w:rsid w:val="01E75868"/>
    <w:rsid w:val="02CD67D2"/>
    <w:rsid w:val="02DB5955"/>
    <w:rsid w:val="02FD74D4"/>
    <w:rsid w:val="0331291F"/>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901BCC"/>
    <w:rsid w:val="049104C4"/>
    <w:rsid w:val="04D878A9"/>
    <w:rsid w:val="04DC1B79"/>
    <w:rsid w:val="04DD3F64"/>
    <w:rsid w:val="05094D59"/>
    <w:rsid w:val="05214488"/>
    <w:rsid w:val="054A6494"/>
    <w:rsid w:val="05555183"/>
    <w:rsid w:val="0582019F"/>
    <w:rsid w:val="05A017DF"/>
    <w:rsid w:val="05DD2775"/>
    <w:rsid w:val="060D56C3"/>
    <w:rsid w:val="06121BBF"/>
    <w:rsid w:val="0629197A"/>
    <w:rsid w:val="06351D6F"/>
    <w:rsid w:val="06551E88"/>
    <w:rsid w:val="06886D38"/>
    <w:rsid w:val="06971594"/>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2B4D84"/>
    <w:rsid w:val="083B24A9"/>
    <w:rsid w:val="088E7380"/>
    <w:rsid w:val="08A25D65"/>
    <w:rsid w:val="08AF5390"/>
    <w:rsid w:val="08CA553B"/>
    <w:rsid w:val="08F7532E"/>
    <w:rsid w:val="09560051"/>
    <w:rsid w:val="0957698D"/>
    <w:rsid w:val="095920CF"/>
    <w:rsid w:val="09612BBB"/>
    <w:rsid w:val="098715B8"/>
    <w:rsid w:val="098766FE"/>
    <w:rsid w:val="0999550E"/>
    <w:rsid w:val="09BC6592"/>
    <w:rsid w:val="09CE6744"/>
    <w:rsid w:val="09EF20F3"/>
    <w:rsid w:val="09F938DF"/>
    <w:rsid w:val="0A135D35"/>
    <w:rsid w:val="0A195A3E"/>
    <w:rsid w:val="0A434AD7"/>
    <w:rsid w:val="0A875AA6"/>
    <w:rsid w:val="0A9C2B56"/>
    <w:rsid w:val="0AB27E22"/>
    <w:rsid w:val="0AD74629"/>
    <w:rsid w:val="0B061635"/>
    <w:rsid w:val="0B0D7385"/>
    <w:rsid w:val="0B4F0EB0"/>
    <w:rsid w:val="0BC243BC"/>
    <w:rsid w:val="0C2639B5"/>
    <w:rsid w:val="0C897DF8"/>
    <w:rsid w:val="0C94337F"/>
    <w:rsid w:val="0CA33AF7"/>
    <w:rsid w:val="0CC7252F"/>
    <w:rsid w:val="0CCA6F1A"/>
    <w:rsid w:val="0CD80FB6"/>
    <w:rsid w:val="0CDB634D"/>
    <w:rsid w:val="0CE57E5A"/>
    <w:rsid w:val="0D2640FB"/>
    <w:rsid w:val="0D5D5AC8"/>
    <w:rsid w:val="0D9172FF"/>
    <w:rsid w:val="0DAD282A"/>
    <w:rsid w:val="0DB167E9"/>
    <w:rsid w:val="0DCD73D4"/>
    <w:rsid w:val="0DE84494"/>
    <w:rsid w:val="0E0C387F"/>
    <w:rsid w:val="0E157483"/>
    <w:rsid w:val="0E74127F"/>
    <w:rsid w:val="0E9C2040"/>
    <w:rsid w:val="0EB473DE"/>
    <w:rsid w:val="0F31498D"/>
    <w:rsid w:val="0F6404D7"/>
    <w:rsid w:val="0F75172D"/>
    <w:rsid w:val="0F906D7B"/>
    <w:rsid w:val="0FB66DF0"/>
    <w:rsid w:val="101E1F70"/>
    <w:rsid w:val="101F195E"/>
    <w:rsid w:val="105679F8"/>
    <w:rsid w:val="10665370"/>
    <w:rsid w:val="10782D20"/>
    <w:rsid w:val="1089602A"/>
    <w:rsid w:val="10963B94"/>
    <w:rsid w:val="10C07715"/>
    <w:rsid w:val="10CE73F0"/>
    <w:rsid w:val="10E64931"/>
    <w:rsid w:val="110C4D0D"/>
    <w:rsid w:val="111624DC"/>
    <w:rsid w:val="111B71F1"/>
    <w:rsid w:val="113A4B37"/>
    <w:rsid w:val="116F10F6"/>
    <w:rsid w:val="118E286E"/>
    <w:rsid w:val="11A85C5E"/>
    <w:rsid w:val="11B14F44"/>
    <w:rsid w:val="11D45567"/>
    <w:rsid w:val="123066B3"/>
    <w:rsid w:val="123C45D4"/>
    <w:rsid w:val="125429F1"/>
    <w:rsid w:val="125838F7"/>
    <w:rsid w:val="12924115"/>
    <w:rsid w:val="130D010A"/>
    <w:rsid w:val="134C478E"/>
    <w:rsid w:val="13606682"/>
    <w:rsid w:val="138758AD"/>
    <w:rsid w:val="13A148A6"/>
    <w:rsid w:val="13BD05D6"/>
    <w:rsid w:val="14162842"/>
    <w:rsid w:val="14443604"/>
    <w:rsid w:val="144C726A"/>
    <w:rsid w:val="14516A37"/>
    <w:rsid w:val="147075B1"/>
    <w:rsid w:val="14A34D88"/>
    <w:rsid w:val="14C602DB"/>
    <w:rsid w:val="14D473D9"/>
    <w:rsid w:val="14DA26BB"/>
    <w:rsid w:val="14E950DD"/>
    <w:rsid w:val="14E95E62"/>
    <w:rsid w:val="155415AA"/>
    <w:rsid w:val="15627EDD"/>
    <w:rsid w:val="158D5A96"/>
    <w:rsid w:val="159B231F"/>
    <w:rsid w:val="15B658CF"/>
    <w:rsid w:val="161F618A"/>
    <w:rsid w:val="162C5573"/>
    <w:rsid w:val="163F084C"/>
    <w:rsid w:val="167772FE"/>
    <w:rsid w:val="169137DC"/>
    <w:rsid w:val="16A73FF1"/>
    <w:rsid w:val="16CA640B"/>
    <w:rsid w:val="16CE2DF1"/>
    <w:rsid w:val="16F2389F"/>
    <w:rsid w:val="171C08C4"/>
    <w:rsid w:val="175244AC"/>
    <w:rsid w:val="17555A0A"/>
    <w:rsid w:val="175F32E3"/>
    <w:rsid w:val="176A0626"/>
    <w:rsid w:val="176A6CA5"/>
    <w:rsid w:val="176B3553"/>
    <w:rsid w:val="177F7607"/>
    <w:rsid w:val="179C3018"/>
    <w:rsid w:val="17BC51A7"/>
    <w:rsid w:val="17DA4A5F"/>
    <w:rsid w:val="17E22F5C"/>
    <w:rsid w:val="17EE5248"/>
    <w:rsid w:val="17F3167D"/>
    <w:rsid w:val="17FB04B8"/>
    <w:rsid w:val="180C45FF"/>
    <w:rsid w:val="185309F7"/>
    <w:rsid w:val="189C4D3A"/>
    <w:rsid w:val="18A81AF8"/>
    <w:rsid w:val="18B117B0"/>
    <w:rsid w:val="18DA1C61"/>
    <w:rsid w:val="18EF1C33"/>
    <w:rsid w:val="18F97167"/>
    <w:rsid w:val="1910640B"/>
    <w:rsid w:val="194F5560"/>
    <w:rsid w:val="19BC275F"/>
    <w:rsid w:val="19BF644E"/>
    <w:rsid w:val="19D84033"/>
    <w:rsid w:val="1A22137A"/>
    <w:rsid w:val="1A472154"/>
    <w:rsid w:val="1A5F04E9"/>
    <w:rsid w:val="1A6223BF"/>
    <w:rsid w:val="1A6D4B8A"/>
    <w:rsid w:val="1A802718"/>
    <w:rsid w:val="1AA569F6"/>
    <w:rsid w:val="1AAA29E0"/>
    <w:rsid w:val="1AAE5637"/>
    <w:rsid w:val="1AB62EC5"/>
    <w:rsid w:val="1AD36D55"/>
    <w:rsid w:val="1AE07CCB"/>
    <w:rsid w:val="1AE62938"/>
    <w:rsid w:val="1AF01232"/>
    <w:rsid w:val="1B254619"/>
    <w:rsid w:val="1B3072A4"/>
    <w:rsid w:val="1B3A39A7"/>
    <w:rsid w:val="1B426847"/>
    <w:rsid w:val="1B525046"/>
    <w:rsid w:val="1BA442B5"/>
    <w:rsid w:val="1BAA59F9"/>
    <w:rsid w:val="1BE624A8"/>
    <w:rsid w:val="1C00404F"/>
    <w:rsid w:val="1C0D36BB"/>
    <w:rsid w:val="1C2503CF"/>
    <w:rsid w:val="1C3A461F"/>
    <w:rsid w:val="1C583DAC"/>
    <w:rsid w:val="1C5D64E8"/>
    <w:rsid w:val="1C735BE1"/>
    <w:rsid w:val="1C7F25A2"/>
    <w:rsid w:val="1C99577A"/>
    <w:rsid w:val="1C9A1E10"/>
    <w:rsid w:val="1CD42935"/>
    <w:rsid w:val="1D033E90"/>
    <w:rsid w:val="1D471839"/>
    <w:rsid w:val="1D5F4C18"/>
    <w:rsid w:val="1D794976"/>
    <w:rsid w:val="1DA510CB"/>
    <w:rsid w:val="1E0E3740"/>
    <w:rsid w:val="1E2C54FA"/>
    <w:rsid w:val="1E553EB9"/>
    <w:rsid w:val="1E5F7E7F"/>
    <w:rsid w:val="1EB44C9D"/>
    <w:rsid w:val="1EF652E1"/>
    <w:rsid w:val="1F2B0E21"/>
    <w:rsid w:val="1F49071C"/>
    <w:rsid w:val="1F793F7F"/>
    <w:rsid w:val="1F836367"/>
    <w:rsid w:val="1F861028"/>
    <w:rsid w:val="1F8F0CAF"/>
    <w:rsid w:val="1FA2571F"/>
    <w:rsid w:val="1FAA5CB8"/>
    <w:rsid w:val="20096994"/>
    <w:rsid w:val="200F54C2"/>
    <w:rsid w:val="205A54F3"/>
    <w:rsid w:val="209F2924"/>
    <w:rsid w:val="20B31DCB"/>
    <w:rsid w:val="21077AA6"/>
    <w:rsid w:val="21093804"/>
    <w:rsid w:val="21197F58"/>
    <w:rsid w:val="2127459A"/>
    <w:rsid w:val="213D7067"/>
    <w:rsid w:val="216D5F5C"/>
    <w:rsid w:val="216E62F3"/>
    <w:rsid w:val="21916B6D"/>
    <w:rsid w:val="21A64B78"/>
    <w:rsid w:val="21B13D1D"/>
    <w:rsid w:val="21BD31D4"/>
    <w:rsid w:val="21CA55C5"/>
    <w:rsid w:val="22023380"/>
    <w:rsid w:val="2204269B"/>
    <w:rsid w:val="22387007"/>
    <w:rsid w:val="22606ABC"/>
    <w:rsid w:val="22650C06"/>
    <w:rsid w:val="22994CD9"/>
    <w:rsid w:val="22AB2AC4"/>
    <w:rsid w:val="22FF7597"/>
    <w:rsid w:val="231625B2"/>
    <w:rsid w:val="23377209"/>
    <w:rsid w:val="2370420F"/>
    <w:rsid w:val="2376450E"/>
    <w:rsid w:val="237A23D8"/>
    <w:rsid w:val="23871813"/>
    <w:rsid w:val="23B20C73"/>
    <w:rsid w:val="240B137D"/>
    <w:rsid w:val="24352F85"/>
    <w:rsid w:val="244A3359"/>
    <w:rsid w:val="2540519B"/>
    <w:rsid w:val="25414674"/>
    <w:rsid w:val="25483AB1"/>
    <w:rsid w:val="254F010E"/>
    <w:rsid w:val="255816B9"/>
    <w:rsid w:val="2578548A"/>
    <w:rsid w:val="25C71449"/>
    <w:rsid w:val="25F215F0"/>
    <w:rsid w:val="26295D45"/>
    <w:rsid w:val="26942D28"/>
    <w:rsid w:val="269770B2"/>
    <w:rsid w:val="26A36451"/>
    <w:rsid w:val="26E266C1"/>
    <w:rsid w:val="270B4023"/>
    <w:rsid w:val="27157D02"/>
    <w:rsid w:val="275814FC"/>
    <w:rsid w:val="27656324"/>
    <w:rsid w:val="27870264"/>
    <w:rsid w:val="278C47ED"/>
    <w:rsid w:val="27E259BA"/>
    <w:rsid w:val="282239EA"/>
    <w:rsid w:val="28CD6169"/>
    <w:rsid w:val="28EC413F"/>
    <w:rsid w:val="290E5506"/>
    <w:rsid w:val="291E415D"/>
    <w:rsid w:val="295E666C"/>
    <w:rsid w:val="297B5976"/>
    <w:rsid w:val="298160F4"/>
    <w:rsid w:val="299037CC"/>
    <w:rsid w:val="29E0554E"/>
    <w:rsid w:val="29F31A76"/>
    <w:rsid w:val="29FC7407"/>
    <w:rsid w:val="2A155DB4"/>
    <w:rsid w:val="2A284E64"/>
    <w:rsid w:val="2A721527"/>
    <w:rsid w:val="2A747086"/>
    <w:rsid w:val="2A9F138C"/>
    <w:rsid w:val="2ADA6A24"/>
    <w:rsid w:val="2AF56E78"/>
    <w:rsid w:val="2B151288"/>
    <w:rsid w:val="2B2758B4"/>
    <w:rsid w:val="2B5B1A54"/>
    <w:rsid w:val="2B8F6A94"/>
    <w:rsid w:val="2B957A08"/>
    <w:rsid w:val="2B9D1BD3"/>
    <w:rsid w:val="2BAC2952"/>
    <w:rsid w:val="2BDC0F46"/>
    <w:rsid w:val="2BE97109"/>
    <w:rsid w:val="2C0D620D"/>
    <w:rsid w:val="2C654070"/>
    <w:rsid w:val="2C9222B2"/>
    <w:rsid w:val="2CC72354"/>
    <w:rsid w:val="2CE17AF6"/>
    <w:rsid w:val="2D0E3DF0"/>
    <w:rsid w:val="2D104000"/>
    <w:rsid w:val="2D336BD6"/>
    <w:rsid w:val="2D562DA3"/>
    <w:rsid w:val="2D814792"/>
    <w:rsid w:val="2D881545"/>
    <w:rsid w:val="2DA61B83"/>
    <w:rsid w:val="2DB253D5"/>
    <w:rsid w:val="2DD16068"/>
    <w:rsid w:val="2E275983"/>
    <w:rsid w:val="2E5C30C4"/>
    <w:rsid w:val="2EB11F33"/>
    <w:rsid w:val="2EC914F5"/>
    <w:rsid w:val="2EED037D"/>
    <w:rsid w:val="2EF45034"/>
    <w:rsid w:val="2F0D4219"/>
    <w:rsid w:val="2F1858E6"/>
    <w:rsid w:val="2F481357"/>
    <w:rsid w:val="2F4A12EC"/>
    <w:rsid w:val="2F5D6B4A"/>
    <w:rsid w:val="2F7B06F4"/>
    <w:rsid w:val="2FD00B9C"/>
    <w:rsid w:val="2FD54191"/>
    <w:rsid w:val="2FE057DD"/>
    <w:rsid w:val="2FF8776F"/>
    <w:rsid w:val="302A34F1"/>
    <w:rsid w:val="30343CBE"/>
    <w:rsid w:val="30352292"/>
    <w:rsid w:val="3057388E"/>
    <w:rsid w:val="30713E31"/>
    <w:rsid w:val="309F7328"/>
    <w:rsid w:val="30C01803"/>
    <w:rsid w:val="30E03C78"/>
    <w:rsid w:val="31737A8A"/>
    <w:rsid w:val="31D558CE"/>
    <w:rsid w:val="31DE7DDE"/>
    <w:rsid w:val="31EF7C74"/>
    <w:rsid w:val="31F15C64"/>
    <w:rsid w:val="32235819"/>
    <w:rsid w:val="323226E5"/>
    <w:rsid w:val="3248763B"/>
    <w:rsid w:val="32680FEB"/>
    <w:rsid w:val="33730209"/>
    <w:rsid w:val="33775B8F"/>
    <w:rsid w:val="33975C9A"/>
    <w:rsid w:val="33C21F16"/>
    <w:rsid w:val="33C431D8"/>
    <w:rsid w:val="33CA19D4"/>
    <w:rsid w:val="33F8005C"/>
    <w:rsid w:val="34187FBF"/>
    <w:rsid w:val="342E13FC"/>
    <w:rsid w:val="34386E63"/>
    <w:rsid w:val="343878D7"/>
    <w:rsid w:val="34391304"/>
    <w:rsid w:val="3464597C"/>
    <w:rsid w:val="346D3A4C"/>
    <w:rsid w:val="34726A66"/>
    <w:rsid w:val="34754A52"/>
    <w:rsid w:val="347859D4"/>
    <w:rsid w:val="347F7F77"/>
    <w:rsid w:val="349A6CB5"/>
    <w:rsid w:val="349F6430"/>
    <w:rsid w:val="34A66879"/>
    <w:rsid w:val="34CE0DD1"/>
    <w:rsid w:val="350F3FC5"/>
    <w:rsid w:val="352254B2"/>
    <w:rsid w:val="35671950"/>
    <w:rsid w:val="357A5A91"/>
    <w:rsid w:val="35977D2B"/>
    <w:rsid w:val="35C44201"/>
    <w:rsid w:val="35D75749"/>
    <w:rsid w:val="36017463"/>
    <w:rsid w:val="360B765A"/>
    <w:rsid w:val="36224B3C"/>
    <w:rsid w:val="363021BC"/>
    <w:rsid w:val="36412095"/>
    <w:rsid w:val="364D70B8"/>
    <w:rsid w:val="36672EB7"/>
    <w:rsid w:val="369A6683"/>
    <w:rsid w:val="36A327A8"/>
    <w:rsid w:val="36B76F7B"/>
    <w:rsid w:val="37424475"/>
    <w:rsid w:val="374A319C"/>
    <w:rsid w:val="376818C6"/>
    <w:rsid w:val="3784008B"/>
    <w:rsid w:val="378D6FA0"/>
    <w:rsid w:val="37935872"/>
    <w:rsid w:val="37AF1DE5"/>
    <w:rsid w:val="37EA44E4"/>
    <w:rsid w:val="382376F9"/>
    <w:rsid w:val="382F1738"/>
    <w:rsid w:val="38504E49"/>
    <w:rsid w:val="38587290"/>
    <w:rsid w:val="389D7EB4"/>
    <w:rsid w:val="38B5247B"/>
    <w:rsid w:val="38EE2D91"/>
    <w:rsid w:val="390126DC"/>
    <w:rsid w:val="390D6580"/>
    <w:rsid w:val="391D3D3D"/>
    <w:rsid w:val="39230C42"/>
    <w:rsid w:val="3A1A7CBB"/>
    <w:rsid w:val="3A1D0C5F"/>
    <w:rsid w:val="3A206D7B"/>
    <w:rsid w:val="3A416AF3"/>
    <w:rsid w:val="3A8C68EF"/>
    <w:rsid w:val="3AA1056B"/>
    <w:rsid w:val="3AB6DA93"/>
    <w:rsid w:val="3AC26DC4"/>
    <w:rsid w:val="3AC871CA"/>
    <w:rsid w:val="3ACB1877"/>
    <w:rsid w:val="3B1309D9"/>
    <w:rsid w:val="3B1C043E"/>
    <w:rsid w:val="3B27346F"/>
    <w:rsid w:val="3B5D5507"/>
    <w:rsid w:val="3B7207E0"/>
    <w:rsid w:val="3B80764B"/>
    <w:rsid w:val="3BB373DD"/>
    <w:rsid w:val="3BFE6763"/>
    <w:rsid w:val="3C14431E"/>
    <w:rsid w:val="3C3B7C3D"/>
    <w:rsid w:val="3C7F0083"/>
    <w:rsid w:val="3CDA47D1"/>
    <w:rsid w:val="3CDB1427"/>
    <w:rsid w:val="3D124BBA"/>
    <w:rsid w:val="3D983929"/>
    <w:rsid w:val="3DA052F4"/>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C35FA3"/>
    <w:rsid w:val="41D177C9"/>
    <w:rsid w:val="41FC51CB"/>
    <w:rsid w:val="42000DBB"/>
    <w:rsid w:val="420B40EC"/>
    <w:rsid w:val="42220C18"/>
    <w:rsid w:val="424937EF"/>
    <w:rsid w:val="426233F1"/>
    <w:rsid w:val="429E60A6"/>
    <w:rsid w:val="42AD2876"/>
    <w:rsid w:val="42C43A92"/>
    <w:rsid w:val="42D41D58"/>
    <w:rsid w:val="42F93F56"/>
    <w:rsid w:val="430624C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752007"/>
    <w:rsid w:val="45301DEA"/>
    <w:rsid w:val="453C55F1"/>
    <w:rsid w:val="455C26A8"/>
    <w:rsid w:val="455E71E3"/>
    <w:rsid w:val="455F58A4"/>
    <w:rsid w:val="45757188"/>
    <w:rsid w:val="458F08D8"/>
    <w:rsid w:val="45C71D87"/>
    <w:rsid w:val="45F13A71"/>
    <w:rsid w:val="460627C9"/>
    <w:rsid w:val="461D0052"/>
    <w:rsid w:val="4640104E"/>
    <w:rsid w:val="464B62C7"/>
    <w:rsid w:val="46651261"/>
    <w:rsid w:val="46713CC7"/>
    <w:rsid w:val="46802FC8"/>
    <w:rsid w:val="46B26934"/>
    <w:rsid w:val="46B9142D"/>
    <w:rsid w:val="47037533"/>
    <w:rsid w:val="47091BE0"/>
    <w:rsid w:val="47197C97"/>
    <w:rsid w:val="476E5389"/>
    <w:rsid w:val="47795A1B"/>
    <w:rsid w:val="47904D47"/>
    <w:rsid w:val="47A22F40"/>
    <w:rsid w:val="47B12170"/>
    <w:rsid w:val="47B44A8B"/>
    <w:rsid w:val="47BB6E7E"/>
    <w:rsid w:val="47D25D21"/>
    <w:rsid w:val="47EA265E"/>
    <w:rsid w:val="47FD42B6"/>
    <w:rsid w:val="48445842"/>
    <w:rsid w:val="487E3345"/>
    <w:rsid w:val="48953C10"/>
    <w:rsid w:val="489839F7"/>
    <w:rsid w:val="48A24101"/>
    <w:rsid w:val="48EE4471"/>
    <w:rsid w:val="48FC638A"/>
    <w:rsid w:val="49007C8C"/>
    <w:rsid w:val="49276F2E"/>
    <w:rsid w:val="49495117"/>
    <w:rsid w:val="49630D4C"/>
    <w:rsid w:val="4977752B"/>
    <w:rsid w:val="498A2779"/>
    <w:rsid w:val="498F28D1"/>
    <w:rsid w:val="49B81958"/>
    <w:rsid w:val="49C304F3"/>
    <w:rsid w:val="49DF3538"/>
    <w:rsid w:val="49EF7646"/>
    <w:rsid w:val="4A1E1A04"/>
    <w:rsid w:val="4A282C13"/>
    <w:rsid w:val="4A2D6D93"/>
    <w:rsid w:val="4A530B22"/>
    <w:rsid w:val="4A673701"/>
    <w:rsid w:val="4AC62A9D"/>
    <w:rsid w:val="4ADA779D"/>
    <w:rsid w:val="4AED1AA7"/>
    <w:rsid w:val="4AEE791F"/>
    <w:rsid w:val="4B171404"/>
    <w:rsid w:val="4B39244D"/>
    <w:rsid w:val="4B4057E7"/>
    <w:rsid w:val="4B49685A"/>
    <w:rsid w:val="4B4F3C32"/>
    <w:rsid w:val="4B8F7597"/>
    <w:rsid w:val="4BB530E0"/>
    <w:rsid w:val="4BC16D1C"/>
    <w:rsid w:val="4BCA17A7"/>
    <w:rsid w:val="4BD226E3"/>
    <w:rsid w:val="4BE24E3A"/>
    <w:rsid w:val="4C037059"/>
    <w:rsid w:val="4C1D08F9"/>
    <w:rsid w:val="4C40574E"/>
    <w:rsid w:val="4C5A28C7"/>
    <w:rsid w:val="4C7E0836"/>
    <w:rsid w:val="4C8042E4"/>
    <w:rsid w:val="4D3771C8"/>
    <w:rsid w:val="4D4E6B20"/>
    <w:rsid w:val="4D573446"/>
    <w:rsid w:val="4D6E0FB7"/>
    <w:rsid w:val="4D6E75E8"/>
    <w:rsid w:val="4D785DBE"/>
    <w:rsid w:val="4D7F3164"/>
    <w:rsid w:val="4D9B7AE1"/>
    <w:rsid w:val="4DBB14AE"/>
    <w:rsid w:val="4DC8122F"/>
    <w:rsid w:val="4E6C2DA7"/>
    <w:rsid w:val="4E816CDB"/>
    <w:rsid w:val="4EA34EA3"/>
    <w:rsid w:val="4EAC54CF"/>
    <w:rsid w:val="4EC1060E"/>
    <w:rsid w:val="4EC56875"/>
    <w:rsid w:val="4EFB456B"/>
    <w:rsid w:val="4F513D5F"/>
    <w:rsid w:val="4F58505D"/>
    <w:rsid w:val="4F7312EE"/>
    <w:rsid w:val="4F8F3473"/>
    <w:rsid w:val="4FB43CBE"/>
    <w:rsid w:val="4FBF365C"/>
    <w:rsid w:val="4FE0147F"/>
    <w:rsid w:val="4FF72554"/>
    <w:rsid w:val="50011D2E"/>
    <w:rsid w:val="50C06D1F"/>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1F27DA"/>
    <w:rsid w:val="53444042"/>
    <w:rsid w:val="5350511B"/>
    <w:rsid w:val="53601D0A"/>
    <w:rsid w:val="53A65241"/>
    <w:rsid w:val="53EC783E"/>
    <w:rsid w:val="540A7D6B"/>
    <w:rsid w:val="54184AB5"/>
    <w:rsid w:val="541C5D33"/>
    <w:rsid w:val="541E0068"/>
    <w:rsid w:val="542354A4"/>
    <w:rsid w:val="544401CA"/>
    <w:rsid w:val="546A089D"/>
    <w:rsid w:val="546F445C"/>
    <w:rsid w:val="547F1CDB"/>
    <w:rsid w:val="548A2BF3"/>
    <w:rsid w:val="54BD65BD"/>
    <w:rsid w:val="54DB4C0A"/>
    <w:rsid w:val="54F358D6"/>
    <w:rsid w:val="55164B83"/>
    <w:rsid w:val="553E06E6"/>
    <w:rsid w:val="554B26B7"/>
    <w:rsid w:val="555179AA"/>
    <w:rsid w:val="557F7CF1"/>
    <w:rsid w:val="5593631D"/>
    <w:rsid w:val="559714A5"/>
    <w:rsid w:val="55AC06B4"/>
    <w:rsid w:val="55CE7EE0"/>
    <w:rsid w:val="55CF6D0F"/>
    <w:rsid w:val="567F61F6"/>
    <w:rsid w:val="569E4903"/>
    <w:rsid w:val="56BB18C3"/>
    <w:rsid w:val="57054CB4"/>
    <w:rsid w:val="571A2781"/>
    <w:rsid w:val="571C3A45"/>
    <w:rsid w:val="575C08FE"/>
    <w:rsid w:val="57610F7E"/>
    <w:rsid w:val="57743991"/>
    <w:rsid w:val="57967344"/>
    <w:rsid w:val="57B4793B"/>
    <w:rsid w:val="57E23853"/>
    <w:rsid w:val="57EE53E1"/>
    <w:rsid w:val="580674DD"/>
    <w:rsid w:val="58137E7C"/>
    <w:rsid w:val="585050BF"/>
    <w:rsid w:val="585D1C9C"/>
    <w:rsid w:val="586B418D"/>
    <w:rsid w:val="5886610B"/>
    <w:rsid w:val="58D033F2"/>
    <w:rsid w:val="58DA2FDD"/>
    <w:rsid w:val="5933411F"/>
    <w:rsid w:val="593D1949"/>
    <w:rsid w:val="59483BF5"/>
    <w:rsid w:val="59D15956"/>
    <w:rsid w:val="5A025174"/>
    <w:rsid w:val="5A386DE8"/>
    <w:rsid w:val="5A6A261F"/>
    <w:rsid w:val="5AA27C43"/>
    <w:rsid w:val="5AD703AE"/>
    <w:rsid w:val="5B0171D9"/>
    <w:rsid w:val="5B031993"/>
    <w:rsid w:val="5B0E4D86"/>
    <w:rsid w:val="5B3160A7"/>
    <w:rsid w:val="5B881C80"/>
    <w:rsid w:val="5BBB2BB0"/>
    <w:rsid w:val="5BFB3952"/>
    <w:rsid w:val="5C0476C3"/>
    <w:rsid w:val="5C324AB7"/>
    <w:rsid w:val="5C6137C8"/>
    <w:rsid w:val="5C725F5D"/>
    <w:rsid w:val="5C8C5A76"/>
    <w:rsid w:val="5CDF36D0"/>
    <w:rsid w:val="5CE255E1"/>
    <w:rsid w:val="5CEB086F"/>
    <w:rsid w:val="5D1A67DC"/>
    <w:rsid w:val="5D2907BD"/>
    <w:rsid w:val="5D5E786D"/>
    <w:rsid w:val="5DD90EAC"/>
    <w:rsid w:val="5DF92D85"/>
    <w:rsid w:val="5E007D69"/>
    <w:rsid w:val="5E0400DD"/>
    <w:rsid w:val="5E055233"/>
    <w:rsid w:val="5E6827D5"/>
    <w:rsid w:val="5E7F7D22"/>
    <w:rsid w:val="5EC01341"/>
    <w:rsid w:val="5EC6544C"/>
    <w:rsid w:val="5F0454F9"/>
    <w:rsid w:val="5F2171B4"/>
    <w:rsid w:val="5F316B07"/>
    <w:rsid w:val="5F507BA7"/>
    <w:rsid w:val="5F865FED"/>
    <w:rsid w:val="5F9F13B6"/>
    <w:rsid w:val="5FDFE74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D54007"/>
    <w:rsid w:val="60D84E9F"/>
    <w:rsid w:val="6107716D"/>
    <w:rsid w:val="61770B20"/>
    <w:rsid w:val="61927868"/>
    <w:rsid w:val="61B83291"/>
    <w:rsid w:val="61CB5160"/>
    <w:rsid w:val="61FB69A8"/>
    <w:rsid w:val="62010AEA"/>
    <w:rsid w:val="621F1B17"/>
    <w:rsid w:val="622D3289"/>
    <w:rsid w:val="6266219C"/>
    <w:rsid w:val="62750475"/>
    <w:rsid w:val="627546ED"/>
    <w:rsid w:val="629F008B"/>
    <w:rsid w:val="62C26F2D"/>
    <w:rsid w:val="62E04931"/>
    <w:rsid w:val="63185EC9"/>
    <w:rsid w:val="63233B50"/>
    <w:rsid w:val="63301CF5"/>
    <w:rsid w:val="635B4DD7"/>
    <w:rsid w:val="63665830"/>
    <w:rsid w:val="63CE32EB"/>
    <w:rsid w:val="63FB2392"/>
    <w:rsid w:val="641B2DE0"/>
    <w:rsid w:val="64284052"/>
    <w:rsid w:val="6429099E"/>
    <w:rsid w:val="644F1948"/>
    <w:rsid w:val="647555F7"/>
    <w:rsid w:val="647B3309"/>
    <w:rsid w:val="649C61C5"/>
    <w:rsid w:val="64B35BE6"/>
    <w:rsid w:val="64BC5621"/>
    <w:rsid w:val="64C00EAA"/>
    <w:rsid w:val="64C9512D"/>
    <w:rsid w:val="65390AAF"/>
    <w:rsid w:val="653D4716"/>
    <w:rsid w:val="654A79CF"/>
    <w:rsid w:val="6552427C"/>
    <w:rsid w:val="655E5AFC"/>
    <w:rsid w:val="65B940C9"/>
    <w:rsid w:val="65DA6B97"/>
    <w:rsid w:val="66353CC9"/>
    <w:rsid w:val="665D462A"/>
    <w:rsid w:val="66A85805"/>
    <w:rsid w:val="66CA34BB"/>
    <w:rsid w:val="66FC729A"/>
    <w:rsid w:val="671342EB"/>
    <w:rsid w:val="672133A0"/>
    <w:rsid w:val="673E3B37"/>
    <w:rsid w:val="679D3A25"/>
    <w:rsid w:val="67D8638F"/>
    <w:rsid w:val="6803353F"/>
    <w:rsid w:val="682B7AD3"/>
    <w:rsid w:val="685607DF"/>
    <w:rsid w:val="685E563F"/>
    <w:rsid w:val="6898128A"/>
    <w:rsid w:val="689A2236"/>
    <w:rsid w:val="68B60B5B"/>
    <w:rsid w:val="68D1417E"/>
    <w:rsid w:val="68ED673C"/>
    <w:rsid w:val="690525DD"/>
    <w:rsid w:val="690C6FAA"/>
    <w:rsid w:val="690E1FC4"/>
    <w:rsid w:val="692E3A9D"/>
    <w:rsid w:val="697056F5"/>
    <w:rsid w:val="69CA40C4"/>
    <w:rsid w:val="69CC5C96"/>
    <w:rsid w:val="69E33953"/>
    <w:rsid w:val="6A53231B"/>
    <w:rsid w:val="6A61513B"/>
    <w:rsid w:val="6AC62FBB"/>
    <w:rsid w:val="6B252027"/>
    <w:rsid w:val="6B733F36"/>
    <w:rsid w:val="6B8055ED"/>
    <w:rsid w:val="6B806DEE"/>
    <w:rsid w:val="6BBF6767"/>
    <w:rsid w:val="6BC95AF1"/>
    <w:rsid w:val="6BD519A9"/>
    <w:rsid w:val="6BD5497A"/>
    <w:rsid w:val="6BD72BE2"/>
    <w:rsid w:val="6BDD55F3"/>
    <w:rsid w:val="6BEF7F82"/>
    <w:rsid w:val="6BFE5571"/>
    <w:rsid w:val="6C191A29"/>
    <w:rsid w:val="6C2D3F35"/>
    <w:rsid w:val="6C3A254B"/>
    <w:rsid w:val="6C420E9C"/>
    <w:rsid w:val="6C4C6E1C"/>
    <w:rsid w:val="6C6A3F4B"/>
    <w:rsid w:val="6C865790"/>
    <w:rsid w:val="6C872F15"/>
    <w:rsid w:val="6CA40DC2"/>
    <w:rsid w:val="6CBB39A4"/>
    <w:rsid w:val="6CBF4F2D"/>
    <w:rsid w:val="6CD05DCC"/>
    <w:rsid w:val="6D0205BA"/>
    <w:rsid w:val="6D4C6C08"/>
    <w:rsid w:val="6D845474"/>
    <w:rsid w:val="6DBE774E"/>
    <w:rsid w:val="6DE61751"/>
    <w:rsid w:val="6DE96CB8"/>
    <w:rsid w:val="6DF167E1"/>
    <w:rsid w:val="6E193BD8"/>
    <w:rsid w:val="6E273E46"/>
    <w:rsid w:val="6E62103A"/>
    <w:rsid w:val="6EC448E0"/>
    <w:rsid w:val="6F520964"/>
    <w:rsid w:val="6F5C60D4"/>
    <w:rsid w:val="6F61718C"/>
    <w:rsid w:val="6F627207"/>
    <w:rsid w:val="6F8A62CB"/>
    <w:rsid w:val="6F8C3A16"/>
    <w:rsid w:val="6FCB54AF"/>
    <w:rsid w:val="6FD2187C"/>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50D1B"/>
    <w:rsid w:val="72993A93"/>
    <w:rsid w:val="72BD2D0C"/>
    <w:rsid w:val="72CD4069"/>
    <w:rsid w:val="7348765D"/>
    <w:rsid w:val="73642249"/>
    <w:rsid w:val="737F7858"/>
    <w:rsid w:val="73B02321"/>
    <w:rsid w:val="73E65158"/>
    <w:rsid w:val="74045844"/>
    <w:rsid w:val="742749F8"/>
    <w:rsid w:val="74A2511E"/>
    <w:rsid w:val="74E20DD2"/>
    <w:rsid w:val="750A3A77"/>
    <w:rsid w:val="751F4274"/>
    <w:rsid w:val="757165DA"/>
    <w:rsid w:val="75CA5D3F"/>
    <w:rsid w:val="75F220E9"/>
    <w:rsid w:val="75F5392A"/>
    <w:rsid w:val="761C62F6"/>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551A9C"/>
    <w:rsid w:val="77583A51"/>
    <w:rsid w:val="776B58C1"/>
    <w:rsid w:val="77A16D53"/>
    <w:rsid w:val="77A94A1A"/>
    <w:rsid w:val="77AA0845"/>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BA6020"/>
    <w:rsid w:val="7ACC5B10"/>
    <w:rsid w:val="7AD31C0E"/>
    <w:rsid w:val="7ADD20DA"/>
    <w:rsid w:val="7AE7386B"/>
    <w:rsid w:val="7AFD2B2A"/>
    <w:rsid w:val="7B113279"/>
    <w:rsid w:val="7B2C5641"/>
    <w:rsid w:val="7B31273F"/>
    <w:rsid w:val="7B4A5C67"/>
    <w:rsid w:val="7B60022D"/>
    <w:rsid w:val="7B6479D0"/>
    <w:rsid w:val="7B87206D"/>
    <w:rsid w:val="7BFB3417"/>
    <w:rsid w:val="7BFC2507"/>
    <w:rsid w:val="7C1A2DA4"/>
    <w:rsid w:val="7C4B12FE"/>
    <w:rsid w:val="7C793F62"/>
    <w:rsid w:val="7C7E6484"/>
    <w:rsid w:val="7C9E730A"/>
    <w:rsid w:val="7CBB5A36"/>
    <w:rsid w:val="7CBE05D6"/>
    <w:rsid w:val="7D0278A8"/>
    <w:rsid w:val="7D107B6E"/>
    <w:rsid w:val="7D596D6C"/>
    <w:rsid w:val="7D787E00"/>
    <w:rsid w:val="7D8F7811"/>
    <w:rsid w:val="7D9D6CD8"/>
    <w:rsid w:val="7D9F1826"/>
    <w:rsid w:val="7DAF234C"/>
    <w:rsid w:val="7DCA65AC"/>
    <w:rsid w:val="7DE329CE"/>
    <w:rsid w:val="7E394092"/>
    <w:rsid w:val="7E3A03D7"/>
    <w:rsid w:val="7E3A13EE"/>
    <w:rsid w:val="7E453A68"/>
    <w:rsid w:val="7E525DE7"/>
    <w:rsid w:val="7E680042"/>
    <w:rsid w:val="7EBB3930"/>
    <w:rsid w:val="7EE94CBB"/>
    <w:rsid w:val="7EF8CD46"/>
    <w:rsid w:val="7F37016E"/>
    <w:rsid w:val="7F686EE0"/>
    <w:rsid w:val="7F87641A"/>
    <w:rsid w:val="7FAD7090"/>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autoRedefine/>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rPr>
      <w:szCs w:val="20"/>
    </w:rPr>
  </w:style>
  <w:style w:type="paragraph" w:styleId="8">
    <w:name w:val="toa heading"/>
    <w:basedOn w:val="1"/>
    <w:next w:val="1"/>
    <w:autoRedefine/>
    <w:unhideWhenUsed/>
    <w:qFormat/>
    <w:uiPriority w:val="99"/>
    <w:pPr>
      <w:spacing w:before="120"/>
    </w:pPr>
    <w:rPr>
      <w:rFonts w:ascii="Arial" w:hAnsi="Arial"/>
      <w:sz w:val="24"/>
    </w:rPr>
  </w:style>
  <w:style w:type="paragraph" w:styleId="9">
    <w:name w:val="annotation text"/>
    <w:basedOn w:val="1"/>
    <w:autoRedefine/>
    <w:qFormat/>
    <w:uiPriority w:val="0"/>
    <w:pPr>
      <w:jc w:val="left"/>
    </w:pPr>
  </w:style>
  <w:style w:type="paragraph" w:styleId="10">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autoRedefine/>
    <w:qFormat/>
    <w:uiPriority w:val="0"/>
  </w:style>
  <w:style w:type="paragraph" w:styleId="12">
    <w:name w:val="Plain Text"/>
    <w:basedOn w:val="1"/>
    <w:next w:val="13"/>
    <w:autoRedefine/>
    <w:qFormat/>
    <w:uiPriority w:val="0"/>
    <w:rPr>
      <w:rFonts w:ascii="宋体" w:eastAsia="宋体" w:cs="Courier New"/>
      <w:szCs w:val="21"/>
    </w:rPr>
  </w:style>
  <w:style w:type="paragraph" w:styleId="13">
    <w:name w:val="Date"/>
    <w:basedOn w:val="1"/>
    <w:next w:val="1"/>
    <w:autoRedefine/>
    <w:qFormat/>
    <w:uiPriority w:val="0"/>
    <w:pPr>
      <w:ind w:left="100" w:leftChars="2500"/>
    </w:pPr>
  </w:style>
  <w:style w:type="paragraph" w:styleId="14">
    <w:name w:val="Balloon Text"/>
    <w:basedOn w:val="1"/>
    <w:link w:val="50"/>
    <w:autoRedefine/>
    <w:semiHidden/>
    <w:unhideWhenUsed/>
    <w:qFormat/>
    <w:uiPriority w:val="99"/>
    <w:rPr>
      <w:sz w:val="18"/>
      <w:szCs w:val="18"/>
    </w:rPr>
  </w:style>
  <w:style w:type="paragraph" w:styleId="15">
    <w:name w:val="footer"/>
    <w:basedOn w:val="1"/>
    <w:link w:val="29"/>
    <w:autoRedefine/>
    <w:unhideWhenUsed/>
    <w:qFormat/>
    <w:uiPriority w:val="99"/>
    <w:pPr>
      <w:tabs>
        <w:tab w:val="center" w:pos="4153"/>
        <w:tab w:val="right" w:pos="8306"/>
      </w:tabs>
      <w:snapToGrid w:val="0"/>
      <w:jc w:val="left"/>
    </w:pPr>
    <w:rPr>
      <w:sz w:val="18"/>
      <w:szCs w:val="18"/>
    </w:rPr>
  </w:style>
  <w:style w:type="paragraph" w:styleId="16">
    <w:name w:val="header"/>
    <w:basedOn w:val="1"/>
    <w:next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autoRedefine/>
    <w:qFormat/>
    <w:uiPriority w:val="0"/>
    <w:pPr>
      <w:spacing w:beforeAutospacing="1" w:afterAutospacing="1"/>
      <w:jc w:val="left"/>
    </w:pPr>
    <w:rPr>
      <w:rFonts w:cs="Times New Roman"/>
      <w:kern w:val="0"/>
      <w:sz w:val="24"/>
    </w:rPr>
  </w:style>
  <w:style w:type="paragraph" w:styleId="21">
    <w:name w:val="Body Text First Indent"/>
    <w:basedOn w:val="11"/>
    <w:next w:val="18"/>
    <w:autoRedefine/>
    <w:qFormat/>
    <w:uiPriority w:val="0"/>
    <w:pPr>
      <w:ind w:firstLine="420" w:firstLineChars="100"/>
    </w:pPr>
  </w:style>
  <w:style w:type="table" w:styleId="23">
    <w:name w:val="Table Grid"/>
    <w:basedOn w:val="22"/>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FollowedHyperlink"/>
    <w:basedOn w:val="24"/>
    <w:autoRedefine/>
    <w:semiHidden/>
    <w:unhideWhenUsed/>
    <w:qFormat/>
    <w:uiPriority w:val="99"/>
    <w:rPr>
      <w:color w:val="800080"/>
      <w:u w:val="single"/>
    </w:rPr>
  </w:style>
  <w:style w:type="character" w:styleId="26">
    <w:name w:val="Hyperlink"/>
    <w:basedOn w:val="24"/>
    <w:autoRedefine/>
    <w:semiHidden/>
    <w:unhideWhenUsed/>
    <w:qFormat/>
    <w:uiPriority w:val="99"/>
    <w:rPr>
      <w:color w:val="0000FF"/>
      <w:u w:val="single"/>
    </w:rPr>
  </w:style>
  <w:style w:type="paragraph" w:customStyle="1" w:styleId="2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8">
    <w:name w:val="页眉 Char"/>
    <w:basedOn w:val="24"/>
    <w:link w:val="16"/>
    <w:autoRedefine/>
    <w:qFormat/>
    <w:uiPriority w:val="99"/>
    <w:rPr>
      <w:sz w:val="18"/>
      <w:szCs w:val="18"/>
    </w:rPr>
  </w:style>
  <w:style w:type="character" w:customStyle="1" w:styleId="29">
    <w:name w:val="页脚 Char"/>
    <w:basedOn w:val="24"/>
    <w:link w:val="15"/>
    <w:autoRedefine/>
    <w:qFormat/>
    <w:uiPriority w:val="99"/>
    <w:rPr>
      <w:sz w:val="18"/>
      <w:szCs w:val="18"/>
    </w:rPr>
  </w:style>
  <w:style w:type="paragraph" w:styleId="30">
    <w:name w:val="List Paragraph"/>
    <w:basedOn w:val="1"/>
    <w:autoRedefine/>
    <w:qFormat/>
    <w:uiPriority w:val="34"/>
    <w:pPr>
      <w:ind w:firstLine="420" w:firstLineChars="200"/>
    </w:pPr>
    <w:rPr>
      <w:rFonts w:ascii="Calibri" w:hAnsi="Calibri" w:eastAsia="宋体" w:cs="Times New Roman"/>
    </w:rPr>
  </w:style>
  <w:style w:type="paragraph" w:customStyle="1" w:styleId="31">
    <w:name w:val="p16"/>
    <w:autoRedefine/>
    <w:qFormat/>
    <w:uiPriority w:val="0"/>
    <w:pPr>
      <w:jc w:val="both"/>
    </w:pPr>
    <w:rPr>
      <w:rFonts w:ascii="宋体" w:hAnsi="宋体" w:eastAsia="宋体" w:cs="宋体"/>
      <w:color w:val="000000"/>
      <w:lang w:val="en-US" w:eastAsia="zh-CN" w:bidi="ar-SA"/>
    </w:rPr>
  </w:style>
  <w:style w:type="paragraph" w:customStyle="1" w:styleId="32">
    <w:name w:val="Table Paragraph"/>
    <w:basedOn w:val="1"/>
    <w:autoRedefine/>
    <w:qFormat/>
    <w:uiPriority w:val="1"/>
  </w:style>
  <w:style w:type="paragraph" w:customStyle="1" w:styleId="33">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4">
    <w:name w:val="表格文字115"/>
    <w:basedOn w:val="1"/>
    <w:autoRedefine/>
    <w:qFormat/>
    <w:uiPriority w:val="0"/>
    <w:rPr>
      <w:bCs/>
      <w:spacing w:val="10"/>
      <w:kern w:val="0"/>
      <w:sz w:val="24"/>
    </w:rPr>
  </w:style>
  <w:style w:type="paragraph" w:customStyle="1" w:styleId="35">
    <w:name w:val="p0"/>
    <w:basedOn w:val="1"/>
    <w:autoRedefine/>
    <w:qFormat/>
    <w:uiPriority w:val="0"/>
    <w:pPr>
      <w:widowControl/>
    </w:pPr>
    <w:rPr>
      <w:kern w:val="0"/>
      <w:szCs w:val="21"/>
    </w:rPr>
  </w:style>
  <w:style w:type="character" w:customStyle="1" w:styleId="36">
    <w:name w:val="apple-converted-space"/>
    <w:basedOn w:val="24"/>
    <w:autoRedefine/>
    <w:qFormat/>
    <w:uiPriority w:val="0"/>
  </w:style>
  <w:style w:type="paragraph" w:customStyle="1" w:styleId="37">
    <w:name w:val="默认段落字体 Para Char Char Char Char Char Char Char"/>
    <w:basedOn w:val="1"/>
    <w:autoRedefine/>
    <w:qFormat/>
    <w:uiPriority w:val="0"/>
    <w:pPr>
      <w:adjustRightInd w:val="0"/>
      <w:spacing w:line="360" w:lineRule="auto"/>
    </w:pPr>
  </w:style>
  <w:style w:type="paragraph" w:customStyle="1" w:styleId="38">
    <w:name w:val="首行缩进"/>
    <w:basedOn w:val="1"/>
    <w:autoRedefine/>
    <w:qFormat/>
    <w:uiPriority w:val="0"/>
    <w:pPr>
      <w:ind w:firstLine="480" w:firstLineChars="200"/>
    </w:pPr>
    <w:rPr>
      <w:szCs w:val="20"/>
    </w:rPr>
  </w:style>
  <w:style w:type="paragraph" w:styleId="39">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0">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1">
    <w:name w:val="采购二"/>
    <w:basedOn w:val="40"/>
    <w:autoRedefine/>
    <w:qFormat/>
    <w:uiPriority w:val="0"/>
    <w:pPr>
      <w:spacing w:beforeLines="50" w:afterLines="0"/>
    </w:pPr>
    <w:rPr>
      <w:sz w:val="28"/>
      <w:szCs w:val="28"/>
    </w:rPr>
  </w:style>
  <w:style w:type="paragraph" w:customStyle="1" w:styleId="42">
    <w:name w:val="采购三"/>
    <w:basedOn w:val="41"/>
    <w:autoRedefine/>
    <w:qFormat/>
    <w:uiPriority w:val="0"/>
    <w:pPr>
      <w:spacing w:afterLines="50" w:line="240" w:lineRule="auto"/>
      <w:jc w:val="left"/>
    </w:pPr>
    <w:rPr>
      <w:sz w:val="24"/>
      <w:lang w:bidi="zh-CN"/>
    </w:rPr>
  </w:style>
  <w:style w:type="character" w:customStyle="1" w:styleId="43">
    <w:name w:val="font51"/>
    <w:basedOn w:val="24"/>
    <w:autoRedefine/>
    <w:qFormat/>
    <w:uiPriority w:val="0"/>
    <w:rPr>
      <w:rFonts w:hint="eastAsia" w:ascii="宋体" w:hAnsi="宋体" w:eastAsia="宋体" w:cs="宋体"/>
      <w:color w:val="000000"/>
      <w:sz w:val="32"/>
      <w:szCs w:val="32"/>
      <w:u w:val="none"/>
    </w:rPr>
  </w:style>
  <w:style w:type="character" w:customStyle="1" w:styleId="44">
    <w:name w:val="font31"/>
    <w:basedOn w:val="24"/>
    <w:autoRedefine/>
    <w:qFormat/>
    <w:uiPriority w:val="0"/>
    <w:rPr>
      <w:rFonts w:ascii="宋体" w:hAnsi="宋体" w:eastAsia="宋体" w:cs="宋体"/>
      <w:color w:val="000000"/>
      <w:sz w:val="32"/>
      <w:szCs w:val="32"/>
      <w:u w:val="single"/>
    </w:rPr>
  </w:style>
  <w:style w:type="character" w:customStyle="1" w:styleId="45">
    <w:name w:val="font21"/>
    <w:basedOn w:val="24"/>
    <w:autoRedefine/>
    <w:qFormat/>
    <w:uiPriority w:val="0"/>
    <w:rPr>
      <w:rFonts w:ascii="宋体" w:hAnsi="宋体" w:eastAsia="宋体" w:cs="宋体"/>
      <w:color w:val="000000"/>
      <w:sz w:val="32"/>
      <w:szCs w:val="32"/>
      <w:u w:val="none"/>
    </w:rPr>
  </w:style>
  <w:style w:type="character" w:customStyle="1" w:styleId="46">
    <w:name w:val="font11"/>
    <w:basedOn w:val="24"/>
    <w:autoRedefine/>
    <w:qFormat/>
    <w:uiPriority w:val="0"/>
    <w:rPr>
      <w:rFonts w:ascii="Calibri" w:hAnsi="Calibri" w:cs="Calibri"/>
      <w:color w:val="000000"/>
      <w:sz w:val="32"/>
      <w:szCs w:val="32"/>
      <w:u w:val="none"/>
    </w:rPr>
  </w:style>
  <w:style w:type="character" w:customStyle="1" w:styleId="47">
    <w:name w:val="font01"/>
    <w:basedOn w:val="24"/>
    <w:autoRedefine/>
    <w:qFormat/>
    <w:uiPriority w:val="0"/>
    <w:rPr>
      <w:rFonts w:hint="eastAsia" w:ascii="宋体" w:hAnsi="宋体" w:eastAsia="宋体" w:cs="宋体"/>
      <w:color w:val="000000"/>
      <w:sz w:val="20"/>
      <w:szCs w:val="20"/>
      <w:u w:val="none"/>
    </w:rPr>
  </w:style>
  <w:style w:type="paragraph" w:customStyle="1" w:styleId="48">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49">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0">
    <w:name w:val="批注框文本 Char"/>
    <w:basedOn w:val="24"/>
    <w:link w:val="14"/>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30</Pages>
  <Words>12709</Words>
  <Characters>14227</Characters>
  <Lines>78</Lines>
  <Paragraphs>22</Paragraphs>
  <TotalTime>47</TotalTime>
  <ScaleCrop>false</ScaleCrop>
  <LinksUpToDate>false</LinksUpToDate>
  <CharactersWithSpaces>15255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2023-09-19T02:26:00Z</dcterms:created>
  <dc:creator>Zeng Bin Fan</dc:creator>
  <cp:lastModifiedBy>MW</cp:lastModifiedBy>
  <dcterms:modified xsi:type="dcterms:W3CDTF">2024-07-08T01:12:49Z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9B18C6AF95D44906BE383B231F55E418_13</vt:lpwstr>
  </property>
</Properties>
</file>