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rPr>
        <w:t>北部湾（广西）大宗商品交易有限公司钦州保税港区原棉仓数字化改造项目</w:t>
      </w:r>
      <w:r>
        <w:rPr>
          <w:rFonts w:hint="eastAsia" w:ascii="宋体" w:hAnsi="宋体" w:eastAsia="宋体" w:cs="宋体"/>
          <w:b/>
          <w:sz w:val="36"/>
          <w:szCs w:val="36"/>
          <w:u w:val="single"/>
          <w:lang w:val="en-US" w:eastAsia="zh-CN"/>
        </w:rPr>
        <w:t>采购</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w:t>
      </w:r>
      <w:r>
        <w:rPr>
          <w:rFonts w:hint="eastAsia" w:ascii="宋体" w:hAnsi="宋体" w:eastAsia="宋体" w:cs="宋体"/>
          <w:b/>
          <w:bCs/>
          <w:sz w:val="36"/>
          <w:szCs w:val="36"/>
          <w:u w:val="none"/>
          <w:lang w:val="en-US" w:eastAsia="zh-CN"/>
        </w:rPr>
        <w:t xml:space="preserve"> </w:t>
      </w:r>
      <w:r>
        <w:rPr>
          <w:rFonts w:hint="default" w:ascii="宋体" w:hAnsi="宋体" w:eastAsia="宋体" w:cs="宋体"/>
          <w:b/>
          <w:bCs/>
          <w:sz w:val="36"/>
          <w:szCs w:val="36"/>
          <w:lang w:val="en-US" w:eastAsia="zh-CN"/>
        </w:rPr>
        <w:t>人</w:t>
      </w:r>
      <w:r>
        <w:rPr>
          <w:rFonts w:hint="eastAsia" w:ascii="宋体" w:hAnsi="宋体" w:eastAsia="宋体" w:cs="宋体"/>
          <w:b/>
          <w:bCs/>
          <w:sz w:val="36"/>
          <w:szCs w:val="36"/>
          <w:lang w:val="en-US" w:eastAsia="zh-CN"/>
        </w:rPr>
        <w:t>：</w:t>
      </w:r>
      <w:r>
        <w:rPr>
          <w:rFonts w:hint="eastAsia" w:ascii="宋体" w:hAnsi="宋体" w:eastAsia="宋体" w:cs="宋体"/>
          <w:b/>
          <w:bCs/>
          <w:sz w:val="36"/>
          <w:szCs w:val="36"/>
          <w:u w:val="single"/>
          <w:lang w:val="en-US" w:eastAsia="zh-CN"/>
        </w:rPr>
        <w:t>北部湾（广西）大宗商品交易有限公司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2024年8月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41"/>
        <w:rPr>
          <w:rFonts w:hint="eastAsia" w:ascii="宋体" w:hAnsi="宋体" w:eastAsia="宋体" w:cs="宋体"/>
          <w:sz w:val="32"/>
          <w:szCs w:val="32"/>
          <w:shd w:val="clear"/>
        </w:rPr>
        <w:sectPr>
          <w:headerReference r:id="rId3" w:type="first"/>
          <w:footerReference r:id="rId4" w:type="first"/>
          <w:pgSz w:w="11906" w:h="16838"/>
          <w:pgMar w:top="1418" w:right="1418" w:bottom="1418" w:left="1418" w:header="851" w:footer="992" w:gutter="0"/>
          <w:pgNumType w:fmt="decimal" w:start="0"/>
          <w:cols w:space="720" w:num="1"/>
          <w:docGrid w:linePitch="312" w:charSpace="0"/>
        </w:sectPr>
      </w:pP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u w:val="single"/>
        </w:rPr>
        <w:t>北部湾（广西）大宗商品交易有限公司钦州保税港区原棉仓数字化改造项目</w:t>
      </w:r>
      <w:r>
        <w:rPr>
          <w:rFonts w:hint="eastAsia" w:ascii="宋体" w:hAnsi="宋体" w:eastAsia="宋体" w:cs="宋体"/>
          <w:b w:val="0"/>
          <w:bCs/>
          <w:color w:val="auto"/>
          <w:sz w:val="24"/>
          <w:szCs w:val="24"/>
          <w:u w:val="none"/>
          <w:lang w:val="en-US" w:eastAsia="zh-CN"/>
        </w:rPr>
        <w:t>潜在供应商应在</w:t>
      </w:r>
      <w:r>
        <w:rPr>
          <w:rFonts w:hint="eastAsia" w:ascii="宋体" w:hAnsi="宋体" w:eastAsia="宋体" w:cs="宋体"/>
          <w:b w:val="0"/>
          <w:bCs/>
          <w:color w:val="auto"/>
          <w:sz w:val="24"/>
          <w:szCs w:val="24"/>
          <w:u w:val="single"/>
          <w:lang w:val="en-US" w:eastAsia="zh-CN"/>
        </w:rPr>
        <w:t>广西自贸区钦州港片区开发投资集团有限责任公司网站http://www.qzmktjt.com/</w:t>
      </w:r>
      <w:r>
        <w:rPr>
          <w:rFonts w:hint="eastAsia" w:ascii="宋体" w:hAnsi="宋体" w:eastAsia="宋体" w:cs="宋体"/>
          <w:b w:val="0"/>
          <w:bCs/>
          <w:color w:val="auto"/>
          <w:sz w:val="24"/>
          <w:szCs w:val="24"/>
          <w:u w:val="none"/>
          <w:lang w:val="en-US" w:eastAsia="zh-CN"/>
        </w:rPr>
        <w:t>获取（下载）</w:t>
      </w:r>
      <w:r>
        <w:rPr>
          <w:rFonts w:hint="eastAsia" w:ascii="宋体" w:hAnsi="宋体" w:eastAsia="宋体" w:cs="宋体"/>
          <w:b w:val="0"/>
          <w:bCs/>
          <w:color w:val="auto"/>
          <w:sz w:val="24"/>
          <w:szCs w:val="24"/>
          <w:lang w:val="en-US" w:eastAsia="zh-CN"/>
        </w:rPr>
        <w:t>竞争性磋商文件，并于截止日期</w:t>
      </w:r>
      <w:r>
        <w:rPr>
          <w:rFonts w:hint="eastAsia" w:ascii="宋体" w:hAnsi="宋体" w:eastAsia="宋体" w:cs="宋体"/>
          <w:b w:val="0"/>
          <w:bCs/>
          <w:color w:val="auto"/>
          <w:sz w:val="24"/>
          <w:szCs w:val="24"/>
          <w:u w:val="single"/>
          <w:lang w:val="en-US" w:eastAsia="zh-CN"/>
        </w:rPr>
        <w:t>2024年8月28 日</w:t>
      </w:r>
      <w:r>
        <w:rPr>
          <w:rFonts w:hint="eastAsia"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w:t>
      </w:r>
      <w:r>
        <w:rPr>
          <w:rFonts w:hint="eastAsia" w:ascii="宋体" w:hAnsi="宋体" w:eastAsia="宋体" w:cs="宋体"/>
          <w:color w:val="auto"/>
          <w:sz w:val="24"/>
          <w:szCs w:val="24"/>
        </w:rPr>
        <w:t>北部湾（广西）大宗商品交易有限公司钦州保税港区原棉仓数字化改造项目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lang w:val="en-US" w:eastAsia="zh-CN"/>
        </w:rPr>
      </w:pPr>
      <w:r>
        <w:rPr>
          <w:rFonts w:hint="eastAsia" w:ascii="宋体" w:hAnsi="宋体" w:eastAsia="宋体" w:cs="宋体"/>
          <w:b w:val="0"/>
          <w:bCs/>
          <w:color w:val="auto"/>
          <w:sz w:val="24"/>
          <w:szCs w:val="24"/>
          <w:lang w:val="en-US" w:eastAsia="zh-CN"/>
        </w:rPr>
        <w:t>定标方式：</w:t>
      </w:r>
      <w:r>
        <w:rPr>
          <w:rFonts w:hint="eastAsia" w:ascii="宋体" w:hAnsi="宋体" w:eastAsia="宋体" w:cs="宋体"/>
          <w:bCs/>
          <w:color w:val="auto"/>
          <w:sz w:val="24"/>
          <w:szCs w:val="24"/>
        </w:rPr>
        <w:t>满足采购文件的实质要求，且经评审</w:t>
      </w:r>
      <w:r>
        <w:rPr>
          <w:rFonts w:hint="eastAsia" w:ascii="宋体" w:hAnsi="宋体" w:eastAsia="宋体" w:cs="宋体"/>
          <w:bCs/>
          <w:color w:val="auto"/>
          <w:sz w:val="24"/>
          <w:szCs w:val="24"/>
          <w:lang w:val="en-US" w:eastAsia="zh-CN"/>
        </w:rPr>
        <w:t>得分最高</w:t>
      </w:r>
      <w:r>
        <w:rPr>
          <w:rFonts w:hint="eastAsia" w:ascii="宋体" w:hAnsi="宋体" w:eastAsia="宋体" w:cs="宋体"/>
          <w:bCs/>
          <w:color w:val="auto"/>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w:t>
      </w:r>
      <w:r>
        <w:rPr>
          <w:rFonts w:hint="eastAsia" w:ascii="宋体" w:hAnsi="宋体" w:eastAsia="宋体" w:cs="宋体"/>
          <w:color w:val="auto"/>
        </w:rPr>
        <w:t>人民币</w:t>
      </w:r>
      <w:r>
        <w:rPr>
          <w:rFonts w:hint="eastAsia" w:ascii="宋体" w:hAnsi="宋体" w:eastAsia="宋体" w:cs="宋体"/>
          <w:color w:val="auto"/>
          <w:sz w:val="21"/>
          <w:szCs w:val="21"/>
          <w:lang w:val="en-US" w:eastAsia="zh-CN"/>
        </w:rPr>
        <w:t>壹拾万</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仟壹佰壹拾</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元</w:t>
      </w:r>
      <w:r>
        <w:rPr>
          <w:rFonts w:hint="eastAsia" w:hAnsi="宋体" w:cs="宋体"/>
          <w:color w:val="auto"/>
          <w:sz w:val="21"/>
          <w:szCs w:val="21"/>
          <w:lang w:val="en-US" w:eastAsia="zh-CN"/>
        </w:rPr>
        <w:t>玖角柒分</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102112.97</w:t>
      </w:r>
      <w:r>
        <w:rPr>
          <w:rFonts w:hint="eastAsia" w:ascii="宋体" w:hAnsi="宋体" w:eastAsia="宋体" w:cs="宋体"/>
          <w:b w:val="0"/>
          <w:bCs/>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w:t>
      </w:r>
      <w:r>
        <w:rPr>
          <w:rFonts w:hint="eastAsia" w:ascii="宋体" w:hAnsi="宋体" w:eastAsia="宋体" w:cs="宋体"/>
          <w:color w:val="auto"/>
        </w:rPr>
        <w:t>人民币</w:t>
      </w:r>
      <w:r>
        <w:rPr>
          <w:rFonts w:hint="eastAsia" w:ascii="宋体" w:hAnsi="宋体" w:eastAsia="宋体" w:cs="宋体"/>
          <w:color w:val="auto"/>
          <w:sz w:val="21"/>
          <w:szCs w:val="21"/>
          <w:lang w:val="en-US" w:eastAsia="zh-CN"/>
        </w:rPr>
        <w:t>壹拾万</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仟壹佰壹拾</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元</w:t>
      </w:r>
      <w:r>
        <w:rPr>
          <w:rFonts w:hint="eastAsia" w:hAnsi="宋体" w:cs="宋体"/>
          <w:color w:val="auto"/>
          <w:sz w:val="21"/>
          <w:szCs w:val="21"/>
          <w:lang w:val="en-US" w:eastAsia="zh-CN"/>
        </w:rPr>
        <w:t>玖角柒分</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102112.97</w:t>
      </w:r>
      <w:r>
        <w:rPr>
          <w:rFonts w:hint="eastAsia" w:ascii="宋体" w:hAnsi="宋体" w:eastAsia="宋体" w:cs="宋体"/>
          <w:b w:val="0"/>
          <w:bCs/>
          <w:color w:val="auto"/>
          <w:sz w:val="24"/>
          <w:szCs w:val="24"/>
          <w:lang w:val="en-US" w:eastAsia="zh-CN"/>
        </w:rPr>
        <w:t>元）</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采购需求：详见“第二章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 w:val="0"/>
          <w:bCs/>
          <w:color w:val="auto"/>
          <w:sz w:val="24"/>
          <w:szCs w:val="24"/>
          <w:u w:val="single"/>
          <w:lang w:val="en-US" w:eastAsia="zh-CN"/>
        </w:rPr>
        <w:t xml:space="preserve"> 30天 </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2024年8月 21 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2024年8月 27 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广西自贸区钦州港片区开发投资集团有限责任公司网站http://www.qzmktjt.com/获取（下载）。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2024年8月 27 日17时30分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2024年8月 28 日</w:t>
      </w:r>
      <w:r>
        <w:rPr>
          <w:rFonts w:hint="default"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w:t>
      </w:r>
      <w:r>
        <w:rPr>
          <w:rFonts w:hint="eastAsia" w:ascii="宋体" w:hAnsi="宋体" w:eastAsia="宋体" w:cs="宋体"/>
          <w:b w:val="0"/>
          <w:bCs/>
          <w:color w:val="auto"/>
          <w:sz w:val="24"/>
          <w:szCs w:val="24"/>
          <w:lang w:val="en-US" w:eastAsia="zh-CN"/>
        </w:rPr>
        <w:t>（北京时间）</w:t>
      </w:r>
      <w:bookmarkStart w:id="24" w:name="_GoBack"/>
      <w:bookmarkEnd w:id="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裴炳昌0777-5881380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default" w:ascii="宋体" w:hAnsi="宋体" w:eastAsia="宋体" w:cs="宋体"/>
          <w:b w:val="0"/>
          <w:bCs/>
          <w:color w:val="auto"/>
          <w:sz w:val="24"/>
          <w:szCs w:val="24"/>
          <w:lang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2024年8月 28 日</w:t>
      </w:r>
      <w:r>
        <w:rPr>
          <w:rFonts w:hint="default"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w:t>
      </w:r>
      <w:r>
        <w:rPr>
          <w:rFonts w:hint="eastAsia"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color w:val="auto"/>
          <w:sz w:val="24"/>
          <w:szCs w:val="24"/>
        </w:rPr>
        <w:t>北部湾（广西）大宗商品交易有限公司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color w:val="auto"/>
          <w:sz w:val="24"/>
          <w:szCs w:val="24"/>
        </w:rPr>
        <w:t>南宁市青秀区中新路9号九洲国际56层5605号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联系方式：曾杰</w:t>
      </w:r>
      <w:r>
        <w:rPr>
          <w:rFonts w:hint="eastAsia" w:ascii="宋体" w:hAnsi="宋体" w:eastAsia="宋体" w:cs="宋体"/>
          <w:b w:val="0"/>
          <w:bCs/>
          <w:color w:val="auto"/>
          <w:sz w:val="24"/>
          <w:szCs w:val="24"/>
          <w:u w:val="single"/>
          <w:lang w:val="en-US" w:eastAsia="zh-CN"/>
        </w:rPr>
        <w:t>15078819875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广西自贸区钦州港区开发投资集团有限责任公司风控审计部</w:t>
      </w:r>
      <w:r>
        <w:rPr>
          <w:rFonts w:hint="default" w:ascii="宋体" w:hAnsi="宋体" w:eastAsia="宋体" w:cs="宋体"/>
          <w:b w:val="0"/>
          <w:bCs/>
          <w:color w:val="auto"/>
          <w:sz w:val="24"/>
          <w:szCs w:val="24"/>
          <w:u w:val="single"/>
          <w:lang w:eastAsia="zh-CN"/>
        </w:rPr>
        <w:t>、</w:t>
      </w:r>
      <w:r>
        <w:rPr>
          <w:rFonts w:hint="eastAsia" w:ascii="宋体" w:hAnsi="宋体" w:eastAsia="宋体" w:cs="宋体"/>
          <w:b w:val="0"/>
          <w:bCs/>
          <w:color w:val="auto"/>
          <w:sz w:val="24"/>
          <w:szCs w:val="24"/>
          <w:u w:val="single"/>
          <w:lang w:val="en-US" w:eastAsia="zh-CN"/>
        </w:rPr>
        <w:t>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裴炳昌0777-5881380</w:t>
      </w:r>
      <w:r>
        <w:rPr>
          <w:rFonts w:hint="default" w:ascii="宋体" w:hAnsi="宋体" w:eastAsia="宋体" w:cs="宋体"/>
          <w:b w:val="0"/>
          <w:bCs/>
          <w:color w:val="auto"/>
          <w:sz w:val="24"/>
          <w:szCs w:val="24"/>
          <w:u w:val="single"/>
          <w:lang w:eastAsia="zh-CN"/>
        </w:rPr>
        <w:t>、曾斌繁0777-5881239</w:t>
      </w:r>
    </w:p>
    <w:p>
      <w:pPr>
        <w:jc w:val="left"/>
        <w:rPr>
          <w:rFonts w:hint="eastAsia" w:ascii="宋体" w:hAnsi="宋体" w:eastAsia="宋体" w:cs="宋体"/>
          <w:b/>
          <w:bCs/>
          <w:color w:val="auto"/>
          <w:sz w:val="36"/>
          <w:szCs w:val="36"/>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1"/>
        <w:rPr>
          <w:rFonts w:hint="eastAsia" w:ascii="宋体" w:hAnsi="宋体" w:eastAsia="宋体" w:cs="宋体"/>
          <w:color w:val="auto"/>
        </w:rPr>
      </w:pPr>
      <w:r>
        <w:rPr>
          <w:rFonts w:hint="eastAsia" w:ascii="宋体" w:hAnsi="宋体" w:eastAsia="宋体" w:cs="宋体"/>
          <w:color w:val="auto"/>
          <w:lang w:val="en-US" w:eastAsia="zh-CN"/>
        </w:rPr>
        <w:t>第二章</w:t>
      </w:r>
      <w:r>
        <w:rPr>
          <w:rFonts w:hint="eastAsia" w:cs="宋体"/>
          <w:color w:val="auto"/>
          <w:lang w:val="en-US" w:eastAsia="zh-CN"/>
        </w:rPr>
        <w:t xml:space="preserve">  </w:t>
      </w:r>
      <w:r>
        <w:rPr>
          <w:rFonts w:hint="eastAsia" w:ascii="宋体" w:hAnsi="宋体" w:eastAsia="宋体" w:cs="宋体"/>
          <w:color w:val="auto"/>
          <w:lang w:val="en-US"/>
        </w:rPr>
        <w:t>采购</w:t>
      </w:r>
      <w:r>
        <w:rPr>
          <w:rFonts w:hint="eastAsia" w:ascii="宋体" w:hAnsi="宋体" w:eastAsia="宋体" w:cs="宋体"/>
          <w:color w:val="auto"/>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w:t>
      </w:r>
      <w:r>
        <w:rPr>
          <w:rFonts w:hint="eastAsia" w:ascii="宋体" w:hAnsi="宋体" w:eastAsia="宋体" w:cs="宋体"/>
          <w:color w:val="auto"/>
          <w:sz w:val="24"/>
          <w:szCs w:val="24"/>
          <w:lang w:val="en-US" w:bidi="zh-CN"/>
        </w:rPr>
        <w:t>项目采购需求</w:t>
      </w:r>
      <w:r>
        <w:rPr>
          <w:rFonts w:hint="eastAsia" w:ascii="宋体" w:hAnsi="宋体" w:eastAsia="宋体" w:cs="宋体"/>
          <w:color w:val="auto"/>
          <w:sz w:val="24"/>
          <w:szCs w:val="24"/>
          <w:lang w:bidi="zh-CN"/>
        </w:rPr>
        <w:t>表中所列的品牌、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型号仅起</w:t>
      </w:r>
      <w:r>
        <w:rPr>
          <w:rFonts w:hint="eastAsia" w:ascii="宋体" w:hAnsi="宋体" w:eastAsia="宋体" w:cs="宋体"/>
          <w:b/>
          <w:bCs/>
          <w:color w:val="auto"/>
          <w:sz w:val="24"/>
          <w:szCs w:val="24"/>
          <w:lang w:bidi="zh-CN"/>
        </w:rPr>
        <w:t>参考作用</w:t>
      </w: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供应商</w:t>
      </w:r>
      <w:r>
        <w:rPr>
          <w:rFonts w:hint="eastAsia" w:ascii="宋体" w:hAnsi="宋体" w:eastAsia="宋体" w:cs="宋体"/>
          <w:color w:val="auto"/>
          <w:sz w:val="24"/>
          <w:szCs w:val="24"/>
          <w:lang w:bidi="zh-CN"/>
        </w:rPr>
        <w:t>可选用其他品牌、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型号替代，但替代的品牌、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型号在实质性要求和条件上要</w:t>
      </w:r>
      <w:r>
        <w:rPr>
          <w:rFonts w:hint="eastAsia" w:ascii="宋体" w:hAnsi="宋体" w:eastAsia="宋体" w:cs="宋体"/>
          <w:b/>
          <w:bCs/>
          <w:color w:val="auto"/>
          <w:sz w:val="24"/>
          <w:szCs w:val="24"/>
          <w:lang w:bidi="zh-CN"/>
        </w:rPr>
        <w:t>相当于或优于</w:t>
      </w:r>
      <w:r>
        <w:rPr>
          <w:rFonts w:hint="eastAsia" w:ascii="宋体" w:hAnsi="宋体" w:eastAsia="宋体" w:cs="宋体"/>
          <w:color w:val="auto"/>
          <w:sz w:val="24"/>
          <w:szCs w:val="24"/>
          <w:lang w:bidi="zh-CN"/>
        </w:rPr>
        <w:t>参考品牌、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w:t>
      </w:r>
    </w:p>
    <w:p>
      <w:pPr>
        <w:keepNext w:val="0"/>
        <w:keepLines w:val="0"/>
        <w:pageBreakBefore w:val="0"/>
        <w:widowControl/>
        <w:numPr>
          <w:ilvl w:val="-1"/>
          <w:numId w:val="0"/>
        </w:numPr>
        <w:kinsoku/>
        <w:wordWrap/>
        <w:overflowPunct/>
        <w:topLinePunct w:val="0"/>
        <w:autoSpaceDE/>
        <w:autoSpaceDN/>
        <w:bidi w:val="0"/>
        <w:adjustRightInd/>
        <w:snapToGrid/>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2</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numPr>
          <w:ilvl w:val="-1"/>
          <w:numId w:val="0"/>
        </w:numPr>
        <w:ind w:left="0" w:leftChars="0" w:firstLine="480" w:firstLineChars="20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bidi="zh-CN"/>
        </w:rPr>
        <w:t>项目实施地址：</w:t>
      </w:r>
    </w:p>
    <w:p>
      <w:pPr>
        <w:numPr>
          <w:ilvl w:val="0"/>
          <w:numId w:val="0"/>
        </w:numPr>
        <w:ind w:left="0" w:leftChars="0"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广西钦州保税港区八大街与三号路交汇处北侧棉纺产业园原棉仓库3010平方米。（简称‘仓库’）</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eastAsia="zh-CN"/>
        </w:rPr>
        <w:t>监控。仓库的监控无死角，需要可上互联网，可远程访问，仓库货物堆高，要求监控不会被货物遮挡。</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地磅。可达到无人值守要求。磅房电脑需要可上互联网，地磅系统的重量数据实时上传至北大宗平台仓储系统，需要实现社会车辆与预约车辆数据区分。</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上述物联网设备安装后需要配合我司的系统开发商进行仓储系统对接，以实现实时数据采集，仓储系统远程管理仓库。</w:t>
      </w:r>
    </w:p>
    <w:p>
      <w:pPr>
        <w:numPr>
          <w:ilvl w:val="-1"/>
          <w:numId w:val="0"/>
        </w:numPr>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历史数据，数据长度：至少6个月历史数据。</w:t>
      </w:r>
    </w:p>
    <w:p>
      <w:pPr>
        <w:pStyle w:val="2"/>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不间断电源保证6小时内的设备运作供电。</w:t>
      </w:r>
    </w:p>
    <w:p>
      <w:pPr>
        <w:pStyle w:val="2"/>
        <w:ind w:left="0" w:leftChars="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9.设备质保期不低于18个月。</w:t>
      </w:r>
    </w:p>
    <w:p>
      <w:pPr>
        <w:pStyle w:val="2"/>
        <w:rPr>
          <w:rFonts w:hint="default"/>
          <w:color w:val="auto"/>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FF0000"/>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lang w:val="en-US" w:eastAsia="zh-CN" w:bidi="zh-CN"/>
        </w:rPr>
      </w:pPr>
    </w:p>
    <w:tbl>
      <w:tblPr>
        <w:tblStyle w:val="21"/>
        <w:tblW w:w="9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50"/>
        <w:gridCol w:w="1300"/>
        <w:gridCol w:w="3390"/>
        <w:gridCol w:w="700"/>
        <w:gridCol w:w="750"/>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1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仓库视频监控系统及平台联动接口开发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仿宋" w:hAnsi="仿宋" w:eastAsia="仿宋" w:cs="仿宋"/>
                <w:b/>
                <w:bCs/>
                <w:i w:val="0"/>
                <w:iCs w:val="0"/>
                <w:color w:val="000000"/>
                <w:kern w:val="0"/>
                <w:sz w:val="24"/>
                <w:szCs w:val="24"/>
                <w:u w:val="none"/>
                <w:lang w:val="en-US" w:eastAsia="zh-CN" w:bidi="ar"/>
              </w:rPr>
              <w:t>参数配置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枪机型摄像机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海康DS-2CD3T47EWDV3-L/POEC</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•最高分辨率可达3M(2560×1440),可输出Full HD 1080p实时图像• 采用先进的视频压缩技术,压缩比高,且处理非常灵活• 逐行扫描CMOS,捕捉运动图像无锯齿• 支持宽动态范围达120dB，适合逆光环境监控• 采用高效红外灯,使用寿命长,照射距离可达50-80米• 支持3D 数字降噪• ICR红外滤片式自动切换,实现真正的日夜监控• 支持双码流,支持手机监控• 支持自动光圈,自动电子快门功能,适应不同监控环境• 符合IP66级防水防尘设计,可靠性高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原有10台摄像机要拆装更换位置（拆装电源线路更换费用包含在施工费那里），新增5台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硬盘录像机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海康DS-8832N-R8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海康威视32路网络高清硬盘录像机 监控工程主机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分别接海关和北大宗平台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监控硬盘</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西数8TB PURX64M监控 </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8TB PURX64M监控 紫盘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5块提供90天存储供海关，8块提供180天存储供大宗平台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交换机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锐捷 RG-ES110D-P</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10口上行千兆POE交换机 RG-ES110D-P</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收发器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海康威视H301S</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千兆单模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显示器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AOC 24B20HN2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AOC 24B20HN2 23.8寸V+H 壁挂黑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壁挂机柜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壁挂机柜</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6U普通机柜230*530*600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前端汇聚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枪机支架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海康摄像机专用支架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全铜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监控电源线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国标1.5平方2芯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RVV护套线 1.5平方2芯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网线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D135超五类</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超五类非屏蔽双姣线 305/箱</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水晶头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一舟超五类RJ45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一舟超五类RJ45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25波纹管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PVC25软管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软管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排插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公牛</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带2米线公牛4位5孔</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线管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联塑25PVC</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串口服务器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MOXANport-5650-8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8端口；RS232、RS422、RS485三合一端口；网口数量：1个；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速率：10/100M自适应MDI/MDIX；</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接头：8-pin RJ45；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电磁隔离保护：内建1.5KV；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端口类型：RJ45 (8-pin)；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串口线性保护：全信号15 KV ESD；</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RS-485数据流向：ADDC</w:t>
            </w:r>
            <w:r>
              <w:rPr>
                <w:rStyle w:val="52"/>
                <w:b w:val="0"/>
                <w:bCs w:val="0"/>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(专利保护的数据流向自动控制功能)；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RS-485上拉/下拉电阻：1 KΩ，150 K</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网口转串口线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RS232串口9孔转RJ45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平台间系统数据接口开发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平台间系统数据接口开发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满足功能：1.车牌识别 2.道闸控制 3.地磅对接 4.磅单打印5.第三方平台对接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道闸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DS-TMG420-R(4米八角杆)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采用一体化机芯，平行齿轮减速连杆传动，传动平稳、效率高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侧贴式安装，安装方便、结构紧凑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齿轮碳钢材质，淬火处理工艺，抗磨损、抗冲击，寿命长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直流无刷电机、输出力矩大、体积小，噪音低，精确智能控制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支持遇阻反弹，开优先保护功能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直流变频控制，快速抬杆慢速落杆，运行平稳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事件日志记录、方便操作追踪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支持红外，地感，雷达等多种防砸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支持故障码数码管检测，日志记录、丰富状态指示，故障码数码管显示、问题定位快捷、方便维护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手动开闸功能：停电时可转动手轮，使道闸保持开状态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接口参数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开/关到位输出接口：各1组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开/关/停控制信号接口：各1组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红外/地感防砸信号接口：1组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485控制接口：1组 一般规范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杆子类型：直杆 道闸系列：四系列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工作温度和湿度：-30~70 °C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尺寸(mm)：370*262*1060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防护等级：IP54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工作电压：AC220V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电机类型：直流无刷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运行噪声：60分贝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电机功率：250W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运行速度：3s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机箱材质：冷轧钢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地感线圈</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DS-TMG023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0.75mm</w:t>
            </w:r>
            <w:r>
              <w:rPr>
                <w:rStyle w:val="52"/>
                <w:b w:val="0"/>
                <w:bCs w:val="0"/>
                <w:lang w:val="en-US" w:eastAsia="zh-CN" w:bidi="ar"/>
              </w:rPr>
              <w:t>²</w:t>
            </w:r>
            <w:r>
              <w:rPr>
                <w:rFonts w:hint="eastAsia" w:ascii="宋体" w:hAnsi="宋体" w:eastAsia="宋体" w:cs="宋体"/>
                <w:b w:val="0"/>
                <w:bCs w:val="0"/>
                <w:i w:val="0"/>
                <w:iCs w:val="0"/>
                <w:color w:val="000000"/>
                <w:kern w:val="0"/>
                <w:sz w:val="24"/>
                <w:szCs w:val="24"/>
                <w:u w:val="none"/>
                <w:lang w:val="en-US" w:eastAsia="zh-CN" w:bidi="ar"/>
              </w:rPr>
              <w:t>，绞合导体，镀锡铜，绝缘蓝色PVC外被，1捆线圈50米。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车检器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DS-TMG022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独立式,支持接入的最大线圈数2,继电器输出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道闸电源线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国标2.5平方2芯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RVV护套线 2.5平方2芯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UPS主机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山特CIKS</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1.单进单出，双变换在线工作； 容量：1kVA/8000W,单相二线+地线2.重量：4.2KG  3.尺寸(W*D*H)：144*229*345mm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4.输入电压范围：115-300V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5.输入功率因数：≥0.98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6.输入频率范围：40Hz-70Hz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7.输出额定电压:220VAC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8.输出频率（电池模式）：50/60Hz±0.05Hz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9.电池电压：36VDC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生产厂家：山特电子(深圳)有限公司</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储能电池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英威腾MF100-12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12V100AH</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1.功率 12V 容量：100AH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2.性能特点：超长的使用寿命，免维护的专业设计，良好的批量一致性极小的自放电流、极宽的工作湿度范围，合理的安装和结构设计。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3.尺寸：330mm*173mm*215mm*219.5mm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4.重量：27.5KG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5.工作温度范围：充电：-20℃~+50℃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监控断开市电续用6小时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储能电池柜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丰创C-10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1、箱体采用环保镀锌板材料，承载能力大，整柜静电喷塑、耐磨、防腐蚀、防火性能好、绝缘、经久耐用；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2、2层1列 外观尺寸：950*470*615mm，用于装置12V100AH10节蓄电池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3*6平方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RVV护套线3*6平方3芯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UPS电源保护隔间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定制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现场定制3米*3米*2.7米定做防水防潮隔间保护UPS电源(集装箱柜)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240W六分区前置广播功放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DS-KAA3201-M</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1、2路辅助（AUX）线路输入，1路紧急（EMC）输入，2路话筒输入；1路辅助输出，可级联下一台功放；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2、线路1、紧急线路输入、线路2音量独立可调，同时具有总音量控制；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3、内置蓝牙/MP3功能模块，方便手机推送节目播放；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4、带六分区按键输出功能；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5、支持1路EMC紧急报警音频信号输入接口，具有最高优先级</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6、话筒1和紧急线路EMC输入具有最高优先级别，可强切其他线路输入功能，话筒2与线路1、线路2；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7、带有高低音调节功能；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8、设有先进短路、过热、过载保护功能；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9、线路设有限幅功能，可预防功放输出过大保护喇叭；</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10、支持多种指示灯显示(电源、信号、削峰、保护LED指示灯)；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11、采用风机强制散热结构，可以让机器长期时间工作；</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12、具有市电波动保护功能，支持过压保护，欠压保护；                                                                                                                                                                                                                                                                                                                                            13、额定输出功率 240W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叮咚前奏音话筒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DS-KAU30HG-M</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1、机械自锁，带叮咚前奏音；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2、音频线配置：5米单芯、卡龙母+ 6.35单声道插嘴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3、有效适音距离：50cm；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4、供电电压：DC3V/AC220V. 电源线3m；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5、灵敏度：-40dB±2dB；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6、输出阻抗：200Ω；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7、指向性：心型指向；</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8、频率响应(Hz)：40Hz-16KHz；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9、换能方式：电容式；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室外防水音柱</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DS-KAL4600-M</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1、5寸单元×2，采用高性能驱动高音，声音传播远，中高频清晰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2、整体铝型材成型，防水防锈防腐蚀 Q</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3、额定功率:60W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4、定压输入:100V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5、灵敏度:91DB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6、频率响应:80-18KHz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7、扬声器:5寸低音×2,25芯驱动高音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8、尺寸：126(L)×185 (W)×514 (H)mm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交通信号灯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红满盘绿箭头二合一车道指示灯红满屏:180个LED，单颗亮度:2500~4000，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波长:630±5nm，左右上下视角:30°，功率:≤20W。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绿箭头:120个LED，单颗亮度:4000~5600，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波长:505±5nm，左右上下视角:30°，功率:≤15W。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·环境温度:-40℃~+80℃.工作电压:AC185V-265V60HZ/50HZ灯箱外壳材料:PC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灯组尺寸(mm):470x470x140 IP 等级:IP53可视距离≥300m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交通信号灯杆件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定制2米高</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网络机柜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豪华机柜</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1.2米1200*600*800  24U</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后端汇聚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5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施工费(布线、设备安装及调试)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pPr>
        <w:jc w:val="left"/>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jc w:val="left"/>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jc w:val="left"/>
        <w:rPr>
          <w:rFonts w:hint="eastAsia"/>
          <w:color w:val="auto"/>
          <w:lang w:val="en-US" w:eastAsia="zh-CN"/>
        </w:rPr>
      </w:pPr>
    </w:p>
    <w:p>
      <w:pPr>
        <w:pStyle w:val="41"/>
        <w:rPr>
          <w:rFonts w:hint="eastAsia"/>
          <w:color w:val="auto"/>
          <w:lang w:val="en-US" w:eastAsia="zh-CN"/>
        </w:rPr>
      </w:pPr>
      <w:r>
        <w:rPr>
          <w:rFonts w:hint="eastAsia"/>
          <w:color w:val="auto"/>
          <w:lang w:val="en-US" w:eastAsia="zh-CN"/>
        </w:rPr>
        <w:t>第三章  供应商须知</w:t>
      </w:r>
    </w:p>
    <w:p>
      <w:pPr>
        <w:pStyle w:val="42"/>
        <w:rPr>
          <w:rFonts w:hint="eastAsia"/>
          <w:color w:val="auto"/>
        </w:rPr>
      </w:pPr>
      <w:r>
        <w:rPr>
          <w:rFonts w:hint="eastAsia"/>
          <w:color w:val="auto"/>
          <w:lang w:val="en-US" w:eastAsia="zh-CN"/>
        </w:rPr>
        <w:t>供应商</w:t>
      </w:r>
      <w:r>
        <w:rPr>
          <w:rFonts w:hint="eastAsia"/>
          <w:color w:val="auto"/>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ascii="宋体" w:hAnsi="宋体" w:eastAsia="宋体" w:cs="宋体"/>
                <w:b/>
                <w:color w:val="auto"/>
                <w:szCs w:val="21"/>
                <w:lang w:val="en-US" w:eastAsia="zh-CN"/>
              </w:rPr>
            </w:pPr>
            <w:r>
              <w:rPr>
                <w:rFonts w:hint="eastAsia" w:hAnsi="宋体" w:cs="宋体"/>
                <w:b/>
                <w:color w:val="auto"/>
                <w:szCs w:val="21"/>
                <w:lang w:val="en-US" w:eastAsia="zh-CN"/>
              </w:rPr>
              <w:t>序号</w:t>
            </w:r>
          </w:p>
        </w:tc>
        <w:tc>
          <w:tcPr>
            <w:tcW w:w="1711" w:type="dxa"/>
            <w:vAlign w:val="center"/>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418" w:type="dxa"/>
            <w:vAlign w:val="top"/>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1</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vAlign w:val="center"/>
          </w:tcPr>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采购人：</w:t>
            </w:r>
            <w:r>
              <w:rPr>
                <w:rFonts w:hint="eastAsia" w:ascii="宋体" w:hAnsi="宋体" w:eastAsia="宋体" w:cs="宋体"/>
                <w:color w:val="auto"/>
                <w:sz w:val="21"/>
                <w:szCs w:val="21"/>
              </w:rPr>
              <w:t>北部湾（广西）大宗商品交易有限公司</w:t>
            </w:r>
          </w:p>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曾杰</w:t>
            </w:r>
          </w:p>
          <w:p>
            <w:pPr>
              <w:pStyle w:val="14"/>
              <w:spacing w:line="360" w:lineRule="exact"/>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sz w:val="21"/>
                <w:szCs w:val="21"/>
                <w:lang w:val="en-US" w:eastAsia="zh-CN"/>
              </w:rPr>
              <w:t>1</w:t>
            </w:r>
            <w:r>
              <w:rPr>
                <w:rFonts w:hint="eastAsia" w:hAnsi="宋体" w:cs="宋体"/>
                <w:color w:val="auto"/>
                <w:sz w:val="21"/>
                <w:szCs w:val="21"/>
                <w:lang w:val="en-US" w:eastAsia="zh-CN"/>
              </w:rPr>
              <w:t>5078819875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2</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vAlign w:val="center"/>
          </w:tcPr>
          <w:p>
            <w:pPr>
              <w:pStyle w:val="14"/>
              <w:spacing w:line="360" w:lineRule="exact"/>
              <w:rPr>
                <w:rFonts w:hint="eastAsia" w:ascii="宋体" w:hAnsi="宋体" w:eastAsia="宋体" w:cs="宋体"/>
                <w:color w:val="auto"/>
                <w:szCs w:val="21"/>
              </w:rPr>
            </w:pPr>
            <w:r>
              <w:rPr>
                <w:rFonts w:hint="eastAsia" w:ascii="宋体" w:hAnsi="宋体" w:eastAsia="宋体" w:cs="宋体"/>
                <w:color w:val="auto"/>
                <w:sz w:val="21"/>
                <w:szCs w:val="21"/>
              </w:rPr>
              <w:t>北部湾（广西）大宗商品交易有限公司钦州保税港区原棉仓数字化改造项目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3</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采购预算</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ascii="宋体" w:hAnsi="宋体" w:eastAsia="宋体" w:cs="宋体"/>
                <w:color w:val="auto"/>
                <w:sz w:val="21"/>
                <w:szCs w:val="21"/>
                <w:lang w:val="en-US" w:eastAsia="zh-CN"/>
              </w:rPr>
              <w:t>壹拾万</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仟壹佰壹拾</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元</w:t>
            </w:r>
            <w:r>
              <w:rPr>
                <w:rFonts w:hint="eastAsia" w:hAnsi="宋体" w:cs="宋体"/>
                <w:color w:val="auto"/>
                <w:sz w:val="21"/>
                <w:szCs w:val="21"/>
                <w:lang w:val="en-US" w:eastAsia="zh-CN"/>
              </w:rPr>
              <w:t>玖角柒分</w:t>
            </w:r>
            <w:r>
              <w:rPr>
                <w:rFonts w:hint="eastAsia" w:ascii="宋体" w:hAnsi="宋体" w:eastAsia="宋体" w:cs="宋体"/>
                <w:color w:val="auto"/>
              </w:rPr>
              <w:t>（￥：</w:t>
            </w:r>
            <w:r>
              <w:rPr>
                <w:rFonts w:hint="eastAsia" w:ascii="宋体" w:hAnsi="宋体" w:eastAsia="宋体" w:cs="宋体"/>
                <w:color w:val="auto"/>
                <w:sz w:val="24"/>
                <w:szCs w:val="24"/>
                <w:lang w:val="en-US" w:eastAsia="zh-CN"/>
              </w:rPr>
              <w:t>102112.97</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4</w:t>
            </w:r>
          </w:p>
        </w:tc>
        <w:tc>
          <w:tcPr>
            <w:tcW w:w="1711" w:type="dxa"/>
            <w:vAlign w:val="center"/>
          </w:tcPr>
          <w:p>
            <w:pPr>
              <w:pStyle w:val="14"/>
              <w:spacing w:line="36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最高限价</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ascii="宋体" w:hAnsi="宋体" w:eastAsia="宋体" w:cs="宋体"/>
                <w:color w:val="auto"/>
                <w:sz w:val="21"/>
                <w:szCs w:val="21"/>
                <w:lang w:val="en-US" w:eastAsia="zh-CN"/>
              </w:rPr>
              <w:t>壹拾万</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仟壹佰壹拾</w:t>
            </w:r>
            <w:r>
              <w:rPr>
                <w:rFonts w:hint="eastAsia" w:hAnsi="宋体" w:cs="宋体"/>
                <w:color w:val="auto"/>
                <w:sz w:val="21"/>
                <w:szCs w:val="21"/>
                <w:lang w:val="en-US" w:eastAsia="zh-CN"/>
              </w:rPr>
              <w:t>贰</w:t>
            </w:r>
            <w:r>
              <w:rPr>
                <w:rFonts w:hint="eastAsia" w:ascii="宋体" w:hAnsi="宋体" w:eastAsia="宋体" w:cs="宋体"/>
                <w:color w:val="auto"/>
                <w:sz w:val="21"/>
                <w:szCs w:val="21"/>
                <w:lang w:val="en-US" w:eastAsia="zh-CN"/>
              </w:rPr>
              <w:t>元</w:t>
            </w:r>
            <w:r>
              <w:rPr>
                <w:rFonts w:hint="eastAsia" w:hAnsi="宋体" w:cs="宋体"/>
                <w:color w:val="auto"/>
                <w:sz w:val="21"/>
                <w:szCs w:val="21"/>
                <w:lang w:val="en-US" w:eastAsia="zh-CN"/>
              </w:rPr>
              <w:t>玖角柒分</w:t>
            </w:r>
            <w:r>
              <w:rPr>
                <w:rFonts w:hint="eastAsia" w:ascii="宋体" w:hAnsi="宋体" w:eastAsia="宋体" w:cs="宋体"/>
                <w:color w:val="auto"/>
              </w:rPr>
              <w:t>（￥：</w:t>
            </w:r>
            <w:r>
              <w:rPr>
                <w:rFonts w:hint="eastAsia" w:ascii="宋体" w:hAnsi="宋体" w:eastAsia="宋体" w:cs="宋体"/>
                <w:color w:val="auto"/>
                <w:sz w:val="24"/>
                <w:szCs w:val="24"/>
                <w:lang w:val="en-US" w:eastAsia="zh-CN"/>
              </w:rPr>
              <w:t>102112.97</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5</w:t>
            </w:r>
          </w:p>
        </w:tc>
        <w:tc>
          <w:tcPr>
            <w:tcW w:w="1711" w:type="dxa"/>
            <w:vAlign w:val="center"/>
          </w:tcPr>
          <w:p>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vAlign w:val="center"/>
          </w:tcPr>
          <w:p>
            <w:pPr>
              <w:pStyle w:val="14"/>
              <w:spacing w:line="360" w:lineRule="exact"/>
              <w:rPr>
                <w:rFonts w:hint="default" w:ascii="宋体" w:hAnsi="宋体" w:eastAsia="宋体" w:cs="宋体"/>
                <w:color w:val="auto"/>
                <w:lang w:val="en-US" w:eastAsia="zh-CN"/>
              </w:rPr>
            </w:pPr>
            <w:r>
              <w:rPr>
                <w:rFonts w:hint="eastAsia" w:hAnsi="宋体" w:cs="宋体"/>
                <w:color w:val="auto"/>
                <w:lang w:val="en-US" w:eastAsia="zh-CN"/>
              </w:rPr>
              <w:t>自有</w:t>
            </w:r>
            <w:r>
              <w:rPr>
                <w:rFonts w:hint="default" w:ascii="宋体" w:hAnsi="宋体" w:eastAsia="宋体" w:cs="宋体"/>
                <w:color w:val="auto"/>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6</w:t>
            </w:r>
          </w:p>
        </w:tc>
        <w:tc>
          <w:tcPr>
            <w:tcW w:w="1711" w:type="dxa"/>
            <w:vAlign w:val="center"/>
          </w:tcPr>
          <w:p>
            <w:pPr>
              <w:pStyle w:val="14"/>
              <w:spacing w:line="360" w:lineRule="exact"/>
              <w:jc w:val="center"/>
              <w:rPr>
                <w:rFonts w:hint="eastAsia" w:ascii="宋体" w:hAnsi="宋体" w:eastAsia="宋体" w:cs="宋体"/>
                <w:color w:val="auto"/>
              </w:rPr>
            </w:pPr>
            <w:r>
              <w:rPr>
                <w:rFonts w:hint="default" w:ascii="宋体" w:hAnsi="宋体" w:eastAsia="宋体" w:cs="宋体"/>
                <w:color w:val="auto"/>
                <w:szCs w:val="21"/>
                <w:lang w:eastAsia="zh-CN"/>
              </w:rPr>
              <w:t>采购</w:t>
            </w:r>
            <w:r>
              <w:rPr>
                <w:rFonts w:hint="eastAsia" w:ascii="宋体" w:hAnsi="宋体" w:eastAsia="宋体" w:cs="宋体"/>
                <w:color w:val="auto"/>
                <w:szCs w:val="21"/>
                <w:lang w:val="en-US" w:eastAsia="zh-CN"/>
              </w:rPr>
              <w:t>文件的获取</w:t>
            </w:r>
          </w:p>
        </w:tc>
        <w:tc>
          <w:tcPr>
            <w:tcW w:w="6418" w:type="dxa"/>
            <w:vAlign w:val="center"/>
          </w:tcPr>
          <w:p>
            <w:pPr>
              <w:pStyle w:val="14"/>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供应商在广西自贸区钦州港片区开发投资集团有限责任公司网站http://www.qzmktjt.com/获取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7</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应具备的特定条件</w:t>
            </w:r>
          </w:p>
        </w:tc>
        <w:tc>
          <w:tcPr>
            <w:tcW w:w="6418" w:type="dxa"/>
            <w:vAlign w:val="center"/>
          </w:tcPr>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1.供应商应当具备下列条件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1</w:t>
            </w:r>
            <w:r>
              <w:rPr>
                <w:rFonts w:hint="eastAsia" w:hAnsi="宋体" w:cs="宋体"/>
                <w:color w:val="auto"/>
                <w:spacing w:val="6"/>
                <w:kern w:val="48"/>
                <w:lang w:eastAsia="zh-CN"/>
              </w:rPr>
              <w:t>）</w:t>
            </w:r>
            <w:r>
              <w:rPr>
                <w:rFonts w:hint="eastAsia" w:ascii="宋体" w:hAnsi="宋体" w:eastAsia="宋体" w:cs="宋体"/>
                <w:color w:val="auto"/>
                <w:spacing w:val="6"/>
                <w:kern w:val="48"/>
              </w:rPr>
              <w:t>国内注册</w:t>
            </w:r>
            <w:r>
              <w:rPr>
                <w:rFonts w:hint="eastAsia" w:hAnsi="宋体" w:cs="宋体"/>
                <w:color w:val="auto"/>
                <w:spacing w:val="6"/>
                <w:kern w:val="48"/>
                <w:lang w:eastAsia="zh-CN"/>
              </w:rPr>
              <w:t>（</w:t>
            </w:r>
            <w:r>
              <w:rPr>
                <w:rFonts w:hint="eastAsia" w:ascii="宋体" w:hAnsi="宋体" w:eastAsia="宋体" w:cs="宋体"/>
                <w:color w:val="auto"/>
                <w:spacing w:val="6"/>
                <w:kern w:val="48"/>
              </w:rPr>
              <w:t>指按国家有关规定要求注册</w:t>
            </w:r>
            <w:r>
              <w:rPr>
                <w:rFonts w:hint="eastAsia" w:hAnsi="宋体" w:cs="宋体"/>
                <w:color w:val="auto"/>
                <w:spacing w:val="6"/>
                <w:kern w:val="48"/>
                <w:lang w:eastAsia="zh-CN"/>
              </w:rPr>
              <w:t>），</w:t>
            </w:r>
            <w:r>
              <w:rPr>
                <w:rFonts w:hint="eastAsia" w:ascii="宋体" w:hAnsi="宋体" w:eastAsia="宋体" w:cs="宋体"/>
                <w:color w:val="auto"/>
                <w:spacing w:val="6"/>
                <w:kern w:val="48"/>
              </w:rPr>
              <w:t>依法能提供本次采购</w:t>
            </w:r>
            <w:r>
              <w:rPr>
                <w:rFonts w:hint="eastAsia" w:ascii="宋体" w:hAnsi="宋体" w:eastAsia="宋体" w:cs="宋体"/>
                <w:b/>
                <w:bCs/>
                <w:color w:val="auto"/>
                <w:spacing w:val="6"/>
                <w:kern w:val="48"/>
              </w:rPr>
              <w:t>货物、工程和服务</w:t>
            </w:r>
            <w:r>
              <w:rPr>
                <w:rFonts w:hint="eastAsia" w:ascii="宋体" w:hAnsi="宋体" w:eastAsia="宋体" w:cs="宋体"/>
                <w:color w:val="auto"/>
                <w:spacing w:val="6"/>
                <w:kern w:val="48"/>
              </w:rPr>
              <w:t>的供应商</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2</w:t>
            </w:r>
            <w:r>
              <w:rPr>
                <w:rFonts w:hint="eastAsia" w:hAnsi="宋体" w:cs="宋体"/>
                <w:color w:val="auto"/>
                <w:spacing w:val="6"/>
                <w:kern w:val="48"/>
                <w:lang w:eastAsia="zh-CN"/>
              </w:rPr>
              <w:t>）</w:t>
            </w:r>
            <w:r>
              <w:rPr>
                <w:rFonts w:hint="eastAsia" w:ascii="宋体" w:hAnsi="宋体" w:eastAsia="宋体" w:cs="宋体"/>
                <w:color w:val="auto"/>
                <w:spacing w:val="6"/>
                <w:kern w:val="48"/>
              </w:rPr>
              <w:t>具有独立承担民事责任的能力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3</w:t>
            </w:r>
            <w:r>
              <w:rPr>
                <w:rFonts w:hint="eastAsia" w:hAnsi="宋体" w:cs="宋体"/>
                <w:color w:val="auto"/>
                <w:spacing w:val="6"/>
                <w:kern w:val="48"/>
                <w:lang w:eastAsia="zh-CN"/>
              </w:rPr>
              <w:t>）</w:t>
            </w:r>
            <w:r>
              <w:rPr>
                <w:rFonts w:hint="eastAsia" w:ascii="宋体" w:hAnsi="宋体" w:eastAsia="宋体" w:cs="宋体"/>
                <w:color w:val="auto"/>
                <w:spacing w:val="6"/>
                <w:kern w:val="48"/>
              </w:rPr>
              <w:t>具有良好的商业信誉和健全的财务会计制度</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4</w:t>
            </w:r>
            <w:r>
              <w:rPr>
                <w:rFonts w:hint="eastAsia" w:hAnsi="宋体" w:cs="宋体"/>
                <w:color w:val="auto"/>
                <w:spacing w:val="6"/>
                <w:kern w:val="48"/>
                <w:lang w:eastAsia="zh-CN"/>
              </w:rPr>
              <w:t>）</w:t>
            </w:r>
            <w:r>
              <w:rPr>
                <w:rFonts w:hint="eastAsia" w:ascii="宋体" w:hAnsi="宋体" w:eastAsia="宋体" w:cs="宋体"/>
                <w:color w:val="auto"/>
                <w:spacing w:val="6"/>
                <w:kern w:val="48"/>
              </w:rPr>
              <w:t>具有履行合同所必需的设备和专业技术能力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5</w:t>
            </w:r>
            <w:r>
              <w:rPr>
                <w:rFonts w:hint="eastAsia" w:hAnsi="宋体" w:cs="宋体"/>
                <w:color w:val="auto"/>
                <w:spacing w:val="6"/>
                <w:kern w:val="48"/>
                <w:lang w:eastAsia="zh-CN"/>
              </w:rPr>
              <w:t>）</w:t>
            </w:r>
            <w:r>
              <w:rPr>
                <w:rFonts w:hint="eastAsia" w:ascii="宋体" w:hAnsi="宋体" w:eastAsia="宋体" w:cs="宋体"/>
                <w:color w:val="auto"/>
                <w:spacing w:val="6"/>
                <w:kern w:val="48"/>
              </w:rPr>
              <w:t>有依法缴纳税收和社会保障资金的良好记录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6</w:t>
            </w:r>
            <w:r>
              <w:rPr>
                <w:rFonts w:hint="eastAsia" w:hAnsi="宋体" w:cs="宋体"/>
                <w:color w:val="auto"/>
                <w:spacing w:val="6"/>
                <w:kern w:val="48"/>
                <w:lang w:eastAsia="zh-CN"/>
              </w:rPr>
              <w:t>）</w:t>
            </w:r>
            <w:r>
              <w:rPr>
                <w:rFonts w:hint="eastAsia" w:ascii="宋体" w:hAnsi="宋体" w:eastAsia="宋体" w:cs="宋体"/>
                <w:color w:val="auto"/>
                <w:spacing w:val="6"/>
                <w:kern w:val="48"/>
              </w:rPr>
              <w:t>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7</w:t>
            </w:r>
            <w:r>
              <w:rPr>
                <w:rFonts w:hint="eastAsia" w:hAnsi="宋体" w:cs="宋体"/>
                <w:color w:val="auto"/>
                <w:spacing w:val="6"/>
                <w:kern w:val="48"/>
                <w:lang w:eastAsia="zh-CN"/>
              </w:rPr>
              <w:t>）</w:t>
            </w:r>
            <w:r>
              <w:rPr>
                <w:rFonts w:hint="eastAsia" w:ascii="宋体" w:hAnsi="宋体" w:eastAsia="宋体" w:cs="宋体"/>
                <w:color w:val="auto"/>
                <w:spacing w:val="6"/>
                <w:kern w:val="48"/>
              </w:rPr>
              <w:t>法律、行政法规规定的其他条件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2.单位负责人为同一人或者存在直接控股、管理关系的不同供应商</w:t>
            </w:r>
            <w:r>
              <w:rPr>
                <w:rFonts w:hint="eastAsia" w:hAnsi="宋体" w:cs="宋体"/>
                <w:color w:val="auto"/>
                <w:spacing w:val="6"/>
                <w:kern w:val="48"/>
                <w:lang w:eastAsia="zh-CN"/>
              </w:rPr>
              <w:t>，</w:t>
            </w:r>
            <w:r>
              <w:rPr>
                <w:rFonts w:hint="eastAsia" w:ascii="宋体" w:hAnsi="宋体" w:eastAsia="宋体" w:cs="宋体"/>
                <w:color w:val="auto"/>
                <w:spacing w:val="6"/>
                <w:kern w:val="48"/>
              </w:rPr>
              <w:t>不得参加同一合同项下的采购活动。</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3.参加采购活动前三年内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在经营活动中没有重大违法记录和不良信用记录</w:t>
            </w:r>
            <w:r>
              <w:rPr>
                <w:rFonts w:hint="eastAsia" w:hAnsi="宋体" w:cs="宋体"/>
                <w:color w:val="auto"/>
                <w:spacing w:val="6"/>
                <w:kern w:val="48"/>
                <w:lang w:eastAsia="zh-CN"/>
              </w:rPr>
              <w:t>（</w:t>
            </w:r>
            <w:r>
              <w:rPr>
                <w:rFonts w:hint="eastAsia" w:ascii="宋体" w:hAnsi="宋体" w:eastAsia="宋体" w:cs="宋体"/>
                <w:color w:val="auto"/>
                <w:spacing w:val="6"/>
                <w:kern w:val="48"/>
              </w:rPr>
              <w:t>在</w:t>
            </w:r>
            <w:r>
              <w:rPr>
                <w:rFonts w:hint="eastAsia" w:hAnsi="宋体" w:cs="宋体"/>
                <w:color w:val="auto"/>
                <w:spacing w:val="6"/>
                <w:kern w:val="48"/>
                <w:lang w:eastAsia="zh-CN"/>
              </w:rPr>
              <w:t>“</w:t>
            </w:r>
            <w:r>
              <w:rPr>
                <w:rFonts w:hint="eastAsia" w:ascii="宋体" w:hAnsi="宋体" w:eastAsia="宋体" w:cs="宋体"/>
                <w:color w:val="auto"/>
                <w:spacing w:val="6"/>
                <w:kern w:val="48"/>
              </w:rPr>
              <w:t>信用中国</w:t>
            </w:r>
            <w:r>
              <w:rPr>
                <w:rFonts w:hint="eastAsia" w:hAnsi="宋体" w:cs="宋体"/>
                <w:color w:val="auto"/>
                <w:spacing w:val="6"/>
                <w:kern w:val="48"/>
                <w:lang w:eastAsia="zh-CN"/>
              </w:rPr>
              <w:t>”</w:t>
            </w:r>
            <w:r>
              <w:rPr>
                <w:rFonts w:hint="eastAsia" w:ascii="宋体" w:hAnsi="宋体" w:eastAsia="宋体" w:cs="宋体"/>
                <w:color w:val="auto"/>
                <w:spacing w:val="6"/>
                <w:kern w:val="48"/>
              </w:rPr>
              <w:t>网站www.creditchina.gov.cn</w:t>
            </w:r>
            <w:r>
              <w:rPr>
                <w:rFonts w:hint="eastAsia" w:hAnsi="宋体" w:cs="宋体"/>
                <w:color w:val="auto"/>
                <w:spacing w:val="6"/>
                <w:kern w:val="48"/>
                <w:lang w:eastAsia="zh-CN"/>
              </w:rPr>
              <w:t>，</w:t>
            </w:r>
            <w:r>
              <w:rPr>
                <w:rFonts w:hint="eastAsia" w:ascii="宋体" w:hAnsi="宋体" w:eastAsia="宋体" w:cs="宋体"/>
                <w:color w:val="auto"/>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lang w:eastAsia="zh-CN"/>
              </w:rPr>
              <w:t>，</w:t>
            </w:r>
            <w:r>
              <w:rPr>
                <w:rFonts w:hint="eastAsia" w:ascii="宋体" w:hAnsi="宋体" w:eastAsia="宋体" w:cs="宋体"/>
                <w:color w:val="auto"/>
                <w:spacing w:val="6"/>
                <w:kern w:val="48"/>
              </w:rPr>
              <w:t>将被拒绝参与本次采购活动</w:t>
            </w:r>
            <w:r>
              <w:rPr>
                <w:rFonts w:hint="eastAsia" w:hAnsi="宋体" w:cs="宋体"/>
                <w:color w:val="auto"/>
                <w:spacing w:val="6"/>
                <w:kern w:val="48"/>
                <w:lang w:eastAsia="zh-CN"/>
              </w:rPr>
              <w:t>）</w:t>
            </w:r>
            <w:r>
              <w:rPr>
                <w:rFonts w:hint="eastAsia" w:ascii="宋体" w:hAnsi="宋体" w:eastAsia="宋体" w:cs="宋体"/>
                <w:color w:val="auto"/>
                <w:spacing w:val="6"/>
                <w:kern w:val="48"/>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4.本项目的特定资格要求</w:t>
            </w:r>
            <w:r>
              <w:rPr>
                <w:rFonts w:hint="eastAsia" w:hAnsi="宋体" w:cs="宋体"/>
                <w:color w:val="auto"/>
                <w:spacing w:val="6"/>
                <w:kern w:val="48"/>
                <w:lang w:eastAsia="zh-CN"/>
              </w:rPr>
              <w:t>：</w:t>
            </w: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8</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6418" w:type="dxa"/>
            <w:vAlign w:val="center"/>
          </w:tcPr>
          <w:p>
            <w:pPr>
              <w:pStyle w:val="14"/>
              <w:spacing w:line="360" w:lineRule="exact"/>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9</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6418" w:type="dxa"/>
            <w:vAlign w:val="center"/>
          </w:tcPr>
          <w:p>
            <w:pPr>
              <w:pStyle w:val="14"/>
              <w:spacing w:line="360" w:lineRule="exact"/>
              <w:rPr>
                <w:rFonts w:hint="eastAsia"/>
                <w:color w:val="auto"/>
              </w:rPr>
            </w:pPr>
            <w:r>
              <w:rPr>
                <w:rFonts w:hint="eastAsia" w:ascii="宋体" w:hAnsi="宋体" w:eastAsia="宋体" w:cs="宋体"/>
                <w:color w:val="auto"/>
                <w:spacing w:val="6"/>
                <w:kern w:val="48"/>
                <w:sz w:val="21"/>
                <w:szCs w:val="21"/>
                <w:lang w:val="en-US" w:eastAsia="zh-CN" w:bidi="ar-SA"/>
              </w:rPr>
              <w:t>响应文件：</w:t>
            </w:r>
            <w:r>
              <w:rPr>
                <w:rFonts w:hint="eastAsia"/>
                <w:b/>
                <w:bCs/>
                <w:color w:val="auto"/>
              </w:rPr>
              <w:t>正本1份</w:t>
            </w:r>
          </w:p>
          <w:p>
            <w:pPr>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hAnsi="宋体" w:cs="宋体"/>
                <w:color w:val="auto"/>
                <w:lang w:val="en-US" w:eastAsia="zh-CN"/>
              </w:rPr>
            </w:pPr>
            <w:r>
              <w:rPr>
                <w:rFonts w:hint="eastAsia" w:hAnsi="宋体" w:cs="宋体"/>
                <w:color w:val="auto"/>
                <w:lang w:val="en-US" w:eastAsia="zh-CN"/>
              </w:rPr>
              <w:t>10</w:t>
            </w:r>
          </w:p>
        </w:tc>
        <w:tc>
          <w:tcPr>
            <w:tcW w:w="1711"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评审方法</w:t>
            </w:r>
          </w:p>
        </w:tc>
        <w:tc>
          <w:tcPr>
            <w:tcW w:w="6418" w:type="dxa"/>
            <w:vAlign w:val="center"/>
          </w:tcPr>
          <w:p>
            <w:pPr>
              <w:pStyle w:val="14"/>
              <w:spacing w:line="360" w:lineRule="exact"/>
              <w:rPr>
                <w:rFonts w:hint="default" w:ascii="宋体" w:hAnsi="宋体" w:eastAsia="宋体" w:cs="宋体"/>
                <w:color w:val="auto"/>
                <w:lang w:val="en-US" w:eastAsia="zh-CN"/>
              </w:rPr>
            </w:pPr>
            <w:r>
              <w:rPr>
                <w:rFonts w:hint="eastAsia" w:ascii="宋体" w:hAnsi="宋体" w:eastAsia="宋体" w:cs="宋体"/>
                <w:b w:val="0"/>
                <w:bCs w:val="0"/>
                <w:color w:val="auto"/>
                <w:kern w:val="2"/>
                <w:sz w:val="21"/>
                <w:szCs w:val="21"/>
                <w:lang w:val="en-US" w:eastAsia="zh-CN" w:bidi="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11</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竞标有效期</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自竞标截止时间起</w:t>
            </w:r>
            <w:r>
              <w:rPr>
                <w:rFonts w:hint="eastAsia" w:ascii="宋体" w:hAnsi="宋体" w:eastAsia="宋体" w:cs="宋体"/>
                <w:color w:val="auto"/>
                <w:lang w:val="en-US" w:eastAsia="zh-CN"/>
              </w:rPr>
              <w:t>60</w:t>
            </w:r>
            <w:r>
              <w:rPr>
                <w:rFonts w:hint="eastAsia" w:ascii="宋体" w:hAnsi="宋体" w:eastAsia="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12</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竞标保证金金额</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13</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竞标截止时间</w:t>
            </w:r>
          </w:p>
        </w:tc>
        <w:tc>
          <w:tcPr>
            <w:tcW w:w="6418" w:type="dxa"/>
            <w:vAlign w:val="center"/>
          </w:tcPr>
          <w:p>
            <w:pPr>
              <w:pStyle w:val="14"/>
              <w:spacing w:line="360" w:lineRule="exact"/>
              <w:rPr>
                <w:rFonts w:hint="eastAsia" w:ascii="宋体" w:hAnsi="宋体" w:eastAsia="宋体" w:cs="宋体"/>
                <w:color w:val="auto"/>
                <w:szCs w:val="24"/>
              </w:rPr>
            </w:pPr>
            <w:r>
              <w:rPr>
                <w:rFonts w:hint="eastAsia" w:ascii="宋体" w:hAnsi="宋体" w:eastAsia="宋体" w:cs="宋体"/>
                <w:color w:val="auto"/>
                <w:szCs w:val="24"/>
              </w:rPr>
              <w:t>与第一章</w:t>
            </w:r>
            <w:r>
              <w:rPr>
                <w:rFonts w:hint="eastAsia" w:ascii="宋体" w:hAnsi="宋体" w:eastAsia="宋体" w:cs="宋体"/>
                <w:color w:val="auto"/>
                <w:szCs w:val="24"/>
                <w:lang w:val="en-US" w:eastAsia="zh-CN"/>
              </w:rPr>
              <w:t>竞争性磋商</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14</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响应文件提交</w:t>
            </w:r>
          </w:p>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val="en-US" w:eastAsia="zh-CN"/>
              </w:rPr>
              <w:t>和</w:t>
            </w:r>
            <w:r>
              <w:rPr>
                <w:rFonts w:hint="eastAsia" w:ascii="宋体" w:hAnsi="宋体" w:eastAsia="宋体" w:cs="宋体"/>
                <w:color w:val="auto"/>
              </w:rPr>
              <w:t>地点</w:t>
            </w:r>
          </w:p>
        </w:tc>
        <w:tc>
          <w:tcPr>
            <w:tcW w:w="6418" w:type="dxa"/>
            <w:vAlign w:val="center"/>
          </w:tcPr>
          <w:p>
            <w:pPr>
              <w:pStyle w:val="14"/>
              <w:spacing w:line="360" w:lineRule="exact"/>
              <w:rPr>
                <w:rFonts w:hint="eastAsia" w:ascii="宋体" w:hAnsi="宋体" w:eastAsia="宋体" w:cs="宋体"/>
                <w:color w:val="auto"/>
                <w:szCs w:val="24"/>
                <w:lang w:eastAsia="zh-CN"/>
              </w:rPr>
            </w:pPr>
            <w:r>
              <w:rPr>
                <w:rFonts w:hint="eastAsia" w:ascii="宋体" w:hAnsi="宋体" w:eastAsia="宋体" w:cs="宋体"/>
                <w:color w:val="auto"/>
                <w:szCs w:val="24"/>
              </w:rPr>
              <w:t>与第一章</w:t>
            </w:r>
            <w:r>
              <w:rPr>
                <w:rFonts w:hint="eastAsia" w:ascii="宋体" w:hAnsi="宋体" w:eastAsia="宋体" w:cs="宋体"/>
                <w:color w:val="auto"/>
                <w:szCs w:val="24"/>
                <w:lang w:val="en-US" w:eastAsia="zh-CN"/>
              </w:rPr>
              <w:t>竞争性磋商</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地点</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15</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时间和地点</w:t>
            </w:r>
          </w:p>
        </w:tc>
        <w:tc>
          <w:tcPr>
            <w:tcW w:w="6418" w:type="dxa"/>
            <w:vAlign w:val="center"/>
          </w:tcPr>
          <w:p>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default" w:ascii="宋体" w:hAnsi="宋体" w:eastAsia="宋体" w:cs="宋体"/>
                <w:color w:val="auto"/>
                <w:szCs w:val="21"/>
                <w:lang w:val="en-US" w:eastAsia="zh-CN"/>
              </w:rPr>
            </w:pPr>
            <w:r>
              <w:rPr>
                <w:rFonts w:hint="eastAsia" w:hAnsi="宋体" w:cs="宋体"/>
                <w:color w:val="auto"/>
                <w:szCs w:val="21"/>
                <w:lang w:val="en-US" w:eastAsia="zh-CN"/>
              </w:rPr>
              <w:t>16</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需要补充的其他内容</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zCs w:val="21"/>
              </w:rPr>
              <w:t>无</w:t>
            </w:r>
          </w:p>
        </w:tc>
      </w:tr>
    </w:tbl>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2"/>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pPr>
        <w:pStyle w:val="43"/>
        <w:rPr>
          <w:rFonts w:hint="default"/>
          <w:color w:val="auto"/>
        </w:rPr>
      </w:pPr>
      <w:r>
        <w:rPr>
          <w:rFonts w:hint="default"/>
          <w:color w:val="auto"/>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w:t>
      </w:r>
      <w:r>
        <w:rPr>
          <w:rFonts w:hint="eastAsia" w:ascii="宋体" w:hAnsi="宋体" w:eastAsia="宋体" w:cs="宋体"/>
          <w:color w:val="auto"/>
          <w:sz w:val="24"/>
          <w:szCs w:val="24"/>
          <w:lang w:val="en-US" w:bidi="zh-CN"/>
        </w:rPr>
        <w:t>人</w:t>
      </w:r>
      <w:r>
        <w:rPr>
          <w:rFonts w:hint="default" w:ascii="宋体" w:hAnsi="宋体" w:eastAsia="宋体" w:cs="宋体"/>
          <w:color w:val="auto"/>
          <w:sz w:val="24"/>
          <w:szCs w:val="24"/>
          <w:lang w:bidi="zh-CN"/>
        </w:rPr>
        <w:t>：见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采购预算：见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1.4最高限价：</w:t>
      </w:r>
      <w:r>
        <w:rPr>
          <w:rFonts w:hint="default" w:ascii="宋体" w:hAnsi="宋体" w:eastAsia="宋体" w:cs="宋体"/>
          <w:color w:val="auto"/>
          <w:sz w:val="24"/>
          <w:szCs w:val="24"/>
          <w:lang w:bidi="zh-CN"/>
        </w:rPr>
        <w:t>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5</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6</w:t>
      </w:r>
      <w:r>
        <w:rPr>
          <w:rFonts w:hint="default" w:ascii="宋体" w:hAnsi="宋体" w:eastAsia="宋体" w:cs="宋体"/>
          <w:color w:val="auto"/>
          <w:sz w:val="24"/>
          <w:szCs w:val="24"/>
          <w:lang w:bidi="zh-CN"/>
        </w:rPr>
        <w:t>获取竞争性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1.8供应商：是指有能力向采购人提供符合本项目技术规格要求的货物、工程、服务的法人、其他组织和自然人。</w:t>
      </w:r>
    </w:p>
    <w:p>
      <w:pPr>
        <w:pStyle w:val="43"/>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公告、竞争性</w:t>
      </w:r>
      <w:r>
        <w:rPr>
          <w:rFonts w:hint="eastAsia" w:ascii="宋体" w:hAnsi="宋体" w:eastAsia="宋体" w:cs="宋体"/>
          <w:color w:val="auto"/>
          <w:sz w:val="24"/>
          <w:szCs w:val="24"/>
          <w:lang w:bidi="zh-CN"/>
        </w:rPr>
        <w:t>磋商</w:t>
      </w:r>
      <w:r>
        <w:rPr>
          <w:rFonts w:hint="eastAsia" w:ascii="宋体" w:hAnsi="宋体" w:eastAsia="宋体" w:cs="宋体"/>
          <w:color w:val="auto"/>
          <w:sz w:val="24"/>
          <w:szCs w:val="24"/>
          <w:lang w:val="en-US" w:bidi="zh-CN"/>
        </w:rPr>
        <w:t>文件、</w:t>
      </w:r>
      <w:r>
        <w:rPr>
          <w:rFonts w:hint="default" w:ascii="宋体" w:hAnsi="宋体" w:eastAsia="宋体" w:cs="宋体"/>
          <w:color w:val="auto"/>
          <w:sz w:val="24"/>
          <w:szCs w:val="24"/>
          <w:lang w:bidi="zh-CN"/>
        </w:rPr>
        <w:t>成交公告及其更正事项等）将在以下媒体上发布：广西自贸区钦州港片区开发投资集团有限责任公司网站http://www.qzmktjt.com/获取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pPr>
        <w:pStyle w:val="43"/>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3.</w:t>
      </w:r>
      <w:r>
        <w:rPr>
          <w:rFonts w:hint="default" w:ascii="宋体" w:hAnsi="宋体" w:eastAsia="宋体" w:cs="宋体"/>
          <w:color w:val="auto"/>
          <w:sz w:val="24"/>
          <w:szCs w:val="24"/>
          <w:lang w:bidi="zh-CN"/>
        </w:rPr>
        <w:t>供应商</w:t>
      </w:r>
      <w:r>
        <w:rPr>
          <w:rFonts w:hint="default" w:ascii="宋体" w:hAnsi="宋体" w:eastAsia="宋体" w:cs="宋体"/>
          <w:b/>
          <w:bCs/>
          <w:color w:val="auto"/>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3.</w:t>
      </w: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bidi="zh-CN"/>
        </w:rPr>
        <w:t>供应商</w:t>
      </w:r>
      <w:r>
        <w:rPr>
          <w:rFonts w:hint="eastAsia" w:ascii="宋体" w:hAnsi="宋体" w:eastAsia="宋体" w:cs="宋体"/>
          <w:color w:val="auto"/>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color w:val="auto"/>
          <w:sz w:val="24"/>
          <w:szCs w:val="28"/>
          <w:lang w:val="en-US" w:eastAsia="zh-CN" w:bidi="zh-CN"/>
        </w:rPr>
      </w:pPr>
      <w:r>
        <w:rPr>
          <w:rFonts w:hint="default" w:ascii="宋体" w:hAnsi="宋体" w:eastAsia="宋体" w:cs="宋体"/>
          <w:b/>
          <w:bCs/>
          <w:color w:val="auto"/>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pPr>
        <w:pStyle w:val="43"/>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5.1本项目是否接受联合体竞标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5.2如接受联合体竞标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联合体竞标要求详见</w:t>
      </w:r>
      <w:r>
        <w:rPr>
          <w:rFonts w:hint="eastAsia" w:ascii="宋体" w:hAnsi="宋体" w:eastAsia="宋体" w:cs="宋体"/>
          <w:color w:val="auto"/>
          <w:sz w:val="24"/>
          <w:szCs w:val="24"/>
          <w:lang w:val="en-US" w:bidi="zh-CN"/>
        </w:rPr>
        <w:t>第三章供应商须知</w:t>
      </w:r>
      <w:r>
        <w:rPr>
          <w:rFonts w:hint="eastAsia" w:ascii="宋体" w:hAnsi="宋体" w:eastAsia="宋体" w:cs="宋体"/>
          <w:color w:val="auto"/>
          <w:sz w:val="24"/>
          <w:szCs w:val="24"/>
          <w:lang w:bidi="zh-CN"/>
        </w:rPr>
        <w:t>“供应商资格要求”</w:t>
      </w:r>
      <w:r>
        <w:rPr>
          <w:rFonts w:hint="default" w:ascii="宋体" w:hAnsi="宋体" w:eastAsia="宋体" w:cs="宋体"/>
          <w:color w:val="auto"/>
          <w:sz w:val="24"/>
          <w:szCs w:val="24"/>
          <w:lang w:bidi="zh-CN"/>
        </w:rPr>
        <w:t>。</w:t>
      </w:r>
    </w:p>
    <w:p>
      <w:pPr>
        <w:pStyle w:val="43"/>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pPr>
        <w:pStyle w:val="43"/>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pPr>
        <w:pStyle w:val="43"/>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pPr>
        <w:pStyle w:val="43"/>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有下列情形之一的，属于相互串通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w:t>
      </w:r>
      <w:r>
        <w:rPr>
          <w:rFonts w:hint="default" w:ascii="宋体" w:hAnsi="宋体" w:eastAsia="宋体" w:cs="宋体"/>
          <w:color w:val="auto"/>
          <w:sz w:val="24"/>
          <w:szCs w:val="24"/>
          <w:lang w:val="en-US" w:eastAsia="zh-CN" w:bidi="zh-CN"/>
        </w:rPr>
        <w:t>有下列情形之一的，视为</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9.2.1</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9.2.2</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委托同一单位或者个人办理</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9.2.3</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9.2.4</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9.2.5</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9.2.6</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的其他情形</w:t>
      </w:r>
      <w:r>
        <w:rPr>
          <w:rFonts w:hint="default" w:ascii="宋体" w:hAnsi="宋体" w:eastAsia="宋体" w:cs="宋体"/>
          <w:color w:val="auto"/>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9.3.8联合体竞标未附联合体各方共同投标协议的。</w:t>
      </w:r>
    </w:p>
    <w:p>
      <w:pPr>
        <w:pStyle w:val="43"/>
        <w:rPr>
          <w:rFonts w:hint="default" w:cs="宋体"/>
          <w:b/>
          <w:bCs/>
          <w:color w:val="auto"/>
          <w:sz w:val="24"/>
          <w:szCs w:val="28"/>
          <w:lang w:val="en-US" w:eastAsia="zh-CN" w:bidi="zh-CN"/>
        </w:rPr>
      </w:pPr>
      <w:r>
        <w:rPr>
          <w:rFonts w:hint="eastAsia" w:cs="宋体"/>
          <w:b/>
          <w:bCs/>
          <w:color w:val="auto"/>
          <w:sz w:val="24"/>
          <w:szCs w:val="28"/>
          <w:lang w:val="en-US" w:eastAsia="zh-CN" w:bidi="zh-CN"/>
        </w:rPr>
        <w:t>10.</w:t>
      </w:r>
      <w:r>
        <w:rPr>
          <w:rFonts w:hint="default" w:cs="宋体"/>
          <w:b/>
          <w:bCs/>
          <w:color w:val="auto"/>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10.1</w:t>
      </w:r>
      <w:r>
        <w:rPr>
          <w:rFonts w:hint="default" w:ascii="宋体" w:hAnsi="宋体" w:eastAsia="宋体" w:cs="宋体"/>
          <w:color w:val="auto"/>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10.2</w:t>
      </w:r>
      <w:r>
        <w:rPr>
          <w:rFonts w:hint="default" w:ascii="宋体" w:hAnsi="宋体" w:eastAsia="宋体" w:cs="宋体"/>
          <w:color w:val="auto"/>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10.3</w:t>
      </w:r>
      <w:r>
        <w:rPr>
          <w:rFonts w:hint="default" w:ascii="宋体" w:hAnsi="宋体" w:eastAsia="宋体" w:cs="宋体"/>
          <w:color w:val="auto"/>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10.4</w:t>
      </w:r>
      <w:r>
        <w:rPr>
          <w:rFonts w:hint="default" w:ascii="宋体" w:hAnsi="宋体" w:eastAsia="宋体" w:cs="宋体"/>
          <w:color w:val="auto"/>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10.5</w:t>
      </w:r>
      <w:r>
        <w:rPr>
          <w:rFonts w:hint="default" w:ascii="宋体" w:hAnsi="宋体" w:eastAsia="宋体" w:cs="宋体"/>
          <w:color w:val="auto"/>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color w:val="auto"/>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pPr>
        <w:pStyle w:val="43"/>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11</w:t>
      </w:r>
      <w:r>
        <w:rPr>
          <w:rFonts w:hint="default" w:ascii="宋体" w:hAnsi="宋体" w:eastAsia="宋体" w:cs="宋体"/>
          <w:b/>
          <w:bCs/>
          <w:color w:val="auto"/>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竞争性磋商</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文件作出实质性响应。</w:t>
      </w:r>
    </w:p>
    <w:p>
      <w:pPr>
        <w:pStyle w:val="43"/>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ascii="宋体" w:hAnsi="宋体" w:eastAsia="宋体" w:cs="宋体"/>
          <w:b/>
          <w:bCs/>
          <w:color w:val="auto"/>
          <w:sz w:val="24"/>
          <w:szCs w:val="28"/>
          <w:lang w:val="en-US" w:bidi="zh-CN"/>
        </w:rPr>
        <w:t>2</w:t>
      </w:r>
      <w:r>
        <w:rPr>
          <w:rFonts w:hint="default" w:ascii="宋体" w:hAnsi="宋体" w:eastAsia="宋体" w:cs="宋体"/>
          <w:b/>
          <w:bCs/>
          <w:color w:val="auto"/>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pPr>
        <w:pStyle w:val="43"/>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13.</w:t>
      </w:r>
      <w:r>
        <w:rPr>
          <w:rFonts w:hint="default" w:ascii="宋体" w:hAnsi="宋体" w:eastAsia="宋体" w:cs="宋体"/>
          <w:color w:val="auto"/>
          <w:lang w:bidi="zh-CN"/>
        </w:rPr>
        <w:t>响应文件编制的要求</w:t>
      </w:r>
    </w:p>
    <w:p>
      <w:pPr>
        <w:numPr>
          <w:ilvl w:val="0"/>
          <w:numId w:val="0"/>
        </w:numPr>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14.</w:t>
      </w:r>
      <w:r>
        <w:rPr>
          <w:rFonts w:hint="default" w:ascii="宋体" w:hAnsi="宋体" w:eastAsia="宋体" w:cs="宋体"/>
          <w:color w:val="auto"/>
          <w:lang w:bidi="zh-CN"/>
        </w:rPr>
        <w:t>响应文件的密封和标记</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项目名称、项目编号、供应商名称、所竞分标、首次响应文件提交截止时间前不得启封</w:t>
      </w:r>
      <w:r>
        <w:rPr>
          <w:rFonts w:hint="default" w:ascii="宋体" w:hAnsi="宋体" w:eastAsia="宋体" w:cs="宋体"/>
          <w:color w:val="auto"/>
          <w:sz w:val="24"/>
          <w:szCs w:val="24"/>
          <w:lang w:bidi="zh-CN"/>
        </w:rPr>
        <w:t>”字样。</w:t>
      </w:r>
    </w:p>
    <w:p>
      <w:pPr>
        <w:numPr>
          <w:ilvl w:val="0"/>
          <w:numId w:val="0"/>
        </w:numPr>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.3未按上述规定密封的响应文件将被拒收。</w:t>
      </w:r>
    </w:p>
    <w:p>
      <w:pPr>
        <w:pStyle w:val="43"/>
        <w:numPr>
          <w:ilvl w:val="0"/>
          <w:numId w:val="0"/>
        </w:numPr>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15.</w:t>
      </w:r>
      <w:r>
        <w:rPr>
          <w:rFonts w:hint="default" w:ascii="宋体" w:hAnsi="宋体" w:eastAsia="宋体" w:cs="宋体"/>
          <w:color w:val="auto"/>
          <w:lang w:bidi="zh-CN"/>
        </w:rPr>
        <w:t>响应文件的提交</w:t>
      </w:r>
    </w:p>
    <w:p>
      <w:pPr>
        <w:pStyle w:val="43"/>
        <w:numPr>
          <w:ilvl w:val="-1"/>
          <w:numId w:val="0"/>
        </w:numPr>
        <w:ind w:firstLine="480" w:firstLineChars="200"/>
        <w:rPr>
          <w:rFonts w:hint="eastAsia" w:ascii="宋体" w:hAnsi="宋体" w:eastAsia="宋体" w:cs="宋体"/>
          <w:b/>
          <w:bCs/>
          <w:color w:val="auto"/>
          <w:sz w:val="24"/>
          <w:szCs w:val="24"/>
          <w:lang w:val="en-US" w:eastAsia="zh-CN" w:bidi="zh-CN"/>
        </w:rPr>
      </w:pPr>
      <w:r>
        <w:rPr>
          <w:rFonts w:hint="default" w:ascii="宋体" w:hAnsi="宋体" w:eastAsia="宋体" w:cs="宋体"/>
          <w:b w:val="0"/>
          <w:bCs w:val="0"/>
          <w:color w:val="auto"/>
          <w:sz w:val="24"/>
          <w:szCs w:val="24"/>
          <w:lang w:bidi="zh-CN"/>
        </w:rPr>
        <w:t>供应商必须在“供应商须知前附表”规定的时间和地点提交响应文件。</w:t>
      </w:r>
      <w:r>
        <w:rPr>
          <w:rFonts w:hint="eastAsia" w:ascii="宋体" w:hAnsi="宋体" w:eastAsia="宋体" w:cs="宋体"/>
          <w:b/>
          <w:bCs/>
          <w:color w:val="auto"/>
          <w:sz w:val="24"/>
          <w:szCs w:val="24"/>
          <w:lang w:val="en-US" w:eastAsia="zh-CN" w:bidi="zh-CN"/>
        </w:rPr>
        <w:br w:type="page"/>
      </w:r>
    </w:p>
    <w:p>
      <w:pPr>
        <w:pStyle w:val="41"/>
        <w:rPr>
          <w:rFonts w:hint="eastAsia"/>
          <w:color w:val="auto"/>
          <w:lang w:val="en-US" w:eastAsia="zh-CN"/>
        </w:rPr>
      </w:pPr>
      <w:r>
        <w:rPr>
          <w:rFonts w:hint="eastAsia"/>
          <w:color w:val="auto"/>
          <w:lang w:val="en-US" w:eastAsia="zh-CN"/>
        </w:rPr>
        <w:t>第四章  评审办法</w:t>
      </w:r>
    </w:p>
    <w:p>
      <w:pPr>
        <w:pStyle w:val="43"/>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16.</w:t>
      </w:r>
      <w:r>
        <w:rPr>
          <w:rFonts w:hint="eastAsia" w:cs="宋体"/>
          <w:color w:val="auto"/>
          <w:lang w:val="en-US" w:eastAsia="zh-CN" w:bidi="zh-CN"/>
        </w:rPr>
        <w:t>磋商</w:t>
      </w:r>
      <w:r>
        <w:rPr>
          <w:rFonts w:hint="eastAsia" w:ascii="宋体" w:hAnsi="宋体" w:eastAsia="宋体" w:cs="宋体"/>
          <w:color w:val="auto"/>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本采购项目的磋商小组分别由依法组成的评审专家、采购人代表等三人以上单数组成，其中专家人数不少于成员总数的三分之二。</w:t>
      </w:r>
    </w:p>
    <w:p>
      <w:pPr>
        <w:pStyle w:val="43"/>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43"/>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合评分法法进行评审。磋商小组将以采购文件、响应文件为评审依据，以满足采购文件全部实质性要求且最终得分最高的原则确定成交供应商。评审得分相同的，按照最后报价由低到高的顺序推荐。评审得分且最后报价相同的，则按照按实施方案得分高低顺序推荐。</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kern w:val="2"/>
          <w:sz w:val="24"/>
          <w:szCs w:val="24"/>
          <w:lang w:val="en-US" w:eastAsia="zh-CN" w:bidi="zh-CN"/>
        </w:rPr>
      </w:pPr>
    </w:p>
    <w:p>
      <w:pPr>
        <w:pStyle w:val="43"/>
        <w:numPr>
          <w:ilvl w:val="0"/>
          <w:numId w:val="0"/>
        </w:numPr>
        <w:rPr>
          <w:rFonts w:hint="eastAsia" w:cs="宋体"/>
          <w:color w:val="auto"/>
          <w:lang w:val="en-US" w:eastAsia="zh-CN" w:bidi="zh-CN"/>
        </w:rPr>
      </w:pPr>
      <w:r>
        <w:rPr>
          <w:rFonts w:hint="eastAsia" w:cs="宋体"/>
          <w:color w:val="auto"/>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bCs/>
          <w:i w:val="0"/>
          <w:iCs w:val="0"/>
          <w:caps w:val="0"/>
          <w:color w:val="auto"/>
          <w:spacing w:val="0"/>
          <w:sz w:val="21"/>
          <w:szCs w:val="21"/>
          <w:shd w:val="clear" w:fill="FFFFFF"/>
          <w:lang w:eastAsia="zh-CN"/>
        </w:rPr>
      </w:pPr>
      <w:r>
        <w:rPr>
          <w:rFonts w:hint="eastAsia"/>
          <w:color w:val="auto"/>
          <w:lang w:val="en-US" w:eastAsia="zh-CN"/>
        </w:rPr>
        <w:br w:type="page"/>
      </w:r>
      <w:r>
        <w:rPr>
          <w:rFonts w:hint="eastAsia" w:ascii="宋体" w:hAnsi="宋体" w:eastAsia="宋体" w:cs="宋体"/>
          <w:b/>
          <w:bCs/>
          <w:color w:val="auto"/>
          <w:kern w:val="2"/>
          <w:sz w:val="32"/>
          <w:szCs w:val="32"/>
          <w:lang w:val="en-US" w:eastAsia="zh-CN" w:bidi="ar-SA"/>
        </w:rPr>
        <w:t xml:space="preserve">第五章 </w:t>
      </w:r>
      <w:r>
        <w:rPr>
          <w:rFonts w:hint="default" w:ascii="宋体" w:hAnsi="宋体" w:eastAsia="宋体" w:cs="宋体"/>
          <w:b/>
          <w:bCs/>
          <w:color w:val="auto"/>
          <w:kern w:val="2"/>
          <w:sz w:val="32"/>
          <w:szCs w:val="32"/>
          <w:lang w:eastAsia="zh-CN" w:bidi="ar-SA"/>
        </w:rPr>
        <w:t>评分标准</w:t>
      </w:r>
    </w:p>
    <w:p>
      <w:pPr>
        <w:pStyle w:val="43"/>
        <w:numPr>
          <w:ilvl w:val="0"/>
          <w:numId w:val="0"/>
        </w:numPr>
        <w:rPr>
          <w:rFonts w:hint="eastAsia" w:cs="宋体"/>
          <w:color w:val="auto"/>
          <w:lang w:val="en-US" w:eastAsia="zh-CN" w:bidi="zh-CN"/>
        </w:rPr>
      </w:pPr>
      <w:r>
        <w:rPr>
          <w:rFonts w:hint="eastAsia" w:cs="宋体"/>
          <w:color w:val="auto"/>
          <w:lang w:val="en-US" w:eastAsia="zh-CN" w:bidi="zh-CN"/>
        </w:rPr>
        <w:t>20.综合评分法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评审委员会对满足磋商文件实质性要求的响应文件，按照本章第21款规定的评分标准进行打分，并按得分由高到低顺序推荐成交候选人。评审得分相同的，按照最后报价由低到高的顺序推荐。评审得分且最后报价相同的，则按照按实施方案得分高低顺序推荐。</w:t>
      </w:r>
    </w:p>
    <w:p>
      <w:pPr>
        <w:pStyle w:val="43"/>
        <w:numPr>
          <w:ilvl w:val="0"/>
          <w:numId w:val="0"/>
        </w:numPr>
        <w:rPr>
          <w:rFonts w:hint="eastAsia" w:cs="宋体"/>
          <w:color w:val="auto"/>
          <w:lang w:val="en-US" w:eastAsia="zh-CN" w:bidi="zh-CN"/>
        </w:rPr>
      </w:pPr>
      <w:bookmarkStart w:id="0" w:name="_Toc179632608"/>
      <w:bookmarkStart w:id="1" w:name="_Toc144974557"/>
      <w:bookmarkStart w:id="2" w:name="_Toc152045590"/>
      <w:bookmarkStart w:id="3" w:name="_Toc152042367"/>
      <w:bookmarkStart w:id="4" w:name="_Toc13168"/>
      <w:bookmarkStart w:id="5" w:name="_Toc369951717"/>
      <w:r>
        <w:rPr>
          <w:rFonts w:hint="eastAsia" w:cs="宋体"/>
          <w:color w:val="auto"/>
          <w:lang w:val="en-US" w:eastAsia="zh-CN" w:bidi="zh-CN"/>
        </w:rPr>
        <w:t>21. 评审标准</w:t>
      </w:r>
      <w:bookmarkEnd w:id="0"/>
      <w:bookmarkEnd w:id="1"/>
      <w:bookmarkEnd w:id="2"/>
      <w:bookmarkEnd w:id="3"/>
      <w:bookmarkEnd w:id="4"/>
      <w:bookmarkEnd w:id="5"/>
    </w:p>
    <w:p>
      <w:pPr>
        <w:pStyle w:val="43"/>
        <w:numPr>
          <w:ilvl w:val="0"/>
          <w:numId w:val="0"/>
        </w:numPr>
        <w:rPr>
          <w:rFonts w:hint="eastAsia" w:cs="宋体"/>
          <w:color w:val="auto"/>
          <w:lang w:val="en-US" w:eastAsia="zh-CN" w:bidi="zh-CN"/>
        </w:rPr>
      </w:pPr>
      <w:bookmarkStart w:id="6" w:name="_Toc179632609"/>
      <w:bookmarkStart w:id="7" w:name="_Toc369951718"/>
      <w:bookmarkStart w:id="8" w:name="_Toc144974558"/>
      <w:bookmarkStart w:id="9" w:name="_Toc152045591"/>
      <w:bookmarkStart w:id="10" w:name="_Toc7104"/>
      <w:bookmarkStart w:id="11" w:name="_Toc152042368"/>
      <w:r>
        <w:rPr>
          <w:rFonts w:hint="eastAsia" w:cs="宋体"/>
          <w:color w:val="auto"/>
          <w:lang w:val="en-US" w:eastAsia="zh-CN" w:bidi="zh-CN"/>
        </w:rPr>
        <w:t>21.1 初步评审标准</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2.1.1 资格评审标准：见评审办法表。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2.1.2 形式评审标准：见评审办法表。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2.1.3 响应性评审标准：见评审办法表。</w:t>
      </w:r>
    </w:p>
    <w:p>
      <w:pPr>
        <w:pStyle w:val="43"/>
        <w:numPr>
          <w:ilvl w:val="0"/>
          <w:numId w:val="0"/>
        </w:numPr>
        <w:rPr>
          <w:rFonts w:hint="eastAsia" w:cs="宋体"/>
          <w:color w:val="auto"/>
          <w:lang w:val="en-US" w:eastAsia="zh-CN" w:bidi="zh-CN"/>
        </w:rPr>
      </w:pPr>
      <w:bookmarkStart w:id="12" w:name="_Toc152045592"/>
      <w:bookmarkStart w:id="13" w:name="_Toc179632610"/>
      <w:bookmarkStart w:id="14" w:name="_Toc369951719"/>
      <w:bookmarkStart w:id="15" w:name="_Toc152042369"/>
      <w:bookmarkStart w:id="16" w:name="_Toc144974559"/>
      <w:bookmarkStart w:id="17" w:name="_Toc10873"/>
      <w:r>
        <w:rPr>
          <w:rFonts w:hint="eastAsia" w:cs="宋体"/>
          <w:color w:val="auto"/>
          <w:lang w:val="en-US" w:eastAsia="zh-CN" w:bidi="zh-CN"/>
        </w:rPr>
        <w:t>21.2 详细评审标准</w:t>
      </w:r>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见评审办法表。</w:t>
      </w:r>
    </w:p>
    <w:p>
      <w:pPr>
        <w:tabs>
          <w:tab w:val="left" w:pos="1080"/>
        </w:tabs>
        <w:spacing w:line="360" w:lineRule="exact"/>
        <w:jc w:val="center"/>
        <w:rPr>
          <w:rFonts w:hint="eastAsia" w:ascii="宋体" w:hAnsi="宋体" w:eastAsiaTheme="minorEastAsia"/>
          <w:b/>
          <w:color w:val="auto"/>
          <w:sz w:val="24"/>
          <w:lang w:eastAsia="zh-CN"/>
        </w:rPr>
      </w:pPr>
      <w:r>
        <w:rPr>
          <w:rFonts w:hint="eastAsia" w:ascii="宋体" w:hAnsi="宋体"/>
          <w:b/>
          <w:color w:val="auto"/>
          <w:sz w:val="24"/>
        </w:rPr>
        <w:t>评</w:t>
      </w:r>
      <w:r>
        <w:rPr>
          <w:rFonts w:hint="eastAsia" w:ascii="宋体" w:hAnsi="宋体"/>
          <w:b/>
          <w:color w:val="auto"/>
          <w:sz w:val="24"/>
          <w:lang w:val="en-US" w:eastAsia="zh-CN"/>
        </w:rPr>
        <w:t>审</w:t>
      </w:r>
      <w:r>
        <w:rPr>
          <w:rFonts w:hint="eastAsia" w:ascii="宋体" w:hAnsi="宋体"/>
          <w:b/>
          <w:color w:val="auto"/>
          <w:sz w:val="24"/>
        </w:rPr>
        <w:t>办法</w:t>
      </w:r>
      <w:r>
        <w:rPr>
          <w:rFonts w:hint="eastAsia" w:ascii="宋体" w:hAnsi="宋体"/>
          <w:b/>
          <w:color w:val="auto"/>
          <w:sz w:val="24"/>
          <w:lang w:eastAsia="zh-CN"/>
        </w:rPr>
        <w:t>表</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9"/>
        <w:gridCol w:w="189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pPr>
              <w:pStyle w:val="44"/>
              <w:spacing w:line="360" w:lineRule="auto"/>
              <w:jc w:val="center"/>
              <w:rPr>
                <w:rFonts w:hint="eastAsia" w:ascii="宋体" w:hAnsi="宋体" w:eastAsia="宋体" w:cs="宋体"/>
                <w:b/>
                <w:color w:val="auto"/>
              </w:rPr>
            </w:pPr>
            <w:r>
              <w:rPr>
                <w:rFonts w:hint="eastAsia" w:ascii="宋体" w:hAnsi="宋体" w:eastAsia="宋体" w:cs="宋体"/>
                <w:b/>
                <w:color w:val="auto"/>
                <w:sz w:val="21"/>
              </w:rPr>
              <w:t>条款号</w:t>
            </w:r>
          </w:p>
        </w:tc>
        <w:tc>
          <w:tcPr>
            <w:tcW w:w="1309" w:type="dxa"/>
            <w:vAlign w:val="center"/>
          </w:tcPr>
          <w:p>
            <w:pPr>
              <w:pStyle w:val="44"/>
              <w:spacing w:line="360" w:lineRule="auto"/>
              <w:jc w:val="center"/>
              <w:rPr>
                <w:rFonts w:hint="eastAsia" w:ascii="宋体" w:hAnsi="宋体" w:eastAsia="宋体" w:cs="宋体"/>
                <w:b/>
                <w:color w:val="auto"/>
              </w:rPr>
            </w:pPr>
            <w:r>
              <w:rPr>
                <w:rFonts w:hint="eastAsia" w:ascii="宋体" w:hAnsi="宋体" w:eastAsia="宋体" w:cs="宋体"/>
                <w:b/>
                <w:color w:val="auto"/>
                <w:sz w:val="21"/>
              </w:rPr>
              <w:t>评审因素</w:t>
            </w:r>
          </w:p>
        </w:tc>
        <w:tc>
          <w:tcPr>
            <w:tcW w:w="6602" w:type="dxa"/>
            <w:gridSpan w:val="2"/>
            <w:vAlign w:val="center"/>
          </w:tcPr>
          <w:p>
            <w:pPr>
              <w:pStyle w:val="27"/>
              <w:spacing w:line="360" w:lineRule="auto"/>
              <w:ind w:firstLine="812"/>
              <w:jc w:val="center"/>
              <w:rPr>
                <w:rFonts w:hint="eastAsia" w:ascii="宋体" w:hAnsi="宋体" w:eastAsia="宋体" w:cs="宋体"/>
                <w:b/>
                <w:color w:val="auto"/>
                <w:lang w:val="en-US" w:eastAsia="zh-CN"/>
              </w:rPr>
            </w:pPr>
            <w:r>
              <w:rPr>
                <w:rFonts w:hint="eastAsia" w:ascii="宋体" w:hAnsi="宋体" w:eastAsia="宋体" w:cs="宋体"/>
                <w:b/>
                <w:color w:val="auto"/>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75" w:type="dxa"/>
            <w:vMerge w:val="restart"/>
            <w:vAlign w:val="center"/>
          </w:tcPr>
          <w:p>
            <w:pPr>
              <w:pStyle w:val="27"/>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2.1.1</w:t>
            </w:r>
          </w:p>
        </w:tc>
        <w:tc>
          <w:tcPr>
            <w:tcW w:w="1309" w:type="dxa"/>
            <w:vMerge w:val="restart"/>
            <w:vAlign w:val="center"/>
          </w:tcPr>
          <w:p>
            <w:pPr>
              <w:pStyle w:val="27"/>
              <w:spacing w:line="360" w:lineRule="auto"/>
              <w:ind w:left="0" w:leftChars="0" w:firstLine="0" w:firstLineChars="0"/>
              <w:jc w:val="both"/>
              <w:rPr>
                <w:rFonts w:hint="eastAsia" w:ascii="宋体" w:hAnsi="宋体" w:eastAsia="宋体" w:cs="宋体"/>
                <w:b/>
                <w:color w:val="auto"/>
                <w:lang w:val="en-US" w:eastAsia="zh-CN"/>
              </w:rPr>
            </w:pPr>
            <w:r>
              <w:rPr>
                <w:rFonts w:hint="eastAsia" w:ascii="宋体" w:hAnsi="宋体" w:eastAsia="宋体" w:cs="宋体"/>
                <w:color w:val="auto"/>
                <w:sz w:val="21"/>
                <w:szCs w:val="24"/>
                <w:lang w:val="en-US" w:eastAsia="zh-CN"/>
              </w:rPr>
              <w:t>资格评审标准</w:t>
            </w:r>
          </w:p>
        </w:tc>
        <w:tc>
          <w:tcPr>
            <w:tcW w:w="1899" w:type="dxa"/>
            <w:vAlign w:val="center"/>
          </w:tcPr>
          <w:p>
            <w:pPr>
              <w:pStyle w:val="44"/>
              <w:spacing w:line="360" w:lineRule="auto"/>
              <w:jc w:val="center"/>
              <w:rPr>
                <w:rFonts w:hint="eastAsia" w:ascii="宋体" w:hAnsi="宋体" w:eastAsia="宋体" w:cs="宋体"/>
                <w:b/>
                <w:color w:val="auto"/>
              </w:rPr>
            </w:pPr>
            <w:r>
              <w:rPr>
                <w:rFonts w:hint="eastAsia" w:ascii="宋体" w:hAnsi="宋体" w:eastAsia="宋体" w:cs="宋体"/>
                <w:color w:val="auto"/>
                <w:sz w:val="21"/>
              </w:rPr>
              <w:t>营业执照</w:t>
            </w:r>
          </w:p>
        </w:tc>
        <w:tc>
          <w:tcPr>
            <w:tcW w:w="4703" w:type="dxa"/>
            <w:vAlign w:val="center"/>
          </w:tcPr>
          <w:p>
            <w:pPr>
              <w:pStyle w:val="44"/>
              <w:spacing w:line="360" w:lineRule="auto"/>
              <w:rPr>
                <w:rFonts w:hint="eastAsia" w:ascii="宋体" w:hAnsi="宋体" w:eastAsia="宋体" w:cs="宋体"/>
                <w:b/>
                <w:color w:val="auto"/>
              </w:rPr>
            </w:pPr>
            <w:r>
              <w:rPr>
                <w:rFonts w:hint="eastAsia" w:ascii="宋体" w:hAnsi="宋体" w:eastAsia="宋体" w:cs="宋体"/>
                <w:color w:val="auto"/>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center"/>
          </w:tcPr>
          <w:p>
            <w:pPr>
              <w:pStyle w:val="27"/>
              <w:spacing w:line="360" w:lineRule="auto"/>
              <w:ind w:firstLine="918"/>
              <w:jc w:val="center"/>
              <w:rPr>
                <w:rFonts w:hint="eastAsia" w:ascii="宋体" w:hAnsi="宋体" w:eastAsia="宋体" w:cs="宋体"/>
                <w:b/>
                <w:color w:val="auto"/>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法定代表人身份证明及授权</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center"/>
          </w:tcPr>
          <w:p>
            <w:pPr>
              <w:pStyle w:val="27"/>
              <w:spacing w:line="360" w:lineRule="auto"/>
              <w:ind w:firstLine="918"/>
              <w:jc w:val="center"/>
              <w:rPr>
                <w:rFonts w:hint="eastAsia" w:ascii="宋体" w:hAnsi="宋体" w:eastAsia="宋体" w:cs="宋体"/>
                <w:b/>
                <w:color w:val="auto"/>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诚信</w:t>
            </w:r>
          </w:p>
        </w:tc>
        <w:tc>
          <w:tcPr>
            <w:tcW w:w="4703" w:type="dxa"/>
            <w:vAlign w:val="center"/>
          </w:tcPr>
          <w:p>
            <w:pPr>
              <w:pStyle w:val="44"/>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未被“信用中国”（www.creditchina.gov.cn）、中国政府采购网（www.ccgp.gov.cn）列入失信被执行人、重大税收违法案件当事人名单、政府采购严重违法失信行为记录名单。</w:t>
            </w:r>
          </w:p>
          <w:p>
            <w:pPr>
              <w:pStyle w:val="44"/>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[供应商参加政府采购活动前三年内在经营活动中没有重大违法记录或不良信用记录的书面声明</w:t>
            </w:r>
            <w:r>
              <w:rPr>
                <w:rFonts w:hint="eastAsia" w:ascii="宋体" w:hAnsi="宋体" w:eastAsia="宋体" w:cs="宋体"/>
                <w:color w:val="auto"/>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2.1.2</w:t>
            </w:r>
          </w:p>
        </w:tc>
        <w:tc>
          <w:tcPr>
            <w:tcW w:w="1309" w:type="dxa"/>
            <w:vMerge w:val="restart"/>
            <w:vAlign w:val="center"/>
          </w:tcPr>
          <w:p>
            <w:pPr>
              <w:pStyle w:val="27"/>
              <w:spacing w:line="360" w:lineRule="auto"/>
              <w:ind w:left="0" w:leftChars="0" w:firstLine="0" w:firstLineChars="0"/>
              <w:jc w:val="both"/>
              <w:rPr>
                <w:rFonts w:hint="eastAsia" w:ascii="宋体" w:hAnsi="宋体" w:eastAsia="宋体" w:cs="宋体"/>
                <w:b/>
                <w:color w:val="auto"/>
                <w:lang w:val="en-US" w:eastAsia="zh-CN"/>
              </w:rPr>
            </w:pPr>
            <w:r>
              <w:rPr>
                <w:rFonts w:hint="eastAsia" w:ascii="宋体" w:hAnsi="宋体" w:eastAsia="宋体" w:cs="宋体"/>
                <w:color w:val="auto"/>
                <w:sz w:val="21"/>
                <w:szCs w:val="24"/>
                <w:lang w:val="en-US" w:eastAsia="zh-CN"/>
              </w:rPr>
              <w:t>形式评审标准</w:t>
            </w: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供应商名称</w:t>
            </w:r>
          </w:p>
        </w:tc>
        <w:tc>
          <w:tcPr>
            <w:tcW w:w="4703" w:type="dxa"/>
            <w:vAlign w:val="center"/>
          </w:tcPr>
          <w:p>
            <w:pPr>
              <w:pStyle w:val="44"/>
              <w:spacing w:line="360" w:lineRule="auto"/>
              <w:rPr>
                <w:rFonts w:hint="default" w:ascii="宋体" w:hAnsi="宋体" w:eastAsia="宋体" w:cs="宋体"/>
                <w:color w:val="auto"/>
                <w:sz w:val="21"/>
                <w:lang w:val="en-US" w:eastAsia="zh-CN"/>
              </w:rPr>
            </w:pPr>
            <w:r>
              <w:rPr>
                <w:rFonts w:hint="eastAsia" w:ascii="宋体" w:hAnsi="宋体" w:eastAsia="宋体" w:cs="宋体"/>
                <w:color w:val="auto"/>
                <w:sz w:val="21"/>
              </w:rPr>
              <w:t>与营业执照、资质证书、安全生产许可证一致</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响应文件</w:t>
            </w:r>
            <w:r>
              <w:rPr>
                <w:rFonts w:hint="eastAsia" w:ascii="宋体" w:hAnsi="宋体" w:eastAsia="宋体" w:cs="宋体"/>
                <w:color w:val="auto"/>
                <w:sz w:val="21"/>
              </w:rPr>
              <w:t>签字盖章</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法定代表人</w:t>
            </w:r>
            <w:r>
              <w:rPr>
                <w:rFonts w:hint="eastAsia" w:ascii="宋体" w:hAnsi="宋体" w:eastAsia="宋体" w:cs="宋体"/>
                <w:color w:val="auto"/>
                <w:sz w:val="21"/>
                <w:lang w:val="en-US" w:eastAsia="zh-CN"/>
              </w:rPr>
              <w:t>签字、或委托代理人签字</w:t>
            </w:r>
            <w:r>
              <w:rPr>
                <w:rFonts w:hint="eastAsia" w:ascii="宋体" w:hAnsi="宋体" w:eastAsia="宋体" w:cs="宋体"/>
                <w:color w:val="auto"/>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报价唯一</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2.1.3</w:t>
            </w:r>
          </w:p>
        </w:tc>
        <w:tc>
          <w:tcPr>
            <w:tcW w:w="1309" w:type="dxa"/>
            <w:vMerge w:val="restart"/>
            <w:vAlign w:val="center"/>
          </w:tcPr>
          <w:p>
            <w:pPr>
              <w:pStyle w:val="27"/>
              <w:spacing w:line="360" w:lineRule="auto"/>
              <w:ind w:left="0" w:leftChars="0" w:firstLine="0" w:firstLineChars="0"/>
              <w:jc w:val="both"/>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响应性评审标准</w:t>
            </w: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竞</w:t>
            </w:r>
            <w:r>
              <w:rPr>
                <w:rFonts w:hint="eastAsia" w:ascii="宋体" w:hAnsi="宋体" w:eastAsia="宋体" w:cs="宋体"/>
                <w:color w:val="auto"/>
                <w:sz w:val="21"/>
              </w:rPr>
              <w:t>标内容</w:t>
            </w:r>
          </w:p>
        </w:tc>
        <w:tc>
          <w:tcPr>
            <w:tcW w:w="4703" w:type="dxa"/>
            <w:vAlign w:val="center"/>
          </w:tcPr>
          <w:p>
            <w:pPr>
              <w:pStyle w:val="44"/>
              <w:spacing w:line="360" w:lineRule="auto"/>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工期</w:t>
            </w:r>
          </w:p>
        </w:tc>
        <w:tc>
          <w:tcPr>
            <w:tcW w:w="4703" w:type="dxa"/>
            <w:vAlign w:val="center"/>
          </w:tcPr>
          <w:p>
            <w:pPr>
              <w:pStyle w:val="44"/>
              <w:spacing w:line="360"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rPr>
              <w:t>质量</w:t>
            </w:r>
            <w:r>
              <w:rPr>
                <w:rFonts w:hint="eastAsia" w:ascii="宋体" w:hAnsi="宋体" w:eastAsia="宋体" w:cs="宋体"/>
                <w:color w:val="auto"/>
                <w:sz w:val="21"/>
                <w:lang w:val="en-US" w:eastAsia="zh-CN"/>
              </w:rPr>
              <w:t>标准</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lang w:val="en-US" w:eastAsia="zh-CN"/>
              </w:rPr>
              <w:t>合格且</w:t>
            </w:r>
            <w:r>
              <w:rPr>
                <w:rFonts w:hint="eastAsia" w:ascii="宋体" w:hAnsi="宋体" w:eastAsia="宋体" w:cs="宋体"/>
                <w:color w:val="auto"/>
                <w:sz w:val="21"/>
              </w:rPr>
              <w:t>符合</w:t>
            </w:r>
            <w:r>
              <w:rPr>
                <w:rFonts w:hint="eastAsia" w:ascii="宋体" w:hAnsi="宋体" w:eastAsia="宋体" w:cs="宋体"/>
                <w:color w:val="auto"/>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竞</w:t>
            </w:r>
            <w:r>
              <w:rPr>
                <w:rFonts w:hint="eastAsia" w:ascii="宋体" w:hAnsi="宋体" w:eastAsia="宋体" w:cs="宋体"/>
                <w:color w:val="auto"/>
                <w:sz w:val="21"/>
              </w:rPr>
              <w:t>标有效期</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权利义务</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竞标响应表中的相关承诺符合或优于第二章“采购需求”</w:t>
            </w:r>
            <w:r>
              <w:rPr>
                <w:rFonts w:hint="eastAsia" w:ascii="宋体" w:hAnsi="宋体" w:eastAsia="宋体" w:cs="宋体"/>
                <w:color w:val="auto"/>
                <w:sz w:val="21"/>
                <w:lang w:val="en-US" w:eastAsia="zh-CN"/>
              </w:rPr>
              <w:t>及</w:t>
            </w:r>
            <w:r>
              <w:rPr>
                <w:rFonts w:hint="eastAsia" w:ascii="宋体" w:hAnsi="宋体" w:eastAsia="宋体" w:cs="宋体"/>
                <w:color w:val="auto"/>
                <w:sz w:val="21"/>
              </w:rPr>
              <w:t>第</w:t>
            </w:r>
            <w:r>
              <w:rPr>
                <w:rFonts w:hint="eastAsia" w:ascii="宋体" w:hAnsi="宋体" w:eastAsia="宋体" w:cs="宋体"/>
                <w:color w:val="auto"/>
                <w:sz w:val="21"/>
                <w:lang w:eastAsia="zh-CN"/>
              </w:rPr>
              <w:t>七</w:t>
            </w:r>
            <w:r>
              <w:rPr>
                <w:rFonts w:hint="eastAsia" w:ascii="宋体" w:hAnsi="宋体" w:eastAsia="宋体" w:cs="宋体"/>
                <w:color w:val="auto"/>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磋商报价</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低于（含等于）</w:t>
            </w:r>
            <w:r>
              <w:rPr>
                <w:rFonts w:hint="eastAsia" w:ascii="宋体" w:hAnsi="宋体" w:eastAsia="宋体" w:cs="宋体"/>
                <w:color w:val="auto"/>
                <w:sz w:val="21"/>
                <w:lang w:val="en-US" w:eastAsia="zh-CN"/>
              </w:rPr>
              <w:t>采购</w:t>
            </w:r>
            <w:r>
              <w:rPr>
                <w:rFonts w:hint="eastAsia" w:ascii="宋体" w:hAnsi="宋体" w:eastAsia="宋体" w:cs="宋体"/>
                <w:color w:val="auto"/>
                <w:sz w:val="21"/>
              </w:rPr>
              <w:t>人公布的</w:t>
            </w:r>
            <w:r>
              <w:rPr>
                <w:rFonts w:hint="eastAsia" w:ascii="宋体" w:hAnsi="宋体" w:eastAsia="宋体" w:cs="宋体"/>
                <w:color w:val="auto"/>
                <w:sz w:val="21"/>
                <w:lang w:val="en-US" w:eastAsia="zh-CN"/>
              </w:rPr>
              <w:t>最高上限</w:t>
            </w:r>
            <w:r>
              <w:rPr>
                <w:rFonts w:hint="eastAsia" w:ascii="宋体" w:hAnsi="宋体" w:eastAsia="宋体" w:cs="宋体"/>
                <w:color w:val="auto"/>
                <w:sz w:val="21"/>
              </w:rPr>
              <w:t>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已标价工程量清单</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4"/>
              <w:spacing w:line="360" w:lineRule="auto"/>
              <w:rPr>
                <w:rFonts w:hint="eastAsia" w:ascii="宋体" w:hAnsi="宋体" w:eastAsia="宋体" w:cs="宋体"/>
                <w:color w:val="auto"/>
                <w:spacing w:val="89"/>
                <w:sz w:val="21"/>
              </w:rPr>
            </w:pPr>
            <w:r>
              <w:rPr>
                <w:rFonts w:hint="eastAsia" w:ascii="宋体" w:hAnsi="宋体" w:eastAsia="宋体" w:cs="宋体"/>
                <w:b/>
                <w:color w:val="auto"/>
                <w:sz w:val="21"/>
              </w:rPr>
              <w:t>合格标准：以上缺少任何一项或有任何一项不合格者，其评审结果视为不合格。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2.2</w:t>
            </w:r>
          </w:p>
        </w:tc>
        <w:tc>
          <w:tcPr>
            <w:tcW w:w="130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详细评审</w:t>
            </w:r>
          </w:p>
        </w:tc>
        <w:tc>
          <w:tcPr>
            <w:tcW w:w="6602" w:type="dxa"/>
            <w:gridSpan w:val="2"/>
            <w:vAlign w:val="center"/>
          </w:tcPr>
          <w:p>
            <w:pPr>
              <w:pStyle w:val="44"/>
              <w:spacing w:line="360" w:lineRule="auto"/>
              <w:rPr>
                <w:rFonts w:hint="eastAsia" w:ascii="宋体" w:hAnsi="宋体" w:eastAsia="宋体" w:cs="宋体"/>
                <w:b/>
                <w:color w:val="auto"/>
                <w:sz w:val="21"/>
              </w:rPr>
            </w:pPr>
            <w:r>
              <w:rPr>
                <w:rFonts w:hint="eastAsia" w:ascii="宋体" w:hAnsi="宋体" w:eastAsia="宋体" w:cs="宋体"/>
                <w:b/>
                <w:color w:val="auto"/>
                <w:sz w:val="21"/>
              </w:rPr>
              <w:t>通过资格审查的合格供应商，只有通过了形式评审和响应性评审，才能进入详细评审程序。</w:t>
            </w:r>
          </w:p>
          <w:p>
            <w:pPr>
              <w:tabs>
                <w:tab w:val="left" w:pos="1080"/>
              </w:tabs>
              <w:spacing w:line="360" w:lineRule="auto"/>
              <w:rPr>
                <w:rFonts w:hint="eastAsia" w:ascii="宋体" w:hAnsi="宋体" w:eastAsia="宋体" w:cs="宋体"/>
                <w:color w:val="auto"/>
              </w:rPr>
            </w:pPr>
            <w:r>
              <w:rPr>
                <w:rFonts w:hint="eastAsia" w:ascii="宋体" w:hAnsi="宋体" w:eastAsia="宋体" w:cs="宋体"/>
                <w:color w:val="auto"/>
                <w:szCs w:val="21"/>
              </w:rPr>
              <w:t>分值构成（总分100分）其中：</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Cs w:val="21"/>
                <w:lang w:bidi="ar"/>
              </w:rPr>
              <w:t>（1）技术分：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 xml:space="preserve">0分 </w:t>
            </w:r>
          </w:p>
          <w:p>
            <w:pPr>
              <w:widowControl/>
              <w:spacing w:line="360" w:lineRule="auto"/>
              <w:jc w:val="left"/>
              <w:rPr>
                <w:rFonts w:hint="eastAsia" w:ascii="宋体" w:hAnsi="宋体" w:eastAsia="宋体" w:cs="宋体"/>
                <w:b/>
                <w:color w:val="auto"/>
              </w:rPr>
            </w:pPr>
            <w:r>
              <w:rPr>
                <w:rFonts w:hint="eastAsia" w:ascii="宋体" w:hAnsi="宋体" w:eastAsia="宋体" w:cs="宋体"/>
                <w:color w:val="auto"/>
                <w:kern w:val="0"/>
                <w:szCs w:val="21"/>
                <w:lang w:bidi="ar"/>
              </w:rPr>
              <w:t>（2）商务分：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2.2.1</w:t>
            </w:r>
          </w:p>
        </w:tc>
        <w:tc>
          <w:tcPr>
            <w:tcW w:w="1309" w:type="dxa"/>
            <w:vMerge w:val="restart"/>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技术分</w:t>
            </w: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0分）</w:t>
            </w:r>
          </w:p>
        </w:tc>
        <w:tc>
          <w:tcPr>
            <w:tcW w:w="1899" w:type="dxa"/>
            <w:vAlign w:val="center"/>
          </w:tcPr>
          <w:p>
            <w:pPr>
              <w:tabs>
                <w:tab w:val="left" w:pos="1080"/>
              </w:tabs>
              <w:spacing w:line="360" w:lineRule="auto"/>
              <w:rPr>
                <w:rFonts w:hint="eastAsia" w:ascii="宋体" w:hAnsi="宋体" w:eastAsia="宋体" w:cs="宋体"/>
                <w:color w:val="auto"/>
              </w:rPr>
            </w:pPr>
            <w:r>
              <w:rPr>
                <w:rFonts w:hint="eastAsia" w:ascii="宋体" w:hAnsi="宋体" w:eastAsia="宋体" w:cs="宋体"/>
                <w:color w:val="auto"/>
                <w:szCs w:val="21"/>
              </w:rPr>
              <w:t>1、总体概述（施工程序总体设想）（满分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0分）</w:t>
            </w:r>
          </w:p>
        </w:tc>
        <w:tc>
          <w:tcPr>
            <w:tcW w:w="4703"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分)：对项目认识不足，表述不清晰，措施不具体；施工段划分不合理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得3分</w:t>
            </w:r>
            <w:r>
              <w:rPr>
                <w:rFonts w:hint="eastAsia" w:ascii="宋体" w:hAnsi="宋体" w:eastAsia="宋体" w:cs="宋体"/>
                <w:color w:val="auto"/>
                <w:szCs w:val="21"/>
              </w:rPr>
              <w:t>。</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分)：对项目总体有认识，措施一般但部分不具体：施工段划分较合理，符合规范要求</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得10分</w:t>
            </w:r>
            <w:r>
              <w:rPr>
                <w:rFonts w:hint="eastAsia" w:ascii="宋体" w:hAnsi="宋体" w:eastAsia="宋体" w:cs="宋体"/>
                <w:color w:val="auto"/>
                <w:szCs w:val="21"/>
              </w:rPr>
              <w:t>。</w:t>
            </w:r>
          </w:p>
          <w:p>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分)：对项目总体有深刻认识，表述清晰、完整、严谨、合理，措施先进、具体、有效、成熟，采用了已论证的新技术、新工艺、新材料、新设备；施工段划分呼应总体表述，划分清晰、合理，符合规范要求</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得20分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tabs>
                <w:tab w:val="left" w:pos="1080"/>
              </w:tabs>
              <w:spacing w:line="360" w:lineRule="auto"/>
              <w:jc w:val="center"/>
              <w:rPr>
                <w:rFonts w:hint="eastAsia" w:ascii="宋体" w:hAnsi="宋体" w:eastAsia="宋体" w:cs="宋体"/>
                <w:color w:val="auto"/>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kern w:val="0"/>
                <w:szCs w:val="21"/>
              </w:rPr>
              <w:t>施工进度</w:t>
            </w:r>
            <w:r>
              <w:rPr>
                <w:rFonts w:hint="eastAsia" w:ascii="宋体" w:hAnsi="宋体" w:eastAsia="宋体" w:cs="宋体"/>
                <w:color w:val="auto"/>
                <w:kern w:val="0"/>
                <w:szCs w:val="21"/>
                <w:lang w:val="en-US" w:eastAsia="zh-CN"/>
              </w:rPr>
              <w:t>安排</w:t>
            </w:r>
            <w:r>
              <w:rPr>
                <w:rFonts w:hint="eastAsia" w:ascii="宋体" w:hAnsi="宋体" w:eastAsia="宋体" w:cs="宋体"/>
                <w:color w:val="auto"/>
                <w:szCs w:val="21"/>
                <w:lang w:val="en-US" w:eastAsia="zh-CN"/>
              </w:rPr>
              <w:t>及符合性</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tc>
        <w:tc>
          <w:tcPr>
            <w:tcW w:w="4703" w:type="dxa"/>
            <w:vAlign w:val="top"/>
          </w:tcPr>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工期计划安排不合理、不可行，工序安排不合理，工期大于40天，不符合工程要求，得2分</w:t>
            </w:r>
            <w:r>
              <w:rPr>
                <w:rFonts w:hint="eastAsia" w:ascii="宋体" w:hAnsi="宋体" w:eastAsia="宋体" w:cs="宋体"/>
                <w:color w:val="auto"/>
                <w:szCs w:val="21"/>
              </w:rPr>
              <w:t>。</w:t>
            </w:r>
          </w:p>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8.0</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工期计划安排基本合理、可行，工序安排合理，工期在31-40天，基本符合工程要求，得8分</w:t>
            </w:r>
            <w:r>
              <w:rPr>
                <w:rFonts w:hint="eastAsia" w:ascii="宋体" w:hAnsi="宋体" w:eastAsia="宋体" w:cs="宋体"/>
                <w:color w:val="auto"/>
                <w:szCs w:val="21"/>
              </w:rPr>
              <w:t>。</w:t>
            </w:r>
          </w:p>
          <w:p>
            <w:pPr>
              <w:tabs>
                <w:tab w:val="left" w:pos="1080"/>
              </w:tabs>
              <w:spacing w:line="360" w:lineRule="auto"/>
              <w:ind w:firstLine="105" w:firstLineChars="50"/>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15.0</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工期计划安排合理、可行，工序安排合理，工期在30天以内，符合工程要求，得15分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tabs>
                <w:tab w:val="left" w:pos="1080"/>
              </w:tabs>
              <w:spacing w:line="360" w:lineRule="auto"/>
              <w:jc w:val="center"/>
              <w:rPr>
                <w:rFonts w:hint="eastAsia" w:ascii="宋体" w:hAnsi="宋体" w:eastAsia="宋体" w:cs="宋体"/>
                <w:color w:val="auto"/>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技术与服务支持</w:t>
            </w:r>
            <w:r>
              <w:rPr>
                <w:rFonts w:hint="eastAsia" w:ascii="宋体" w:hAnsi="宋体" w:eastAsia="宋体" w:cs="宋体"/>
                <w:color w:val="auto"/>
                <w:kern w:val="0"/>
                <w:szCs w:val="21"/>
              </w:rPr>
              <w:t>（满分</w:t>
            </w:r>
            <w:r>
              <w:rPr>
                <w:rFonts w:hint="eastAsia" w:ascii="宋体" w:hAnsi="宋体" w:eastAsia="宋体" w:cs="宋体"/>
                <w:color w:val="auto"/>
                <w:kern w:val="0"/>
                <w:szCs w:val="21"/>
                <w:lang w:val="en-US" w:eastAsia="zh-CN"/>
              </w:rPr>
              <w:t>15</w:t>
            </w:r>
            <w:r>
              <w:rPr>
                <w:rFonts w:hint="eastAsia" w:ascii="宋体" w:hAnsi="宋体" w:eastAsia="宋体" w:cs="宋体"/>
                <w:color w:val="auto"/>
                <w:kern w:val="0"/>
                <w:szCs w:val="21"/>
              </w:rPr>
              <w:t>分）</w:t>
            </w:r>
          </w:p>
        </w:tc>
        <w:tc>
          <w:tcPr>
            <w:tcW w:w="4703" w:type="dxa"/>
            <w:vAlign w:val="top"/>
          </w:tcPr>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差(0分)：没有提供技术咨询、技术培训或没有承诺提供售后服务或没有明确服务内容，不得分。</w:t>
            </w:r>
          </w:p>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8</w:t>
            </w:r>
            <w:r>
              <w:rPr>
                <w:rFonts w:hint="eastAsia" w:ascii="宋体" w:hAnsi="宋体" w:eastAsia="宋体" w:cs="宋体"/>
                <w:color w:val="auto"/>
                <w:szCs w:val="21"/>
              </w:rPr>
              <w:t>.0分)：提供技术咨询、技术培训，但内容和形式较为简洁（</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分）；紧急问题平均响应时间&lt;4小时，问题解决时间&lt;48小时，服务支持仅提供特定时间（</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分）；承诺提供售后服务，明确服务内容，服务天数少于18个月（</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tabs>
                <w:tab w:val="left" w:pos="1080"/>
              </w:tabs>
              <w:spacing w:line="360" w:lineRule="auto"/>
              <w:ind w:firstLine="105" w:firstLineChars="50"/>
              <w:rPr>
                <w:rFonts w:hint="eastAsia" w:ascii="宋体" w:hAnsi="宋体" w:eastAsia="宋体" w:cs="宋体"/>
                <w:color w:val="auto"/>
                <w:spacing w:val="89"/>
              </w:rPr>
            </w:pPr>
            <w:r>
              <w:rPr>
                <w:rFonts w:hint="eastAsia" w:ascii="宋体" w:hAnsi="宋体" w:eastAsia="宋体" w:cs="宋体"/>
                <w:color w:val="auto"/>
                <w:szCs w:val="21"/>
              </w:rPr>
              <w:t>优(15.0分)：提供全面、详细</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技术咨询、培训计划</w:t>
            </w:r>
            <w:r>
              <w:rPr>
                <w:rFonts w:hint="eastAsia" w:ascii="宋体" w:hAnsi="宋体" w:eastAsia="宋体" w:cs="宋体"/>
                <w:color w:val="auto"/>
                <w:szCs w:val="21"/>
                <w:lang w:val="en-US" w:eastAsia="zh-CN"/>
              </w:rPr>
              <w:t>及相关</w:t>
            </w:r>
            <w:r>
              <w:rPr>
                <w:rFonts w:hint="eastAsia" w:ascii="宋体" w:hAnsi="宋体" w:eastAsia="宋体" w:cs="宋体"/>
                <w:color w:val="auto"/>
                <w:szCs w:val="21"/>
              </w:rPr>
              <w:t>资料（5分）；紧急问题平均响应时间&lt;2小时，问题解决时间&lt;24小时，提供7×24小时全天候技术支持、多渠道响应（5分）；承诺提供售后服务，明确服务内容，服务天数超过18个月（5分）。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75" w:type="dxa"/>
            <w:vMerge w:val="restart"/>
            <w:vAlign w:val="center"/>
          </w:tcPr>
          <w:p>
            <w:pPr>
              <w:tabs>
                <w:tab w:val="left" w:pos="1080"/>
              </w:tabs>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2.2.2</w:t>
            </w:r>
          </w:p>
        </w:tc>
        <w:tc>
          <w:tcPr>
            <w:tcW w:w="1309" w:type="dxa"/>
            <w:vMerge w:val="restart"/>
            <w:vAlign w:val="center"/>
          </w:tcPr>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商务分</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5</w:t>
            </w:r>
            <w:r>
              <w:rPr>
                <w:rFonts w:hint="eastAsia" w:ascii="宋体" w:hAnsi="宋体" w:eastAsia="宋体" w:cs="宋体"/>
                <w:color w:val="auto"/>
                <w:szCs w:val="21"/>
              </w:rPr>
              <w:t>0分）</w:t>
            </w:r>
          </w:p>
        </w:tc>
        <w:tc>
          <w:tcPr>
            <w:tcW w:w="1899" w:type="dxa"/>
            <w:vAlign w:val="center"/>
          </w:tcPr>
          <w:p>
            <w:pPr>
              <w:tabs>
                <w:tab w:val="left" w:pos="1080"/>
              </w:tabs>
              <w:spacing w:line="360" w:lineRule="auto"/>
              <w:rPr>
                <w:rFonts w:hint="eastAsia" w:ascii="宋体" w:hAnsi="宋体" w:eastAsia="宋体" w:cs="宋体"/>
                <w:color w:val="auto"/>
                <w:spacing w:val="89"/>
                <w:sz w:val="21"/>
              </w:rPr>
            </w:pPr>
            <w:r>
              <w:rPr>
                <w:rFonts w:hint="eastAsia" w:ascii="宋体" w:hAnsi="宋体" w:eastAsia="宋体" w:cs="宋体"/>
                <w:color w:val="auto"/>
                <w:szCs w:val="21"/>
                <w:lang w:val="en-US" w:eastAsia="zh-CN"/>
              </w:rPr>
              <w:t>磋商</w:t>
            </w:r>
            <w:r>
              <w:rPr>
                <w:rFonts w:hint="eastAsia" w:ascii="宋体" w:hAnsi="宋体" w:eastAsia="宋体" w:cs="宋体"/>
                <w:color w:val="auto"/>
                <w:szCs w:val="21"/>
              </w:rPr>
              <w:t>基准价计算方法</w:t>
            </w:r>
          </w:p>
        </w:tc>
        <w:tc>
          <w:tcPr>
            <w:tcW w:w="4703" w:type="dxa"/>
            <w:vAlign w:val="center"/>
          </w:tcPr>
          <w:p>
            <w:pPr>
              <w:tabs>
                <w:tab w:val="left" w:pos="1080"/>
              </w:tabs>
              <w:spacing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val="en-US" w:eastAsia="zh-CN"/>
              </w:rPr>
              <w:t>磋商</w:t>
            </w:r>
            <w:r>
              <w:rPr>
                <w:rFonts w:hint="eastAsia" w:ascii="宋体" w:hAnsi="宋体" w:eastAsia="宋体" w:cs="宋体"/>
                <w:color w:val="auto"/>
                <w:szCs w:val="21"/>
              </w:rPr>
              <w:t>基准价的确定：</w:t>
            </w:r>
          </w:p>
          <w:p>
            <w:pPr>
              <w:tabs>
                <w:tab w:val="left" w:pos="1080"/>
              </w:tabs>
              <w:spacing w:line="360" w:lineRule="auto"/>
              <w:ind w:firstLine="0" w:firstLineChars="0"/>
              <w:rPr>
                <w:rFonts w:hint="eastAsia" w:ascii="宋体" w:hAnsi="宋体" w:eastAsia="宋体" w:cs="宋体"/>
                <w:color w:val="auto"/>
                <w:spacing w:val="89"/>
                <w:sz w:val="21"/>
              </w:rPr>
            </w:pPr>
            <w:r>
              <w:rPr>
                <w:rFonts w:hint="eastAsia" w:ascii="宋体" w:hAnsi="宋体" w:eastAsia="宋体" w:cs="宋体"/>
                <w:b/>
                <w:color w:val="auto"/>
                <w:szCs w:val="21"/>
              </w:rPr>
              <w:t>1.除初步评审为废标之外，供应商的最低报价即为磋商基准价。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auto"/>
              <w:jc w:val="center"/>
              <w:rPr>
                <w:rFonts w:hint="eastAsia" w:ascii="宋体" w:hAnsi="宋体" w:eastAsia="宋体" w:cs="宋体"/>
                <w:color w:val="auto"/>
                <w:szCs w:val="21"/>
              </w:rPr>
            </w:pPr>
          </w:p>
        </w:tc>
        <w:tc>
          <w:tcPr>
            <w:tcW w:w="1309" w:type="dxa"/>
            <w:vMerge w:val="continue"/>
            <w:vAlign w:val="top"/>
          </w:tcPr>
          <w:p>
            <w:pPr>
              <w:tabs>
                <w:tab w:val="left" w:pos="1080"/>
              </w:tabs>
              <w:spacing w:line="360" w:lineRule="auto"/>
              <w:rPr>
                <w:rFonts w:hint="eastAsia" w:ascii="宋体" w:hAnsi="宋体" w:eastAsia="宋体" w:cs="宋体"/>
                <w:color w:val="auto"/>
                <w:szCs w:val="21"/>
              </w:rPr>
            </w:pPr>
          </w:p>
        </w:tc>
        <w:tc>
          <w:tcPr>
            <w:tcW w:w="1899" w:type="dxa"/>
            <w:vAlign w:val="center"/>
          </w:tcPr>
          <w:p>
            <w:pPr>
              <w:tabs>
                <w:tab w:val="left" w:pos="1080"/>
              </w:tabs>
              <w:spacing w:line="360" w:lineRule="auto"/>
              <w:rPr>
                <w:rFonts w:hint="eastAsia" w:ascii="宋体" w:hAnsi="宋体" w:eastAsia="宋体" w:cs="宋体"/>
                <w:b/>
                <w:color w:val="auto"/>
                <w:szCs w:val="21"/>
              </w:rPr>
            </w:pPr>
            <w:r>
              <w:rPr>
                <w:rFonts w:hint="eastAsia" w:ascii="宋体" w:hAnsi="宋体" w:eastAsia="宋体" w:cs="宋体"/>
                <w:color w:val="auto"/>
                <w:szCs w:val="21"/>
                <w:lang w:val="en-US" w:eastAsia="zh-CN"/>
              </w:rPr>
              <w:t>价格</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35</w:t>
            </w:r>
            <w:r>
              <w:rPr>
                <w:rFonts w:hint="eastAsia" w:ascii="宋体" w:hAnsi="宋体" w:eastAsia="宋体" w:cs="宋体"/>
                <w:color w:val="auto"/>
                <w:szCs w:val="21"/>
              </w:rPr>
              <w:t>分）</w:t>
            </w:r>
          </w:p>
        </w:tc>
        <w:tc>
          <w:tcPr>
            <w:tcW w:w="4703" w:type="dxa"/>
            <w:vAlign w:val="center"/>
          </w:tcPr>
          <w:p>
            <w:pPr>
              <w:tabs>
                <w:tab w:val="left" w:pos="108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1"/>
                <w:szCs w:val="21"/>
              </w:rPr>
              <w:t>报价得分=（评标基准价/某供应商报价）×价格权值</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auto"/>
              <w:jc w:val="center"/>
              <w:rPr>
                <w:rFonts w:hint="eastAsia" w:ascii="宋体" w:hAnsi="宋体" w:eastAsia="宋体" w:cs="宋体"/>
                <w:color w:val="auto"/>
                <w:szCs w:val="21"/>
              </w:rPr>
            </w:pPr>
          </w:p>
        </w:tc>
        <w:tc>
          <w:tcPr>
            <w:tcW w:w="1309" w:type="dxa"/>
            <w:vMerge w:val="continue"/>
            <w:vAlign w:val="center"/>
          </w:tcPr>
          <w:p>
            <w:pPr>
              <w:widowControl/>
              <w:tabs>
                <w:tab w:val="left" w:pos="1080"/>
              </w:tabs>
              <w:spacing w:line="360" w:lineRule="auto"/>
              <w:jc w:val="left"/>
              <w:rPr>
                <w:rFonts w:hint="eastAsia" w:ascii="宋体" w:hAnsi="宋体" w:eastAsia="宋体" w:cs="宋体"/>
                <w:bCs w:val="0"/>
                <w:color w:val="auto"/>
                <w:kern w:val="2"/>
                <w:sz w:val="21"/>
                <w:szCs w:val="21"/>
                <w:lang w:val="en-US" w:eastAsia="zh-CN" w:bidi="ar-SA"/>
              </w:rPr>
            </w:pPr>
          </w:p>
        </w:tc>
        <w:tc>
          <w:tcPr>
            <w:tcW w:w="1899" w:type="dxa"/>
            <w:vAlign w:val="top"/>
          </w:tcPr>
          <w:p>
            <w:pPr>
              <w:tabs>
                <w:tab w:val="left" w:pos="1080"/>
              </w:tabs>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bCs w:val="0"/>
                <w:color w:val="auto"/>
                <w:szCs w:val="21"/>
              </w:rPr>
              <w:t>信誉业绩</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tc>
        <w:tc>
          <w:tcPr>
            <w:tcW w:w="4703" w:type="dxa"/>
            <w:vAlign w:val="top"/>
          </w:tcPr>
          <w:p>
            <w:pPr>
              <w:tabs>
                <w:tab w:val="left" w:pos="1080"/>
              </w:tabs>
              <w:spacing w:line="360" w:lineRule="auto"/>
              <w:ind w:firstLine="0" w:firstLineChars="0"/>
              <w:jc w:val="left"/>
              <w:outlineLvl w:val="0"/>
              <w:rPr>
                <w:rFonts w:hint="eastAsia" w:ascii="宋体" w:hAnsi="宋体" w:eastAsia="宋体" w:cs="宋体"/>
                <w:color w:val="auto"/>
                <w:szCs w:val="21"/>
              </w:rPr>
            </w:pPr>
            <w:r>
              <w:rPr>
                <w:rFonts w:hint="eastAsia" w:ascii="宋体" w:hAnsi="宋体" w:eastAsia="宋体" w:cs="宋体"/>
                <w:color w:val="auto"/>
                <w:szCs w:val="21"/>
                <w:lang w:val="en-US" w:eastAsia="zh-CN"/>
              </w:rPr>
              <w:t>竞</w:t>
            </w:r>
            <w:r>
              <w:rPr>
                <w:rFonts w:hint="eastAsia" w:ascii="宋体" w:hAnsi="宋体" w:eastAsia="宋体" w:cs="宋体"/>
                <w:color w:val="auto"/>
                <w:szCs w:val="21"/>
              </w:rPr>
              <w:t>标人自20</w:t>
            </w:r>
            <w:r>
              <w:rPr>
                <w:rFonts w:hint="eastAsia" w:ascii="宋体" w:hAnsi="宋体" w:eastAsia="宋体" w:cs="宋体"/>
                <w:color w:val="auto"/>
                <w:szCs w:val="21"/>
                <w:lang w:val="en-US" w:eastAsia="zh-CN"/>
              </w:rPr>
              <w:t>19</w:t>
            </w:r>
            <w:r>
              <w:rPr>
                <w:rFonts w:hint="eastAsia" w:ascii="宋体" w:hAnsi="宋体" w:eastAsia="宋体" w:cs="宋体"/>
                <w:color w:val="auto"/>
                <w:szCs w:val="21"/>
              </w:rPr>
              <w:t>年以来具有同类项目业绩的，提供证明材料（提供合同关键页复印件，或中标通知书，体现项目名称、金额、采购内容等信息，加盖公章），每项得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p>
    <w:p>
      <w:pPr>
        <w:pStyle w:val="41"/>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color w:val="auto"/>
          <w:lang w:val="en-US" w:eastAsia="zh-CN"/>
        </w:rPr>
      </w:pPr>
      <w:r>
        <w:rPr>
          <w:rFonts w:hint="eastAsia"/>
          <w:color w:val="auto"/>
          <w:lang w:val="en-US" w:eastAsia="zh-CN"/>
        </w:rPr>
        <w:t>第六章  响应文件格式</w:t>
      </w:r>
    </w:p>
    <w:p>
      <w:pPr>
        <w:rPr>
          <w:rFonts w:hint="eastAsia"/>
          <w:color w:val="auto"/>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pPr>
        <w:rPr>
          <w:rFonts w:hint="eastAsia" w:ascii="宋体" w:hAnsi="宋体" w:eastAsia="宋体" w:cs="宋体"/>
          <w:b w:val="0"/>
          <w:bCs w:val="0"/>
          <w:color w:val="auto"/>
          <w:sz w:val="32"/>
          <w:szCs w:val="32"/>
          <w:lang w:val="en-US" w:eastAsia="zh-CN"/>
        </w:rPr>
      </w:pP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所竞分标：</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pPr>
        <w:ind w:firstLine="1500" w:firstLineChars="5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pPr>
        <w:rPr>
          <w:rFonts w:hint="eastAsia"/>
          <w:color w:val="auto"/>
          <w:lang w:val="en-US" w:eastAsia="zh-CN"/>
        </w:rPr>
      </w:pPr>
      <w:r>
        <w:rPr>
          <w:rFonts w:hint="eastAsia"/>
          <w:color w:val="auto"/>
          <w:lang w:val="en-US" w:eastAsia="zh-CN"/>
        </w:rPr>
        <w:br w:type="page"/>
      </w:r>
    </w:p>
    <w:p>
      <w:pPr>
        <w:spacing w:line="360" w:lineRule="auto"/>
        <w:rPr>
          <w:rFonts w:hint="eastAsia" w:ascii="宋体" w:hAnsi="宋体" w:eastAsia="宋体" w:cs="宋体"/>
          <w:b w:val="0"/>
          <w:bCs w:val="0"/>
          <w:color w:val="auto"/>
          <w:sz w:val="32"/>
          <w:szCs w:val="32"/>
        </w:rPr>
      </w:pPr>
      <w:bookmarkStart w:id="18" w:name="_Toc31728084"/>
      <w:bookmarkStart w:id="19" w:name="_Toc30694"/>
      <w:bookmarkStart w:id="20" w:name="_Toc31723070"/>
      <w:bookmarkStart w:id="21" w:name="_Toc35611438"/>
      <w:bookmarkStart w:id="22" w:name="_Toc35611516"/>
      <w:bookmarkStart w:id="23" w:name="_Toc44229899"/>
      <w:r>
        <w:rPr>
          <w:rFonts w:hint="eastAsia" w:ascii="宋体" w:hAnsi="宋体" w:eastAsia="宋体" w:cs="宋体"/>
          <w:b w:val="0"/>
          <w:bCs w:val="0"/>
          <w:color w:val="auto"/>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7"/>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pPr>
        <w:spacing w:line="360" w:lineRule="auto"/>
        <w:rPr>
          <w:rFonts w:hint="eastAsia"/>
          <w:color w:val="auto"/>
        </w:rPr>
      </w:pPr>
      <w:r>
        <w:rPr>
          <w:rFonts w:hint="eastAsia" w:ascii="宋体" w:hAnsi="宋体" w:eastAsia="宋体" w:cs="宋体"/>
          <w:b w:val="0"/>
          <w:bCs w:val="0"/>
          <w:color w:val="auto"/>
          <w:sz w:val="32"/>
          <w:szCs w:val="32"/>
        </w:rPr>
        <w:t>根据磋商文件规定及供应商提供的材料自行编写目录（部分格式后附）</w:t>
      </w:r>
      <w:r>
        <w:rPr>
          <w:rFonts w:hint="eastAsia"/>
          <w:color w:val="auto"/>
        </w:rPr>
        <w:t>。</w:t>
      </w:r>
    </w:p>
    <w:p>
      <w:pPr>
        <w:jc w:val="center"/>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pP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pPr>
        <w:pStyle w:val="6"/>
        <w:rPr>
          <w:rFonts w:hint="eastAsia"/>
          <w:color w:val="auto"/>
          <w:sz w:val="28"/>
          <w:szCs w:val="28"/>
        </w:rPr>
      </w:pP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pPr>
        <w:pStyle w:val="6"/>
        <w:rPr>
          <w:rFonts w:hint="eastAsia"/>
          <w:color w:val="auto"/>
        </w:rPr>
      </w:pPr>
    </w:p>
    <w:p>
      <w:pPr>
        <w:pStyle w:val="6"/>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pPr>
        <w:spacing w:line="360" w:lineRule="auto"/>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7"/>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color w:val="auto"/>
          <w:lang w:val="en-US" w:eastAsia="zh-CN"/>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pPr>
        <w:rPr>
          <w:rFonts w:hint="eastAsia"/>
          <w:color w:val="auto"/>
          <w:lang w:val="en-US" w:eastAsia="zh-CN"/>
        </w:rPr>
      </w:pPr>
      <w:r>
        <w:rPr>
          <w:rFonts w:hint="eastAsia" w:ascii="宋体" w:hAnsi="宋体" w:eastAsia="宋体" w:cs="宋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项目名称：</w:t>
      </w:r>
      <w:r>
        <w:rPr>
          <w:rFonts w:hint="eastAsia" w:ascii="宋体" w:hAnsi="宋体" w:eastAsia="宋体" w:cs="宋体"/>
          <w:color w:val="auto"/>
          <w:sz w:val="28"/>
          <w:szCs w:val="28"/>
        </w:rPr>
        <w:t>北部湾（广西）大宗商品交易有限公司钦州保税港区原棉仓数字化改造项目</w:t>
      </w:r>
    </w:p>
    <w:tbl>
      <w:tblPr>
        <w:tblStyle w:val="21"/>
        <w:tblW w:w="94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256"/>
        <w:gridCol w:w="1313"/>
        <w:gridCol w:w="3534"/>
        <w:gridCol w:w="647"/>
        <w:gridCol w:w="562"/>
        <w:gridCol w:w="638"/>
        <w:gridCol w:w="600"/>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参数配置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总价</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枪机型摄像机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海康DS-2CD3T47EWDV3-L/POEC</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•最高分辨率可达3M(2560×1440),可输出Full HD 1080p实时图像• 采用先进的视频压缩技术,压缩比高,且处理非常灵活• 逐行扫描CMOS,捕捉运动图像无锯齿• 支持宽动态范围达120dB，适合逆光环境监控• 采用高效红外灯,使用寿命长,照射距离可达50-80米• 支持3D 数字降噪• ICR红外滤片式自动切换,实现真正的日夜监控• 支持双码流,支持手机监控• 支持自动光圈,自动电子快门功能,适应不同监控环境• 符合IP66级防水防尘设计,可靠性高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硬盘录像机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海康DS-8832N-R8</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海康威视32路网络高清硬盘录像机 监控工程主机</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分别接海关和北大宗平台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监控硬盘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西数8TB PURX64M监控 </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8TB PURX64M监控 紫盘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5块提供90天存储供海关，8块提供180天存储供大宗平台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交换机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锐捷 RG-ES110D-P</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10口上行千兆POE交换机 RG-ES110D-P</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收发器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海康威视H301S</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千兆单模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显示器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AOC 24B20HN2</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AOC 24B20HN2 23.8寸V+H 壁挂黑</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壁挂机柜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壁挂机柜</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6U普通机柜230*530*600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宋体" w:hAnsi="宋体" w:eastAsia="宋体" w:cs="宋体"/>
                <w:b w:val="0"/>
                <w:bCs w:val="0"/>
                <w:i w:val="0"/>
                <w:iCs w:val="0"/>
                <w:color w:val="000000"/>
                <w:kern w:val="0"/>
                <w:sz w:val="22"/>
                <w:szCs w:val="22"/>
                <w:u w:val="none"/>
                <w:lang w:val="en-US" w:eastAsia="zh-CN" w:bidi="ar"/>
              </w:rPr>
              <w:t>前端汇聚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枪机支架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海康摄像机专用支架</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全铜</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监控电源线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国标1.5平方2芯</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RVV护套线 1.5平方2芯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D135超五类</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超五类非屏蔽双姣线 305/箱</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水晶头</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一舟超五类RJ45</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一舟超五类RJ45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25波纹管</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PVC25</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软管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排插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公牛</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带2米线公牛4位5孔</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线管</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联塑</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25PVC</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串口服务器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MOXANport-5650-8</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8端口；RS232、RS422、RS485三合一端口；网口数量：1个；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速率：10/100M自适应MDI/MDIX；</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接头：8-pin RJ45；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电磁隔离保护：内建1.5KV；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端口类型：RJ45 (8-pin)；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串口线性保护：全信号15 KV ESD；</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RS-485数据流向：ADDC® (专利保护的数据流向自动控制功能)；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RS-485上拉/下拉电阻：1 KΩ150 K</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网口转串口线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国产</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RS232串口9孔转RJ45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平台间系统数据接口开发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平台间系统数据接口开发</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满足功能：1.车牌识别2.道闸控制 3.地磅对接 4.磅单打印5.第三方平台对接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道闸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DS-TMG420-R(4米八角杆)</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采用一体化机芯，平行齿轮减速连杆传动，传动平稳、效率高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侧贴式安装，安装方便、结构紧凑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齿轮碳钢材质，淬火处理工艺，抗磨损、抗冲击，寿命长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直流无刷电机、输出力矩大、体积小，噪音低，精确智能控制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支持遇阻反弹，开优先保护功能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直流变频控制，快速抬杆慢速落杆，运行平稳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事件日志记录、方便操作追踪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支持红外，地感，雷达等多种防砸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支持故障码数码管检测，日志记录、丰富状态指示，故障码数码管显示、问题定位快捷、方便维护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手动开闸功能：停电时可转动手轮，使道闸保持开状态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接口参数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开/关到位输出接口：各1组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开/关/停控制信号接口：各1组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红外/地感防砸信号接口：1组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485控制接口：1组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一般规范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杆子类型：直杆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道闸系列：四系列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工作温度和湿度：-30~70 °C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尺寸(mm)：370*262*1060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防护等级：IP54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工作电压：AC220V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电机类型：直流无刷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运行噪声：60分贝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电机功率：250W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运行速度：3s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机箱材质：冷轧钢</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地感线圈</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DS-TMG023</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0.75mm²，绞合导体，镀锡铜，绝缘蓝色PVC外被，1捆线圈50米。</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车检器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DS-TMG022</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独立式,支持接入的最大线圈数2,继电器输出</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道闸电源线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国标2.5平方2芯</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RVV护套线 2.5平方2芯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UPS主机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山特CIKS</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1.单进单出，双变换在线工作； 容量：1kVA/8000W,单相二线+地线2.重量：4.2KG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3.尺寸(W*D*H)：144*229*345mm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4.输入电压范围：115-300V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5.输入功率因数：≥0.98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6.输入频率范围：40Hz-70Hz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7.输出额定电压:220VAC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8.输出频率（电池模式）：50/60Hz±0.05Hz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9.电池电压：36VDC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生产厂家：山特电子(深圳)有限公司</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储能电池</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英威腾MF100-12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12V100AH</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1.功率 12V 容量：100AH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2.性能特点：超长的使用寿命，免维护的专业设计，良好的批量一致性极小的自放电流、极宽的工作湿度范围，合理的安装和结构设计。3.尺寸：330mm*173mm*215mm*219.5mm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4.重量：27.5KG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5.工作温度范围：充电：-20℃~+50℃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宋体" w:hAnsi="宋体" w:eastAsia="宋体" w:cs="宋体"/>
                <w:b w:val="0"/>
                <w:bCs w:val="0"/>
                <w:i w:val="0"/>
                <w:iCs w:val="0"/>
                <w:color w:val="000000"/>
                <w:kern w:val="0"/>
                <w:sz w:val="22"/>
                <w:szCs w:val="22"/>
                <w:u w:val="none"/>
                <w:lang w:val="en-US" w:eastAsia="zh-CN" w:bidi="ar"/>
              </w:rPr>
              <w:t>监控断开市电续用6小时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储能电池柜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丰创C-10</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1、箱体采用环保镀锌板材料，承载能力大，整柜静电喷塑、耐磨、防腐蚀、防火性能好、绝缘、经久耐用；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2、2层1列 外观尺寸：950*470*615mm，用于装置12V100AH10节蓄电池</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3*6平方</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RVV护套线3*6平方3芯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UPS电源保护隔间</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定制3米*3米*2.7米定做防水隔间保护UPS电源(集装箱柜)</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240W六分区前置广播功放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DS-KAA3201-M</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1、2路辅助（AUX）线路输入，1路紧急（EMC）输入，2路话筒输入；1路辅助输出，可级联下一台功放；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2、线路1、紧急线路输入、线路2音量独立可调，同时具有总音量控制；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3、内置蓝牙/MP3功能模块，方便手机推送节目播放；</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4、带六分区按键输出功能；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5、支持1路EMC紧急报警音频信号输入接口，具有最高优先级</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6、话筒1和紧急线路EMC输入具有最高优先级别，可强切其他线路输入功能，话筒2与线路1.线路2；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7、带有高低音调节功能；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8、设有先进短路、过热、过载保护功能；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9、线路设有限幅功能，可预防功放输出过大保护喇叭；</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10、支持多种指示灯显示(电源、信号、削峰、保护LED指示灯)；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11、采用风机强制散热结构，可以让机器长期时间工作；</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12、具有市电波动保护功能，支持过压保护，欠压保护；                                                                                                                                                                                                                                                                                                                                            13、额定输出功率 240W</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叮咚前奏音话筒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DS-KAU30HG-M</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1、机械自锁，带叮咚前奏音；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2、音频线配置：5米单芯、卡龙母+ 6.35单声道插嘴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3、有效适音距离：50cm；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4、供电电压：DC3V/AC220V. 电源线3m；5、灵敏度：-40dB±2dB；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6、输出阻抗：200Ω；7、指向性：心型指向；8、频率响应(Hz)：40Hz-16KHz；9、换能方式：电容式；</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室外防水音柱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DS-KAL4600-M</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1、5寸单元×2，采用高性能驱动高音，声音传播远，中高频清晰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2、整体铝型材成型，防水防锈防腐蚀 Q 3、额定功率:60W  4、定压输入:100V  5、灵敏度:91DB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6、频率响应:80-18KHz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7、扬声器:5寸低音×2,25芯驱动高音 8、尺寸：126(L)×185 (W)×514 (H)mm</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交通信号灯</w:t>
            </w:r>
          </w:p>
        </w:tc>
        <w:tc>
          <w:tcPr>
            <w:tcW w:w="13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国产</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红满盘绿箭头二合一车道指示灯红满屏:180个LED，单颗亮度:2500~4000，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波长:630±5nm，左右上下视角:30°，功率:≤20W。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绿箭头:120个LED，单颗亮度:4000~5600，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波长:505±5nm，左右上下视角:30°，功率:≤15W。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·环境温度:-40℃~+80℃.工作电压:AC185V-265V60HZ/50HZ灯箱外壳材料:PC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灯组尺寸(mm):470x470x140 IP 等级:IP53可视距离≥300m</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交通信号灯杆件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定制2米高</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网络机柜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豪华机柜</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1.2米1200*600*800 24U</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后端汇聚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6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施工费(布线、设备安装及调试)</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税费（  %专票）</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pPr>
        <w:pStyle w:val="2"/>
        <w:rPr>
          <w:rFonts w:hint="eastAsia" w:ascii="宋体" w:hAnsi="宋体" w:eastAsia="宋体" w:cs="宋体"/>
          <w:b w:val="0"/>
          <w:bCs w:val="0"/>
          <w:color w:val="auto"/>
          <w:sz w:val="28"/>
          <w:szCs w:val="28"/>
          <w:lang w:val="en-US" w:eastAsia="zh-CN"/>
        </w:rPr>
      </w:pPr>
    </w:p>
    <w:p>
      <w:pPr>
        <w:pStyle w:val="2"/>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项目名称：</w:t>
      </w:r>
      <w:r>
        <w:rPr>
          <w:rFonts w:hint="eastAsia" w:ascii="宋体" w:hAnsi="宋体" w:eastAsia="宋体" w:cs="宋体"/>
          <w:color w:val="auto"/>
          <w:sz w:val="28"/>
          <w:szCs w:val="28"/>
        </w:rPr>
        <w:t>北部湾（广西）大宗商品交易有限公司钦州保税港区原棉仓数字化改造项目</w:t>
      </w:r>
      <w:r>
        <w:rPr>
          <w:rFonts w:hint="eastAsia" w:ascii="宋体" w:hAnsi="宋体" w:eastAsia="宋体" w:cs="宋体"/>
          <w:b w:val="0"/>
          <w:bCs w:val="0"/>
          <w:color w:val="auto"/>
          <w:sz w:val="28"/>
          <w:szCs w:val="28"/>
          <w:lang w:val="en-US" w:eastAsia="zh-CN"/>
        </w:rPr>
        <w:t xml:space="preserve"> </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56" w:type="dxa"/>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6" w:type="dxa"/>
            <w:vAlign w:val="center"/>
          </w:tcPr>
          <w:p>
            <w:pPr>
              <w:widowControl/>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b/>
                <w:bCs w:val="0"/>
                <w:color w:val="auto"/>
                <w:szCs w:val="21"/>
                <w:highlight w:val="none"/>
              </w:rPr>
              <w:t>交付使用期</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bl>
    <w:p>
      <w:pPr>
        <w:pStyle w:val="16"/>
        <w:rPr>
          <w:rFonts w:hint="eastAsia" w:ascii="Times New Roman" w:hAnsi="Times New Roman" w:eastAsia="宋体" w:cs="Times New Roman"/>
          <w:color w:val="auto"/>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竞争性磋商</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pPr>
        <w:pStyle w:val="6"/>
        <w:rPr>
          <w:rFonts w:hint="eastAsia" w:ascii="宋体" w:hAnsi="宋体" w:eastAsia="宋体" w:cs="宋体"/>
          <w:color w:val="auto"/>
          <w:kern w:val="0"/>
          <w:sz w:val="24"/>
          <w:szCs w:val="24"/>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footerReference r:id="rId5" w:type="default"/>
          <w:pgSz w:w="11906" w:h="16838"/>
          <w:pgMar w:top="1418" w:right="1418" w:bottom="1418" w:left="1418" w:header="851" w:footer="992" w:gutter="0"/>
          <w:pgNumType w:fmt="decimal" w:start="1"/>
          <w:cols w:space="720" w:num="1"/>
          <w:docGrid w:linePitch="312" w:charSpace="0"/>
        </w:sectPr>
      </w:pPr>
      <w:r>
        <w:rPr>
          <w:rFonts w:hint="eastAsia" w:ascii="宋体" w:hAnsi="宋体" w:eastAsia="宋体" w:cs="宋体"/>
          <w:b w:val="0"/>
          <w:bCs w:val="0"/>
          <w:color w:val="auto"/>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项目实施方案</w:t>
      </w:r>
    </w:p>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（格式自拟）</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pStyle w:val="41"/>
        <w:rPr>
          <w:rFonts w:hint="eastAsia"/>
          <w:color w:val="auto"/>
          <w:lang w:val="en-US" w:eastAsia="zh-CN"/>
        </w:rPr>
      </w:pPr>
      <w:r>
        <w:rPr>
          <w:rFonts w:hint="eastAsia"/>
          <w:color w:val="auto"/>
          <w:lang w:val="en-US" w:eastAsia="zh-CN"/>
        </w:rPr>
        <w:t>第七章  拟签订的合同文本</w:t>
      </w:r>
    </w:p>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北部湾（广西）大宗商品交易有限公司</w:t>
      </w:r>
    </w:p>
    <w:p>
      <w:pPr>
        <w:jc w:val="center"/>
        <w:rPr>
          <w:rFonts w:hint="eastAsia" w:ascii="楷体" w:hAnsi="楷体" w:eastAsia="楷体"/>
          <w:b/>
          <w:color w:val="auto"/>
          <w:sz w:val="28"/>
          <w:szCs w:val="28"/>
        </w:rPr>
      </w:pPr>
      <w:r>
        <w:rPr>
          <w:rFonts w:hint="eastAsia" w:ascii="方正仿宋_GBK" w:hAnsi="方正仿宋_GBK" w:eastAsia="方正仿宋_GBK" w:cs="方正仿宋_GBK"/>
          <w:color w:val="auto"/>
          <w:sz w:val="32"/>
          <w:szCs w:val="32"/>
        </w:rPr>
        <w:t>钦州保税港区原棉仓数字化改造项目</w:t>
      </w:r>
    </w:p>
    <w:p>
      <w:pPr>
        <w:pStyle w:val="2"/>
        <w:rPr>
          <w:color w:val="auto"/>
        </w:rPr>
      </w:pPr>
    </w:p>
    <w:p>
      <w:pPr>
        <w:pStyle w:val="2"/>
        <w:rPr>
          <w:color w:val="auto"/>
        </w:rPr>
      </w:pPr>
    </w:p>
    <w:p>
      <w:pPr>
        <w:pStyle w:val="2"/>
        <w:rPr>
          <w:color w:val="auto"/>
        </w:rPr>
      </w:pPr>
    </w:p>
    <w:p>
      <w:pPr>
        <w:pStyle w:val="2"/>
        <w:rPr>
          <w:color w:val="auto"/>
        </w:rPr>
      </w:pPr>
    </w:p>
    <w:p>
      <w:pPr>
        <w:pStyle w:val="2"/>
        <w:rPr>
          <w:color w:val="auto"/>
          <w:sz w:val="21"/>
          <w:szCs w:val="21"/>
        </w:rPr>
      </w:pPr>
    </w:p>
    <w:p>
      <w:pPr>
        <w:pStyle w:val="2"/>
        <w:rPr>
          <w:color w:val="auto"/>
          <w:sz w:val="21"/>
          <w:szCs w:val="21"/>
        </w:rPr>
      </w:pPr>
    </w:p>
    <w:p>
      <w:pPr>
        <w:rPr>
          <w:rFonts w:ascii="楷体" w:hAnsi="楷体" w:eastAsia="楷体" w:cs="宋体"/>
          <w:color w:val="auto"/>
          <w:kern w:val="0"/>
          <w:sz w:val="21"/>
          <w:szCs w:val="21"/>
        </w:rPr>
      </w:pPr>
      <w:r>
        <w:rPr>
          <w:rFonts w:ascii="楷体" w:hAnsi="楷体" w:eastAsia="楷体"/>
          <w:color w:val="auto"/>
          <w:sz w:val="21"/>
          <w:szCs w:val="21"/>
        </w:rPr>
        <w:t xml:space="preserve">                              </w:t>
      </w:r>
    </w:p>
    <w:p>
      <w:pPr>
        <w:rPr>
          <w:rFonts w:hint="default" w:ascii="楷体" w:hAnsi="楷体" w:eastAsia="楷体"/>
          <w:color w:val="auto"/>
          <w:sz w:val="21"/>
          <w:szCs w:val="21"/>
          <w:lang w:val="en-US"/>
        </w:rPr>
      </w:pPr>
      <w:r>
        <w:rPr>
          <w:rFonts w:ascii="楷体" w:hAnsi="楷体" w:eastAsia="楷体"/>
          <w:color w:val="auto"/>
          <w:sz w:val="21"/>
          <w:szCs w:val="21"/>
        </w:rPr>
        <w:t xml:space="preserve">                                     </w:t>
      </w:r>
      <w:r>
        <w:rPr>
          <w:rFonts w:hint="eastAsia" w:ascii="楷体" w:hAnsi="楷体" w:eastAsia="楷体"/>
          <w:color w:val="auto"/>
          <w:sz w:val="21"/>
          <w:szCs w:val="21"/>
        </w:rPr>
        <w:t xml:space="preserve">                   合同编号：</w:t>
      </w:r>
    </w:p>
    <w:p>
      <w:pPr>
        <w:rPr>
          <w:rFonts w:ascii="楷体" w:hAnsi="楷体" w:eastAsia="楷体"/>
          <w:color w:val="auto"/>
          <w:sz w:val="21"/>
          <w:szCs w:val="21"/>
        </w:rPr>
      </w:pPr>
      <w:r>
        <w:rPr>
          <w:rFonts w:hint="eastAsia" w:ascii="楷体" w:hAnsi="楷体" w:eastAsia="楷体"/>
          <w:color w:val="auto"/>
          <w:sz w:val="21"/>
          <w:szCs w:val="21"/>
        </w:rPr>
        <w:t xml:space="preserve">                                                        签订时间:</w:t>
      </w:r>
    </w:p>
    <w:p>
      <w:pPr>
        <w:ind w:firstLine="5880" w:firstLineChars="2800"/>
        <w:rPr>
          <w:rFonts w:hint="eastAsia" w:ascii="楷体" w:hAnsi="楷体" w:eastAsia="楷体"/>
          <w:color w:val="auto"/>
          <w:sz w:val="21"/>
          <w:szCs w:val="21"/>
          <w:lang w:val="en-US" w:eastAsia="zh-CN"/>
        </w:rPr>
      </w:pPr>
      <w:r>
        <w:rPr>
          <w:rFonts w:hint="eastAsia" w:ascii="楷体" w:hAnsi="楷体" w:eastAsia="楷体"/>
          <w:color w:val="auto"/>
          <w:sz w:val="21"/>
          <w:szCs w:val="21"/>
        </w:rPr>
        <w:t>签订地点：</w:t>
      </w:r>
    </w:p>
    <w:p>
      <w:pPr>
        <w:rPr>
          <w:rFonts w:ascii="楷体" w:hAnsi="楷体" w:eastAsia="楷体"/>
          <w:b/>
          <w:color w:val="auto"/>
          <w:sz w:val="18"/>
          <w:szCs w:val="18"/>
        </w:rPr>
      </w:pPr>
      <w:r>
        <w:rPr>
          <w:rFonts w:ascii="楷体" w:hAnsi="楷体" w:eastAsia="楷体"/>
          <w:b/>
          <w:color w:val="auto"/>
          <w:sz w:val="18"/>
          <w:szCs w:val="18"/>
        </w:rPr>
        <w:t xml:space="preserve">                                                          </w:t>
      </w:r>
    </w:p>
    <w:p>
      <w:pPr>
        <w:rPr>
          <w:rFonts w:hint="eastAsia" w:ascii="楷体" w:hAnsi="楷体" w:eastAsia="楷体" w:cs="Times New Roman"/>
          <w:color w:val="auto"/>
          <w:sz w:val="24"/>
          <w:szCs w:val="24"/>
        </w:rPr>
      </w:pPr>
      <w:r>
        <w:rPr>
          <w:rFonts w:hint="eastAsia" w:ascii="楷体" w:hAnsi="楷体" w:eastAsia="楷体" w:cs="Times New Roman"/>
          <w:b/>
          <w:bCs/>
          <w:color w:val="auto"/>
          <w:sz w:val="24"/>
          <w:szCs w:val="24"/>
        </w:rPr>
        <w:t>购货方(甲方): 北部湾（广西）大宗商品交易有限公司</w:t>
      </w:r>
    </w:p>
    <w:p>
      <w:pPr>
        <w:rPr>
          <w:rFonts w:hint="eastAsia" w:ascii="楷体" w:hAnsi="楷体" w:eastAsia="楷体" w:cs="Times New Roman"/>
          <w:color w:val="auto"/>
          <w:sz w:val="24"/>
          <w:szCs w:val="24"/>
        </w:rPr>
      </w:pPr>
      <w:r>
        <w:rPr>
          <w:rFonts w:hint="eastAsia" w:ascii="楷体" w:hAnsi="楷体" w:eastAsia="楷体" w:cs="Times New Roman"/>
          <w:color w:val="auto"/>
          <w:sz w:val="24"/>
          <w:szCs w:val="24"/>
        </w:rPr>
        <w:t>联系地址：南宁市青秀区中新路9号九洲国际56层5605号</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联系人：</w:t>
      </w:r>
      <w:r>
        <w:rPr>
          <w:rFonts w:hint="eastAsia" w:ascii="楷体" w:hAnsi="楷体" w:eastAsia="楷体" w:cs="Times New Roman"/>
          <w:color w:val="auto"/>
          <w:sz w:val="24"/>
          <w:szCs w:val="24"/>
          <w:lang w:val="en-US" w:eastAsia="zh-CN"/>
        </w:rPr>
        <w:t xml:space="preserve"> 曾杰</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联系电话：</w:t>
      </w:r>
      <w:r>
        <w:rPr>
          <w:rFonts w:hint="eastAsia" w:ascii="楷体" w:hAnsi="楷体" w:eastAsia="楷体" w:cs="Times New Roman"/>
          <w:color w:val="auto"/>
          <w:sz w:val="24"/>
          <w:szCs w:val="24"/>
          <w:lang w:val="en-US" w:eastAsia="zh-CN"/>
        </w:rPr>
        <w:t xml:space="preserve"> 15078819875</w:t>
      </w:r>
    </w:p>
    <w:p>
      <w:pPr>
        <w:rPr>
          <w:rFonts w:ascii="楷体" w:hAnsi="楷体" w:eastAsia="楷体"/>
          <w:color w:val="auto"/>
          <w:sz w:val="24"/>
          <w:szCs w:val="24"/>
        </w:rPr>
      </w:pPr>
      <w:r>
        <w:rPr>
          <w:rFonts w:ascii="楷体" w:hAnsi="楷体" w:eastAsia="楷体"/>
          <w:color w:val="auto"/>
          <w:sz w:val="24"/>
          <w:szCs w:val="24"/>
        </w:rPr>
        <w:t xml:space="preserve">                    </w:t>
      </w:r>
    </w:p>
    <w:p>
      <w:pPr>
        <w:rPr>
          <w:rFonts w:ascii="楷体" w:hAnsi="楷体" w:eastAsia="楷体"/>
          <w:color w:val="auto"/>
          <w:sz w:val="24"/>
          <w:szCs w:val="24"/>
        </w:rPr>
      </w:pPr>
    </w:p>
    <w:p>
      <w:pPr>
        <w:rPr>
          <w:rFonts w:ascii="楷体" w:hAnsi="楷体" w:eastAsia="楷体"/>
          <w:b/>
          <w:bCs/>
          <w:color w:val="auto"/>
          <w:sz w:val="24"/>
          <w:szCs w:val="24"/>
        </w:rPr>
      </w:pPr>
      <w:r>
        <w:rPr>
          <w:rFonts w:hint="eastAsia" w:ascii="楷体" w:hAnsi="楷体" w:eastAsia="楷体"/>
          <w:b/>
          <w:color w:val="auto"/>
          <w:sz w:val="24"/>
          <w:szCs w:val="24"/>
        </w:rPr>
        <w:t>供货方</w:t>
      </w:r>
      <w:r>
        <w:rPr>
          <w:rFonts w:ascii="楷体" w:hAnsi="楷体" w:eastAsia="楷体"/>
          <w:b/>
          <w:color w:val="auto"/>
          <w:sz w:val="24"/>
          <w:szCs w:val="24"/>
        </w:rPr>
        <w:t>(</w:t>
      </w:r>
      <w:r>
        <w:rPr>
          <w:rFonts w:hint="eastAsia" w:ascii="楷体" w:hAnsi="楷体" w:eastAsia="楷体"/>
          <w:b/>
          <w:color w:val="auto"/>
          <w:sz w:val="24"/>
          <w:szCs w:val="24"/>
        </w:rPr>
        <w:t>乙方</w:t>
      </w:r>
      <w:r>
        <w:rPr>
          <w:rFonts w:ascii="楷体" w:hAnsi="楷体" w:eastAsia="楷体"/>
          <w:b/>
          <w:color w:val="auto"/>
          <w:sz w:val="24"/>
          <w:szCs w:val="24"/>
        </w:rPr>
        <w:t>):</w:t>
      </w:r>
      <w:r>
        <w:rPr>
          <w:rFonts w:hint="eastAsia" w:ascii="Times New Roman" w:hAnsi="Times New Roman" w:eastAsia="楷体"/>
          <w:color w:val="auto"/>
          <w:sz w:val="18"/>
          <w:szCs w:val="18"/>
        </w:rPr>
        <w:t xml:space="preserve"> </w:t>
      </w:r>
      <w:r>
        <w:rPr>
          <w:rFonts w:hint="eastAsia" w:ascii="楷体" w:hAnsi="楷体" w:eastAsia="楷体"/>
          <w:b/>
          <w:bCs/>
          <w:color w:val="auto"/>
          <w:sz w:val="24"/>
          <w:szCs w:val="24"/>
        </w:rPr>
        <w:t xml:space="preserve"> </w:t>
      </w:r>
    </w:p>
    <w:p>
      <w:pPr>
        <w:rPr>
          <w:rFonts w:hint="eastAsia" w:ascii="楷体" w:hAnsi="楷体" w:eastAsia="楷体"/>
          <w:color w:val="auto"/>
          <w:sz w:val="24"/>
          <w:szCs w:val="24"/>
        </w:rPr>
      </w:pPr>
      <w:r>
        <w:rPr>
          <w:rFonts w:hint="eastAsia" w:ascii="楷体" w:hAnsi="楷体" w:eastAsia="楷体"/>
          <w:color w:val="auto"/>
          <w:sz w:val="24"/>
          <w:szCs w:val="24"/>
        </w:rPr>
        <w:t>联系地址：</w:t>
      </w:r>
    </w:p>
    <w:p>
      <w:pPr>
        <w:rPr>
          <w:rFonts w:hint="eastAsia" w:ascii="楷体" w:hAnsi="楷体" w:eastAsia="楷体"/>
          <w:color w:val="auto"/>
          <w:sz w:val="24"/>
          <w:szCs w:val="24"/>
          <w:lang w:eastAsia="zh-CN"/>
        </w:rPr>
      </w:pPr>
      <w:r>
        <w:rPr>
          <w:rFonts w:hint="eastAsia" w:ascii="楷体" w:hAnsi="楷体" w:eastAsia="楷体"/>
          <w:color w:val="auto"/>
          <w:sz w:val="24"/>
          <w:szCs w:val="24"/>
        </w:rPr>
        <w:t>联系人</w:t>
      </w:r>
      <w:r>
        <w:rPr>
          <w:rFonts w:ascii="楷体" w:hAnsi="楷体" w:eastAsia="楷体"/>
          <w:color w:val="auto"/>
          <w:sz w:val="24"/>
          <w:szCs w:val="24"/>
        </w:rPr>
        <w:t xml:space="preserve">： </w:t>
      </w:r>
    </w:p>
    <w:p>
      <w:pPr>
        <w:rPr>
          <w:rFonts w:hint="default" w:ascii="楷体" w:hAnsi="楷体" w:eastAsia="楷体"/>
          <w:color w:val="auto"/>
          <w:sz w:val="24"/>
          <w:szCs w:val="24"/>
          <w:lang w:val="en-US" w:eastAsia="zh-CN"/>
        </w:rPr>
      </w:pPr>
      <w:r>
        <w:rPr>
          <w:rFonts w:hint="eastAsia" w:ascii="楷体" w:hAnsi="楷体" w:eastAsia="楷体"/>
          <w:color w:val="auto"/>
          <w:sz w:val="24"/>
          <w:szCs w:val="24"/>
        </w:rPr>
        <w:t>联系电话：</w:t>
      </w:r>
    </w:p>
    <w:p>
      <w:pPr>
        <w:rPr>
          <w:rFonts w:ascii="Times New Roman" w:hAnsi="Times New Roman" w:eastAsia="楷体"/>
          <w:color w:val="auto"/>
          <w:sz w:val="21"/>
          <w:szCs w:val="21"/>
        </w:rPr>
      </w:pPr>
      <w:r>
        <w:rPr>
          <w:rFonts w:ascii="Times New Roman" w:hAnsi="Times New Roman" w:eastAsia="楷体"/>
          <w:color w:val="auto"/>
          <w:sz w:val="21"/>
          <w:szCs w:val="21"/>
        </w:rPr>
        <w:t>甲、乙双方经友好协商，根据《中华人民共和国</w:t>
      </w:r>
      <w:r>
        <w:rPr>
          <w:rFonts w:hint="eastAsia" w:ascii="Times New Roman" w:hAnsi="Times New Roman" w:eastAsia="楷体"/>
          <w:color w:val="auto"/>
          <w:sz w:val="21"/>
          <w:szCs w:val="21"/>
        </w:rPr>
        <w:t>民法典</w:t>
      </w:r>
      <w:r>
        <w:rPr>
          <w:rFonts w:ascii="Times New Roman" w:hAnsi="Times New Roman" w:eastAsia="楷体"/>
          <w:color w:val="auto"/>
          <w:sz w:val="21"/>
          <w:szCs w:val="21"/>
        </w:rPr>
        <w:t>》及相关法律规定，本着平等互利、协商一致的原则，就甲方向乙方进行</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采购相关事宜达成一致后签署本合同。</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 xml:space="preserve"> 产品名称．型号．数量．金额（含税</w:t>
      </w:r>
      <w:r>
        <w:rPr>
          <w:rFonts w:hint="eastAsia" w:ascii="Times New Roman" w:hAnsi="Times New Roman" w:eastAsia="楷体"/>
          <w:b/>
          <w:color w:val="auto"/>
          <w:sz w:val="21"/>
          <w:szCs w:val="21"/>
        </w:rPr>
        <w:t>，税率</w:t>
      </w:r>
      <w:r>
        <w:rPr>
          <w:rFonts w:hint="eastAsia" w:ascii="Times New Roman" w:hAnsi="Times New Roman" w:eastAsia="楷体"/>
          <w:b/>
          <w:color w:val="auto"/>
          <w:sz w:val="21"/>
          <w:szCs w:val="21"/>
          <w:lang w:eastAsia="zh-CN"/>
        </w:rPr>
        <w:t>【】</w:t>
      </w:r>
      <w:r>
        <w:rPr>
          <w:rFonts w:ascii="Times New Roman" w:hAnsi="Times New Roman" w:eastAsia="楷体"/>
          <w:b/>
          <w:color w:val="auto"/>
          <w:sz w:val="21"/>
          <w:szCs w:val="21"/>
        </w:rPr>
        <w:t>）．</w:t>
      </w:r>
      <w:r>
        <w:rPr>
          <w:rFonts w:hint="eastAsia" w:ascii="Times New Roman" w:hAnsi="Times New Roman" w:eastAsia="楷体"/>
          <w:b/>
          <w:color w:val="auto"/>
          <w:sz w:val="21"/>
          <w:szCs w:val="21"/>
        </w:rPr>
        <w:t>供货时间</w:t>
      </w:r>
    </w:p>
    <w:tbl>
      <w:tblPr>
        <w:tblStyle w:val="2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384"/>
        <w:gridCol w:w="696"/>
        <w:gridCol w:w="668"/>
        <w:gridCol w:w="107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496"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序号</w:t>
            </w:r>
          </w:p>
        </w:tc>
        <w:tc>
          <w:tcPr>
            <w:tcW w:w="130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产品</w:t>
            </w:r>
          </w:p>
          <w:p>
            <w:pPr>
              <w:snapToGrid w:val="0"/>
              <w:spacing w:line="360" w:lineRule="exact"/>
              <w:jc w:val="center"/>
              <w:rPr>
                <w:rFonts w:ascii="宋体" w:hAnsi="宋体"/>
                <w:color w:val="auto"/>
                <w:sz w:val="21"/>
                <w:szCs w:val="21"/>
              </w:rPr>
            </w:pPr>
            <w:r>
              <w:rPr>
                <w:rFonts w:hint="eastAsia" w:ascii="宋体" w:hAnsi="宋体"/>
                <w:color w:val="auto"/>
                <w:sz w:val="21"/>
                <w:szCs w:val="21"/>
              </w:rPr>
              <w:t>名称</w:t>
            </w:r>
          </w:p>
        </w:tc>
        <w:tc>
          <w:tcPr>
            <w:tcW w:w="1081"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商标</w:t>
            </w:r>
          </w:p>
          <w:p>
            <w:pPr>
              <w:snapToGrid w:val="0"/>
              <w:spacing w:line="360" w:lineRule="exact"/>
              <w:jc w:val="center"/>
              <w:rPr>
                <w:rFonts w:ascii="宋体" w:hAnsi="宋体"/>
                <w:color w:val="auto"/>
                <w:sz w:val="21"/>
                <w:szCs w:val="21"/>
              </w:rPr>
            </w:pPr>
            <w:r>
              <w:rPr>
                <w:rFonts w:hint="eastAsia" w:ascii="宋体" w:hAnsi="宋体"/>
                <w:color w:val="auto"/>
                <w:sz w:val="21"/>
                <w:szCs w:val="21"/>
              </w:rPr>
              <w:t>品牌</w:t>
            </w:r>
          </w:p>
        </w:tc>
        <w:tc>
          <w:tcPr>
            <w:tcW w:w="119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规格</w:t>
            </w:r>
          </w:p>
          <w:p>
            <w:pPr>
              <w:snapToGrid w:val="0"/>
              <w:spacing w:line="360" w:lineRule="exact"/>
              <w:jc w:val="center"/>
              <w:rPr>
                <w:rFonts w:ascii="宋体" w:hAnsi="宋体"/>
                <w:color w:val="auto"/>
                <w:sz w:val="21"/>
                <w:szCs w:val="21"/>
              </w:rPr>
            </w:pPr>
            <w:r>
              <w:rPr>
                <w:rFonts w:hint="eastAsia" w:ascii="宋体" w:hAnsi="宋体"/>
                <w:color w:val="auto"/>
                <w:sz w:val="21"/>
                <w:szCs w:val="21"/>
              </w:rPr>
              <w:t>型号</w:t>
            </w:r>
          </w:p>
        </w:tc>
        <w:tc>
          <w:tcPr>
            <w:tcW w:w="138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生产</w:t>
            </w:r>
          </w:p>
          <w:p>
            <w:pPr>
              <w:snapToGrid w:val="0"/>
              <w:spacing w:line="360" w:lineRule="exact"/>
              <w:jc w:val="center"/>
              <w:rPr>
                <w:rFonts w:ascii="宋体" w:hAnsi="宋体"/>
                <w:color w:val="auto"/>
                <w:sz w:val="21"/>
                <w:szCs w:val="21"/>
              </w:rPr>
            </w:pPr>
            <w:r>
              <w:rPr>
                <w:rFonts w:hint="eastAsia" w:ascii="宋体" w:hAnsi="宋体"/>
                <w:color w:val="auto"/>
                <w:sz w:val="21"/>
                <w:szCs w:val="21"/>
              </w:rPr>
              <w:t>厂家</w:t>
            </w:r>
          </w:p>
        </w:tc>
        <w:tc>
          <w:tcPr>
            <w:tcW w:w="696"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数  量</w:t>
            </w:r>
          </w:p>
        </w:tc>
        <w:tc>
          <w:tcPr>
            <w:tcW w:w="668"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单位</w:t>
            </w:r>
          </w:p>
        </w:tc>
        <w:tc>
          <w:tcPr>
            <w:tcW w:w="1077"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单  价</w:t>
            </w:r>
          </w:p>
          <w:p>
            <w:pPr>
              <w:snapToGrid w:val="0"/>
              <w:spacing w:line="360" w:lineRule="exact"/>
              <w:jc w:val="center"/>
              <w:rPr>
                <w:rFonts w:ascii="宋体" w:hAnsi="宋体"/>
                <w:color w:val="auto"/>
                <w:sz w:val="21"/>
                <w:szCs w:val="21"/>
              </w:rPr>
            </w:pPr>
            <w:r>
              <w:rPr>
                <w:rFonts w:hint="eastAsia" w:ascii="宋体" w:hAnsi="宋体"/>
                <w:color w:val="auto"/>
                <w:sz w:val="21"/>
                <w:szCs w:val="21"/>
              </w:rPr>
              <w:t>（元）</w:t>
            </w:r>
          </w:p>
        </w:tc>
        <w:tc>
          <w:tcPr>
            <w:tcW w:w="1008"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金  额</w:t>
            </w:r>
          </w:p>
          <w:p>
            <w:pPr>
              <w:snapToGrid w:val="0"/>
              <w:spacing w:line="360" w:lineRule="exact"/>
              <w:jc w:val="center"/>
              <w:rPr>
                <w:rFonts w:ascii="宋体" w:hAnsi="宋体"/>
                <w:color w:val="auto"/>
                <w:sz w:val="21"/>
                <w:szCs w:val="21"/>
              </w:rPr>
            </w:pP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08" w:type="dxa"/>
            <w:gridSpan w:val="9"/>
            <w:vAlign w:val="center"/>
          </w:tcPr>
          <w:p>
            <w:pPr>
              <w:rPr>
                <w:rFonts w:ascii="宋体" w:hAnsi="宋体"/>
                <w:color w:val="auto"/>
                <w:sz w:val="21"/>
                <w:szCs w:val="21"/>
              </w:rPr>
            </w:pPr>
            <w:r>
              <w:rPr>
                <w:rFonts w:hint="eastAsia" w:ascii="宋体" w:hAnsi="宋体" w:cs="宋体"/>
                <w:b/>
                <w:color w:val="auto"/>
                <w:sz w:val="21"/>
                <w:szCs w:val="21"/>
              </w:rPr>
              <w:t>(详见合同附件—：</w:t>
            </w:r>
            <w:r>
              <w:rPr>
                <w:rFonts w:hint="eastAsia" w:ascii="宋体" w:hAnsi="宋体"/>
                <w:b/>
                <w:color w:val="auto"/>
                <w:sz w:val="21"/>
                <w:szCs w:val="21"/>
              </w:rPr>
              <w:t>供货清单及参数表</w:t>
            </w:r>
            <w:r>
              <w:rPr>
                <w:rFonts w:hint="eastAsia" w:ascii="宋体" w:hAnsi="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08" w:type="dxa"/>
            <w:gridSpan w:val="9"/>
          </w:tcPr>
          <w:p>
            <w:pPr>
              <w:snapToGrid w:val="0"/>
              <w:spacing w:line="360" w:lineRule="exact"/>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本合同不含税金额为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元，税额为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元,合计含税总金额（大写）：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人民币（小写）：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元 </w:t>
            </w:r>
          </w:p>
        </w:tc>
      </w:tr>
    </w:tbl>
    <w:p>
      <w:pPr>
        <w:ind w:firstLine="420" w:firstLineChars="200"/>
        <w:rPr>
          <w:rFonts w:hint="eastAsia" w:ascii="Times New Roman" w:hAnsi="Times New Roman" w:eastAsia="楷体"/>
          <w:bCs/>
          <w:color w:val="auto"/>
          <w:sz w:val="21"/>
          <w:szCs w:val="21"/>
          <w:lang w:val="en-US" w:eastAsia="zh-CN"/>
        </w:rPr>
      </w:pPr>
      <w:r>
        <w:rPr>
          <w:rFonts w:ascii="Times New Roman" w:hAnsi="Times New Roman" w:eastAsia="楷体"/>
          <w:color w:val="auto"/>
          <w:sz w:val="21"/>
          <w:szCs w:val="21"/>
        </w:rPr>
        <w:t>*以上合同总价包括但不限于购买产品的价格、产品的包装价格、产品的运输价格、产品保质、售后服务、</w:t>
      </w:r>
      <w:r>
        <w:rPr>
          <w:rFonts w:hint="eastAsia" w:ascii="Times New Roman" w:hAnsi="Times New Roman" w:eastAsia="楷体"/>
          <w:color w:val="auto"/>
          <w:sz w:val="21"/>
          <w:szCs w:val="21"/>
        </w:rPr>
        <w:t>保险、</w:t>
      </w:r>
      <w:r>
        <w:rPr>
          <w:rFonts w:ascii="Times New Roman" w:hAnsi="Times New Roman" w:eastAsia="楷体"/>
          <w:color w:val="auto"/>
          <w:sz w:val="21"/>
          <w:szCs w:val="21"/>
        </w:rPr>
        <w:t>税费等所有费用。除此价格之外，甲方无须支付乙方其它任何款项。</w:t>
      </w:r>
      <w:r>
        <w:rPr>
          <w:rFonts w:ascii="Times New Roman" w:hAnsi="Times New Roman" w:eastAsia="楷体"/>
          <w:bCs/>
          <w:color w:val="auto"/>
          <w:sz w:val="21"/>
          <w:szCs w:val="21"/>
        </w:rPr>
        <w:t>乙方应向甲方开具正式的</w:t>
      </w:r>
      <w:r>
        <w:rPr>
          <w:rFonts w:hint="eastAsia" w:ascii="Times New Roman" w:hAnsi="Times New Roman" w:eastAsia="楷体"/>
          <w:bCs/>
          <w:color w:val="auto"/>
          <w:sz w:val="21"/>
          <w:szCs w:val="21"/>
          <w:lang w:val="en-US" w:eastAsia="zh-CN"/>
        </w:rPr>
        <w:t>【】</w:t>
      </w:r>
      <w:r>
        <w:rPr>
          <w:rFonts w:ascii="Times New Roman" w:hAnsi="Times New Roman" w:eastAsia="楷体"/>
          <w:bCs/>
          <w:color w:val="auto"/>
          <w:sz w:val="21"/>
          <w:szCs w:val="21"/>
        </w:rPr>
        <w:t>增值税专用发票，该发票必须提及本合同并提供甲方所要求的详细信息。</w:t>
      </w:r>
      <w:r>
        <w:rPr>
          <w:rFonts w:hint="eastAsia" w:ascii="Times New Roman" w:hAnsi="Times New Roman" w:eastAsia="楷体"/>
          <w:bCs/>
          <w:color w:val="auto"/>
          <w:sz w:val="21"/>
          <w:szCs w:val="21"/>
        </w:rPr>
        <w:t>如招投标文件对其另有规定的，从其规定</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产品质量和技术标准</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乙方应以样品（如有）、本合同的约定及有关产品质量和产品技术的国家标准和行业标准为标准提供产品。</w:t>
      </w:r>
    </w:p>
    <w:p>
      <w:pPr>
        <w:pStyle w:val="31"/>
        <w:numPr>
          <w:ilvl w:val="0"/>
          <w:numId w:val="3"/>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Cs w:val="21"/>
        </w:rPr>
        <w:t>乙方所提供的货物型号、技术规格、技术参数等质量必须与招、投标文件和承诺相一致。</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乙方保证提供的产品符合中华人民共和国国家及行业的安全质量标准，上述标准为已发布的且在产品交付时有效的最新版本的标准。</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乙方保证提供给甲方的产品是产品生产厂商原造的，全新、未使用过的，使用一流的工艺和优质材料制造而成的，并完全符合甲方的各项使用目的或在采购时提出的各项要求。</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color w:val="auto"/>
          <w:sz w:val="21"/>
          <w:szCs w:val="21"/>
        </w:rPr>
        <w:t>诉讼费、律师费、保全费、保全保险费、交通费、差旅费、鉴定费</w:t>
      </w:r>
      <w:r>
        <w:rPr>
          <w:rFonts w:ascii="Times New Roman" w:hAnsi="Times New Roman" w:eastAsia="楷体"/>
          <w:color w:val="auto"/>
          <w:sz w:val="21"/>
          <w:szCs w:val="21"/>
        </w:rPr>
        <w:t>以及任何性质的债务。并且，甲方有权选择：i) 由乙方自担费用，为甲方取得合法使用产品的权利，或者ii) 乙方向甲方双倍返还存在权利瑕疵的产品价款。</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color w:val="auto"/>
          <w:sz w:val="21"/>
          <w:szCs w:val="21"/>
        </w:rPr>
        <w:t>诉讼费、律师费、保全费、保全保险费、交通费、差旅费、鉴定费</w:t>
      </w:r>
      <w:r>
        <w:rPr>
          <w:rFonts w:ascii="Times New Roman" w:hAnsi="Times New Roman" w:eastAsia="楷体"/>
          <w:color w:val="auto"/>
          <w:sz w:val="21"/>
          <w:szCs w:val="21"/>
        </w:rPr>
        <w:t>以及任何性质的债务。</w:t>
      </w:r>
    </w:p>
    <w:p>
      <w:pPr>
        <w:pStyle w:val="31"/>
        <w:numPr>
          <w:ilvl w:val="0"/>
          <w:numId w:val="3"/>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highlight w:val="none"/>
          <w:lang w:val="en-US" w:eastAsia="zh-CN"/>
        </w:rPr>
        <w:t>涉及产品间数据互通的软件定制开发部分，乙方只负责自身采购产品及项目现场原有设备互联互通和向外传输数据的接口。</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产品交货时间方式及费用负担</w:t>
      </w:r>
    </w:p>
    <w:p>
      <w:pPr>
        <w:pStyle w:val="31"/>
        <w:numPr>
          <w:ilvl w:val="0"/>
          <w:numId w:val="4"/>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 w:val="21"/>
          <w:szCs w:val="21"/>
          <w:u w:val="single"/>
          <w:lang w:eastAsia="zh-CN"/>
        </w:rPr>
        <w:t>交货时间：</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交货地点：</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（指定收货人：</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，联系电话：</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）或甲方书面通知的其他地方。</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本产品所有权自产品交付给甲方之日起全部转移给甲方。</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运输的费用由乙方承担，含过路费、卸载费、</w:t>
      </w:r>
      <w:r>
        <w:rPr>
          <w:rFonts w:hint="eastAsia" w:ascii="Times New Roman" w:hAnsi="Times New Roman" w:eastAsia="楷体"/>
          <w:color w:val="auto"/>
          <w:sz w:val="21"/>
          <w:szCs w:val="21"/>
          <w:lang w:val="en-US" w:eastAsia="zh-Hans"/>
        </w:rPr>
        <w:t>运输费</w:t>
      </w:r>
      <w:r>
        <w:rPr>
          <w:rFonts w:ascii="Times New Roman" w:hAnsi="Times New Roman" w:eastAsia="楷体"/>
          <w:color w:val="auto"/>
          <w:sz w:val="21"/>
          <w:szCs w:val="21"/>
        </w:rPr>
        <w:t>等相关费用。</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乙方应对产品的包装和运输负责，产品的包装应适应于多次运输、装卸和存放的要求, 并承担产品在运输过程中和交付</w:t>
      </w:r>
      <w:r>
        <w:rPr>
          <w:rFonts w:hint="eastAsia" w:ascii="Times New Roman" w:hAnsi="Times New Roman" w:eastAsia="楷体"/>
          <w:color w:val="auto"/>
          <w:sz w:val="21"/>
          <w:szCs w:val="21"/>
          <w:lang w:val="en-US" w:eastAsia="zh-Hans"/>
        </w:rPr>
        <w:t>甲方</w:t>
      </w:r>
      <w:r>
        <w:rPr>
          <w:rFonts w:ascii="Times New Roman" w:hAnsi="Times New Roman" w:eastAsia="楷体"/>
          <w:color w:val="auto"/>
          <w:sz w:val="21"/>
          <w:szCs w:val="21"/>
        </w:rPr>
        <w:t>前的所有风险。产品应按其需要及特点进行适当包装，并明显地标注“防雨”、“防水”、“防潮”、“此面向上”等字样和其它国际贸易中适当的标志。</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w:t>
      </w:r>
      <w:r>
        <w:rPr>
          <w:rFonts w:hint="eastAsia" w:ascii="Times New Roman" w:hAnsi="Times New Roman" w:eastAsia="楷体"/>
          <w:color w:val="auto"/>
          <w:sz w:val="21"/>
          <w:szCs w:val="21"/>
          <w:lang w:val="en-US" w:eastAsia="zh-CN"/>
        </w:rPr>
        <w:t>按照本合同4.1规定，在收到甲方预付款30%后7个工作日内，向</w:t>
      </w:r>
      <w:r>
        <w:rPr>
          <w:rFonts w:ascii="Times New Roman" w:hAnsi="Times New Roman" w:eastAsia="楷体"/>
          <w:color w:val="auto"/>
          <w:sz w:val="21"/>
          <w:szCs w:val="21"/>
        </w:rPr>
        <w:t>甲方交付产品</w:t>
      </w:r>
      <w:r>
        <w:rPr>
          <w:rFonts w:hint="eastAsia" w:ascii="Times New Roman" w:hAnsi="Times New Roman" w:eastAsia="楷体"/>
          <w:color w:val="auto"/>
          <w:sz w:val="21"/>
          <w:szCs w:val="21"/>
          <w:lang w:eastAsia="zh-CN"/>
        </w:rPr>
        <w:t>。</w:t>
      </w:r>
      <w:r>
        <w:rPr>
          <w:rFonts w:hint="eastAsia" w:ascii="Times New Roman" w:hAnsi="Times New Roman" w:eastAsia="楷体"/>
          <w:color w:val="auto"/>
          <w:sz w:val="21"/>
          <w:szCs w:val="21"/>
          <w:lang w:val="en-US" w:eastAsia="zh-CN"/>
        </w:rPr>
        <w:t>乙方在</w:t>
      </w:r>
      <w:r>
        <w:rPr>
          <w:rFonts w:ascii="Times New Roman" w:hAnsi="Times New Roman" w:eastAsia="楷体"/>
          <w:color w:val="auto"/>
          <w:sz w:val="21"/>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在履行合同过程中，如果乙方遇到不能按时交货和/或提供服务的情况，应至少提前5天以书面形式将不能按时交货和/或提供服务的理由、延误时间通知甲方。甲方在收到乙方通知后，</w:t>
      </w:r>
      <w:r>
        <w:rPr>
          <w:rFonts w:ascii="Times New Roman" w:hAnsi="Times New Roman" w:eastAsia="楷体"/>
          <w:sz w:val="21"/>
          <w:szCs w:val="21"/>
        </w:rPr>
        <w:t>甲方有权单方决定是否修改本合同中</w:t>
      </w:r>
      <w:r>
        <w:rPr>
          <w:rFonts w:hint="eastAsia" w:ascii="Times New Roman" w:hAnsi="Times New Roman" w:eastAsia="楷体"/>
          <w:sz w:val="21"/>
          <w:szCs w:val="21"/>
          <w:lang w:val="en-US" w:eastAsia="zh-CN"/>
        </w:rPr>
        <w:t>约定</w:t>
      </w:r>
      <w:r>
        <w:rPr>
          <w:rFonts w:ascii="Times New Roman" w:hAnsi="Times New Roman" w:eastAsia="楷体"/>
          <w:sz w:val="21"/>
          <w:szCs w:val="21"/>
        </w:rPr>
        <w:t>的交货时间</w:t>
      </w:r>
      <w:r>
        <w:rPr>
          <w:rFonts w:hint="eastAsia" w:ascii="Times New Roman" w:hAnsi="Times New Roman" w:eastAsia="楷体"/>
          <w:sz w:val="21"/>
          <w:szCs w:val="21"/>
          <w:lang w:eastAsia="zh-CN"/>
        </w:rPr>
        <w:t>，</w:t>
      </w:r>
      <w:r>
        <w:rPr>
          <w:rFonts w:hint="eastAsia" w:ascii="Times New Roman" w:hAnsi="Times New Roman" w:eastAsia="楷体"/>
          <w:sz w:val="21"/>
          <w:szCs w:val="21"/>
          <w:lang w:val="en-US" w:eastAsia="zh-CN"/>
        </w:rPr>
        <w:t>如甲方不同意乙方延期交货的，乙方应在甲方明确拒绝当日退回甲方预付货款。</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如果乙方交货不符合合同的约定，除非甲方有其它说明，乙方应自费在甲方规定的时间</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15</w:t>
      </w:r>
      <w:r>
        <w:rPr>
          <w:rFonts w:hint="eastAsia" w:ascii="Times New Roman" w:hAnsi="Times New Roman" w:eastAsia="楷体"/>
          <w:color w:val="auto"/>
          <w:sz w:val="21"/>
          <w:szCs w:val="21"/>
          <w:u w:val="single"/>
        </w:rPr>
        <w:t>个工作日</w:t>
      </w:r>
      <w:r>
        <w:rPr>
          <w:rFonts w:ascii="Times New Roman" w:hAnsi="Times New Roman" w:eastAsia="楷体"/>
          <w:color w:val="auto"/>
          <w:sz w:val="21"/>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color w:val="auto"/>
          <w:sz w:val="21"/>
          <w:szCs w:val="21"/>
          <w:lang w:val="en-US" w:eastAsia="zh-Hans"/>
        </w:rPr>
        <w:t>及造成的损失</w:t>
      </w:r>
      <w:r>
        <w:rPr>
          <w:rFonts w:ascii="Times New Roman" w:hAnsi="Times New Roman" w:eastAsia="楷体"/>
          <w:color w:val="auto"/>
          <w:sz w:val="21"/>
          <w:szCs w:val="21"/>
        </w:rPr>
        <w:t>由乙方承担。</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color w:val="auto"/>
          <w:sz w:val="21"/>
          <w:szCs w:val="21"/>
          <w:lang w:val="en-US" w:eastAsia="zh-Hans"/>
        </w:rPr>
        <w:t>乙方同意</w:t>
      </w:r>
      <w:r>
        <w:rPr>
          <w:rFonts w:ascii="Times New Roman" w:hAnsi="Times New Roman" w:eastAsia="楷体"/>
          <w:color w:val="auto"/>
          <w:sz w:val="21"/>
          <w:szCs w:val="21"/>
        </w:rPr>
        <w:t>仓储费及管理费免予收取）承担付费的责任。但是产品不符合本合同规定和/或乙方存在违约的情形除外。</w:t>
      </w:r>
    </w:p>
    <w:p>
      <w:pPr>
        <w:pStyle w:val="31"/>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3.10.</w:t>
      </w:r>
      <w:r>
        <w:rPr>
          <w:rFonts w:ascii="Times New Roman" w:hAnsi="Times New Roman" w:eastAsia="楷体"/>
          <w:color w:val="auto"/>
          <w:sz w:val="21"/>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color w:val="auto"/>
          <w:sz w:val="21"/>
          <w:szCs w:val="21"/>
        </w:rPr>
        <w:t>迟延履行</w:t>
      </w:r>
      <w:r>
        <w:rPr>
          <w:rFonts w:ascii="Times New Roman" w:hAnsi="Times New Roman" w:eastAsia="楷体"/>
          <w:color w:val="auto"/>
          <w:sz w:val="21"/>
          <w:szCs w:val="21"/>
        </w:rPr>
        <w:t>，甲方有权按本合同的</w:t>
      </w:r>
      <w:r>
        <w:rPr>
          <w:rFonts w:hint="eastAsia" w:ascii="Times New Roman" w:hAnsi="Times New Roman" w:eastAsia="楷体"/>
          <w:color w:val="auto"/>
          <w:sz w:val="21"/>
          <w:szCs w:val="21"/>
          <w:lang w:val="en-US" w:eastAsia="zh-CN"/>
        </w:rPr>
        <w:t>7.1</w:t>
      </w:r>
      <w:r>
        <w:rPr>
          <w:rFonts w:ascii="Times New Roman" w:hAnsi="Times New Roman" w:eastAsia="楷体"/>
          <w:color w:val="auto"/>
          <w:sz w:val="21"/>
          <w:szCs w:val="21"/>
        </w:rPr>
        <w:t>条要求乙方承担</w:t>
      </w:r>
      <w:r>
        <w:rPr>
          <w:rFonts w:ascii="Times New Roman" w:hAnsi="Times New Roman" w:eastAsia="楷体"/>
          <w:bCs/>
          <w:color w:val="auto"/>
          <w:sz w:val="21"/>
          <w:szCs w:val="21"/>
        </w:rPr>
        <w:t>迟延</w:t>
      </w:r>
      <w:r>
        <w:rPr>
          <w:rFonts w:hint="eastAsia" w:ascii="Times New Roman" w:hAnsi="Times New Roman" w:eastAsia="楷体"/>
          <w:bCs/>
          <w:color w:val="auto"/>
          <w:sz w:val="21"/>
          <w:szCs w:val="21"/>
        </w:rPr>
        <w:t>履行</w:t>
      </w:r>
      <w:r>
        <w:rPr>
          <w:rFonts w:ascii="Times New Roman" w:hAnsi="Times New Roman" w:eastAsia="楷体"/>
          <w:bCs/>
          <w:color w:val="auto"/>
          <w:sz w:val="21"/>
          <w:szCs w:val="21"/>
        </w:rPr>
        <w:t>违约</w:t>
      </w:r>
      <w:r>
        <w:rPr>
          <w:rFonts w:ascii="Times New Roman" w:hAnsi="Times New Roman" w:eastAsia="楷体"/>
          <w:color w:val="auto"/>
          <w:sz w:val="21"/>
          <w:szCs w:val="21"/>
        </w:rPr>
        <w:t>责任；甲方也有权拒绝接收乙方在交货期限届满后交付的补足产品，并要求乙方支付相当于差额产品总货款20%的违约金。</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付款时间及方式</w:t>
      </w:r>
    </w:p>
    <w:p>
      <w:pPr>
        <w:pStyle w:val="31"/>
        <w:numPr>
          <w:ilvl w:val="0"/>
          <w:numId w:val="5"/>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rPr>
        <w:t>合同签署后10个工作日内，甲方以预付的方式支付给乙方合同总价的</w:t>
      </w:r>
      <w:r>
        <w:rPr>
          <w:rFonts w:ascii="Times New Roman" w:hAnsi="Times New Roman" w:eastAsia="楷体"/>
          <w:color w:val="auto"/>
          <w:sz w:val="21"/>
          <w:szCs w:val="21"/>
          <w:u w:val="single"/>
        </w:rPr>
        <w:t>30%</w:t>
      </w:r>
      <w:r>
        <w:rPr>
          <w:rFonts w:hint="eastAsia" w:ascii="Times New Roman" w:hAnsi="Times New Roman" w:eastAsia="楷体"/>
          <w:color w:val="auto"/>
          <w:sz w:val="21"/>
          <w:szCs w:val="21"/>
        </w:rPr>
        <w:t>，</w:t>
      </w:r>
      <w:r>
        <w:rPr>
          <w:rFonts w:ascii="Times New Roman" w:hAnsi="Times New Roman" w:eastAsia="楷体"/>
          <w:color w:val="auto"/>
          <w:sz w:val="21"/>
          <w:szCs w:val="21"/>
        </w:rPr>
        <w:t>甲方收到</w:t>
      </w:r>
      <w:r>
        <w:rPr>
          <w:rFonts w:hint="eastAsia" w:ascii="Times New Roman" w:hAnsi="Times New Roman" w:eastAsia="楷体"/>
          <w:color w:val="auto"/>
          <w:sz w:val="21"/>
          <w:szCs w:val="21"/>
          <w:lang w:val="en-US" w:eastAsia="zh-Hans"/>
        </w:rPr>
        <w:t>全部</w:t>
      </w:r>
      <w:r>
        <w:rPr>
          <w:rFonts w:ascii="Times New Roman" w:hAnsi="Times New Roman" w:eastAsia="楷体"/>
          <w:color w:val="auto"/>
          <w:sz w:val="21"/>
          <w:szCs w:val="21"/>
        </w:rPr>
        <w:t>产品且</w:t>
      </w:r>
      <w:r>
        <w:rPr>
          <w:rFonts w:hint="eastAsia" w:ascii="Times New Roman" w:hAnsi="Times New Roman" w:eastAsia="楷体"/>
          <w:color w:val="auto"/>
          <w:sz w:val="21"/>
          <w:szCs w:val="21"/>
          <w:lang w:val="en-US" w:eastAsia="zh-CN"/>
        </w:rPr>
        <w:t>该项目竣工</w:t>
      </w:r>
      <w:r>
        <w:rPr>
          <w:rFonts w:ascii="Times New Roman" w:hAnsi="Times New Roman" w:eastAsia="楷体"/>
          <w:color w:val="auto"/>
          <w:sz w:val="21"/>
          <w:szCs w:val="21"/>
        </w:rPr>
        <w:t>验收合格后</w:t>
      </w:r>
      <w:r>
        <w:rPr>
          <w:rFonts w:hint="eastAsia" w:ascii="Times New Roman" w:hAnsi="Times New Roman" w:eastAsia="楷体"/>
          <w:color w:val="auto"/>
          <w:sz w:val="21"/>
          <w:szCs w:val="21"/>
          <w:lang w:eastAsia="zh-CN"/>
        </w:rPr>
        <w:t>，</w:t>
      </w:r>
      <w:r>
        <w:rPr>
          <w:rFonts w:hint="eastAsia" w:ascii="Times New Roman" w:hAnsi="Times New Roman" w:eastAsia="楷体"/>
          <w:color w:val="auto"/>
          <w:sz w:val="21"/>
          <w:szCs w:val="21"/>
          <w:lang w:val="en-US" w:eastAsia="zh-CN"/>
        </w:rPr>
        <w:t>由</w:t>
      </w:r>
      <w:r>
        <w:rPr>
          <w:rFonts w:ascii="Times New Roman" w:hAnsi="Times New Roman" w:eastAsia="楷体"/>
          <w:color w:val="auto"/>
          <w:sz w:val="21"/>
          <w:szCs w:val="21"/>
        </w:rPr>
        <w:t>乙方</w:t>
      </w:r>
      <w:r>
        <w:rPr>
          <w:rFonts w:hint="eastAsia" w:ascii="Times New Roman" w:hAnsi="Times New Roman" w:eastAsia="楷体"/>
          <w:color w:val="auto"/>
          <w:sz w:val="21"/>
          <w:szCs w:val="21"/>
          <w:lang w:val="en-US" w:eastAsia="zh-CN"/>
        </w:rPr>
        <w:t>提交付款申请材料</w:t>
      </w:r>
      <w:r>
        <w:rPr>
          <w:rFonts w:hint="eastAsia" w:ascii="Times New Roman" w:hAnsi="Times New Roman" w:eastAsia="楷体"/>
          <w:color w:val="auto"/>
          <w:sz w:val="21"/>
          <w:szCs w:val="21"/>
          <w:highlight w:val="none"/>
          <w:lang w:val="en-US" w:eastAsia="zh-CN"/>
        </w:rPr>
        <w:t>并</w:t>
      </w:r>
      <w:r>
        <w:rPr>
          <w:rFonts w:ascii="Times New Roman" w:hAnsi="Times New Roman" w:eastAsia="楷体"/>
          <w:color w:val="auto"/>
          <w:sz w:val="21"/>
          <w:szCs w:val="21"/>
          <w:highlight w:val="none"/>
        </w:rPr>
        <w:t>开具正式且符合甲方要求的增值税专用发票，甲方收到此发票后30个工作日内支付甲方合同总价的</w:t>
      </w:r>
      <w:r>
        <w:rPr>
          <w:rFonts w:hint="eastAsia" w:ascii="Times New Roman" w:hAnsi="Times New Roman" w:eastAsia="楷体"/>
          <w:color w:val="auto"/>
          <w:sz w:val="21"/>
          <w:szCs w:val="21"/>
          <w:highlight w:val="none"/>
          <w:lang w:val="en-US" w:eastAsia="zh-CN"/>
        </w:rPr>
        <w:t>65</w:t>
      </w:r>
      <w:r>
        <w:rPr>
          <w:rFonts w:ascii="Times New Roman" w:hAnsi="Times New Roman" w:eastAsia="楷体"/>
          <w:color w:val="auto"/>
          <w:sz w:val="21"/>
          <w:szCs w:val="21"/>
          <w:highlight w:val="none"/>
        </w:rPr>
        <w:t xml:space="preserve"> %；合同总价的</w:t>
      </w:r>
      <w:r>
        <w:rPr>
          <w:rFonts w:hint="eastAsia" w:ascii="Times New Roman" w:hAnsi="Times New Roman" w:eastAsia="楷体"/>
          <w:color w:val="auto"/>
          <w:sz w:val="21"/>
          <w:szCs w:val="21"/>
          <w:highlight w:val="none"/>
          <w:u w:val="single"/>
          <w:lang w:val="en-US" w:eastAsia="zh-CN"/>
        </w:rPr>
        <w:t>5</w:t>
      </w:r>
      <w:r>
        <w:rPr>
          <w:rFonts w:ascii="Times New Roman" w:hAnsi="Times New Roman" w:eastAsia="楷体"/>
          <w:color w:val="auto"/>
          <w:sz w:val="21"/>
          <w:szCs w:val="21"/>
          <w:highlight w:val="none"/>
        </w:rPr>
        <w:t xml:space="preserve"> %作为质保金，于产品质保期届满后无任何质量问题的30日内支付质保金余额（如有）。</w:t>
      </w:r>
    </w:p>
    <w:p>
      <w:pPr>
        <w:pStyle w:val="31"/>
        <w:numPr>
          <w:ilvl w:val="0"/>
          <w:numId w:val="5"/>
        </w:numPr>
        <w:ind w:left="0" w:firstLine="0" w:firstLineChars="0"/>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 xml:space="preserve">1)  注明产品名称、数量、单价、正式的增值税专用发票。 </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2)  甲方签发的产品接收单。</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3)  质量合格证书、保修证书。</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4)  详细的装箱单。</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5)  原产地证明。（如有）</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6)</w:t>
      </w:r>
      <w:r>
        <w:rPr>
          <w:rFonts w:hint="eastAsia" w:ascii="Times New Roman" w:hAnsi="Times New Roman" w:eastAsia="楷体"/>
          <w:color w:val="auto"/>
          <w:sz w:val="21"/>
          <w:szCs w:val="21"/>
          <w:highlight w:val="none"/>
          <w:lang w:val="en-US" w:eastAsia="zh-CN"/>
        </w:rPr>
        <w:t xml:space="preserve">  </w:t>
      </w:r>
      <w:r>
        <w:rPr>
          <w:rFonts w:ascii="Times New Roman" w:hAnsi="Times New Roman" w:eastAsia="楷体"/>
          <w:color w:val="auto"/>
          <w:sz w:val="21"/>
          <w:szCs w:val="21"/>
          <w:highlight w:val="none"/>
        </w:rPr>
        <w:t>合同规定或双方另行约定的乙方应当提交的其他文件。</w:t>
      </w:r>
    </w:p>
    <w:p>
      <w:pPr>
        <w:pStyle w:val="31"/>
        <w:numPr>
          <w:ilvl w:val="0"/>
          <w:numId w:val="2"/>
        </w:numPr>
        <w:ind w:firstLineChars="0"/>
        <w:rPr>
          <w:rFonts w:ascii="Times New Roman" w:hAnsi="Times New Roman" w:eastAsia="楷体"/>
          <w:b/>
          <w:color w:val="auto"/>
          <w:sz w:val="21"/>
          <w:szCs w:val="21"/>
          <w:highlight w:val="none"/>
        </w:rPr>
      </w:pPr>
      <w:r>
        <w:rPr>
          <w:rFonts w:hint="eastAsia" w:ascii="Times New Roman" w:hAnsi="Times New Roman" w:eastAsia="楷体"/>
          <w:b/>
          <w:color w:val="auto"/>
          <w:sz w:val="21"/>
          <w:szCs w:val="21"/>
          <w:highlight w:val="none"/>
          <w:lang w:eastAsia="zh-CN"/>
        </w:rPr>
        <w:t>安装培训及</w:t>
      </w:r>
      <w:r>
        <w:rPr>
          <w:rFonts w:ascii="Times New Roman" w:hAnsi="Times New Roman" w:eastAsia="楷体"/>
          <w:b/>
          <w:color w:val="auto"/>
          <w:sz w:val="21"/>
          <w:szCs w:val="21"/>
          <w:highlight w:val="none"/>
        </w:rPr>
        <w:t xml:space="preserve">产品验收  </w:t>
      </w:r>
    </w:p>
    <w:p>
      <w:pPr>
        <w:pStyle w:val="31"/>
        <w:numPr>
          <w:ilvl w:val="0"/>
          <w:numId w:val="6"/>
        </w:numPr>
        <w:ind w:left="0" w:firstLine="0" w:firstLineChars="0"/>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31"/>
        <w:numPr>
          <w:ilvl w:val="0"/>
          <w:numId w:val="6"/>
        </w:numPr>
        <w:ind w:left="0" w:firstLine="0" w:firstLineChars="0"/>
        <w:rPr>
          <w:rFonts w:hint="eastAsia" w:ascii="楷体" w:hAnsi="楷体" w:eastAsia="楷体" w:cs="楷体"/>
          <w:color w:val="auto"/>
          <w:sz w:val="21"/>
          <w:szCs w:val="21"/>
          <w:highlight w:val="none"/>
        </w:rPr>
      </w:pPr>
      <w:r>
        <w:rPr>
          <w:rFonts w:hint="eastAsia" w:ascii="Times New Roman" w:hAnsi="Times New Roman" w:eastAsia="楷体"/>
          <w:bCs/>
          <w:color w:val="auto"/>
          <w:sz w:val="21"/>
          <w:szCs w:val="21"/>
          <w:highlight w:val="none"/>
          <w:lang w:eastAsia="zh-CN"/>
        </w:rPr>
        <w:t>乙方在甲方指定的地点对产品进行安装、调试，运行一个月无问题后，对乙方提供的产品进行验收。</w:t>
      </w:r>
      <w:r>
        <w:rPr>
          <w:rFonts w:hint="eastAsia" w:ascii="Times New Roman" w:hAnsi="Times New Roman" w:eastAsia="楷体"/>
          <w:bCs/>
          <w:color w:val="auto"/>
          <w:sz w:val="21"/>
          <w:szCs w:val="21"/>
          <w:highlight w:val="none"/>
          <w:lang w:val="en-US" w:eastAsia="zh-CN"/>
        </w:rPr>
        <w:t>安装时间：甲方签收产品5个工作日之后乙方须开始安装，自安装之日起，安装期限为1个月。</w:t>
      </w:r>
      <w:r>
        <w:rPr>
          <w:rFonts w:hint="eastAsia" w:ascii="Times New Roman" w:hAnsi="Times New Roman" w:eastAsia="楷体"/>
          <w:bCs/>
          <w:color w:val="auto"/>
          <w:sz w:val="21"/>
          <w:szCs w:val="21"/>
          <w:highlight w:val="none"/>
          <w:lang w:eastAsia="zh-CN"/>
        </w:rPr>
        <w:t>安装地点：</w:t>
      </w:r>
      <w:r>
        <w:rPr>
          <w:rFonts w:hint="eastAsia" w:ascii="Times New Roman" w:hAnsi="Times New Roman" w:eastAsia="楷体"/>
          <w:bCs/>
          <w:color w:val="auto"/>
          <w:szCs w:val="21"/>
          <w:highlight w:val="none"/>
        </w:rPr>
        <w:t>钦州市钦南区保税港区</w:t>
      </w:r>
      <w:r>
        <w:rPr>
          <w:rFonts w:hint="eastAsia" w:ascii="楷体" w:hAnsi="楷体" w:eastAsia="楷体" w:cs="楷体"/>
          <w:color w:val="auto"/>
          <w:sz w:val="21"/>
          <w:szCs w:val="21"/>
          <w:lang w:val="en-US" w:eastAsia="zh-CN"/>
        </w:rPr>
        <w:t>棉纺产业园原棉仓库东南面</w:t>
      </w:r>
      <w:r>
        <w:rPr>
          <w:rFonts w:hint="eastAsia" w:ascii="楷体" w:hAnsi="楷体" w:eastAsia="楷体" w:cs="楷体"/>
          <w:bCs/>
          <w:color w:val="auto"/>
          <w:sz w:val="21"/>
          <w:szCs w:val="21"/>
          <w:highlight w:val="none"/>
        </w:rPr>
        <w:t>。</w:t>
      </w:r>
    </w:p>
    <w:p>
      <w:pPr>
        <w:pStyle w:val="31"/>
        <w:numPr>
          <w:ilvl w:val="0"/>
          <w:numId w:val="6"/>
        </w:numPr>
        <w:ind w:left="0"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乙方应对安装产品的使用方法培训甲方相</w:t>
      </w:r>
      <w:r>
        <w:rPr>
          <w:rFonts w:hint="eastAsia" w:ascii="楷体" w:hAnsi="楷体" w:eastAsia="楷体" w:cs="楷体"/>
          <w:color w:val="auto"/>
          <w:sz w:val="21"/>
          <w:szCs w:val="21"/>
          <w:highlight w:val="none"/>
          <w:lang w:val="en-US" w:eastAsia="zh-CN"/>
        </w:rPr>
        <w:t>关</w:t>
      </w:r>
      <w:r>
        <w:rPr>
          <w:rFonts w:hint="eastAsia" w:ascii="楷体" w:hAnsi="楷体" w:eastAsia="楷体" w:cs="楷体"/>
          <w:color w:val="auto"/>
          <w:sz w:val="21"/>
          <w:szCs w:val="21"/>
          <w:highlight w:val="none"/>
          <w:lang w:eastAsia="zh-CN"/>
        </w:rPr>
        <w:t>人员，培训地点为：</w:t>
      </w:r>
      <w:r>
        <w:rPr>
          <w:rFonts w:hint="eastAsia" w:ascii="楷体" w:hAnsi="楷体" w:eastAsia="楷体" w:cs="楷体"/>
          <w:color w:val="auto"/>
          <w:szCs w:val="21"/>
          <w:highlight w:val="none"/>
        </w:rPr>
        <w:t>钦州市钦南区保税港区</w:t>
      </w:r>
      <w:r>
        <w:rPr>
          <w:rFonts w:hint="eastAsia" w:ascii="楷体" w:hAnsi="楷体" w:eastAsia="楷体" w:cs="楷体"/>
          <w:color w:val="auto"/>
          <w:sz w:val="21"/>
          <w:szCs w:val="21"/>
          <w:lang w:val="en-US" w:eastAsia="zh-CN"/>
        </w:rPr>
        <w:t>棉纺产业园原棉仓库东南面。</w:t>
      </w:r>
    </w:p>
    <w:p>
      <w:pPr>
        <w:pStyle w:val="31"/>
        <w:numPr>
          <w:ilvl w:val="0"/>
          <w:numId w:val="6"/>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Cs w:val="21"/>
          <w:highlight w:val="none"/>
          <w:lang w:val="en-US" w:eastAsia="zh-Hans"/>
        </w:rPr>
        <w:t>乙方安装本合同设备设施时应当注意安全</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乙方工作人员在安装过程中造成自身</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第三人或甲方人身</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财产损害的</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由乙方承担赔偿责任</w:t>
      </w:r>
      <w:r>
        <w:rPr>
          <w:rFonts w:hint="default" w:ascii="Times New Roman" w:hAnsi="Times New Roman" w:eastAsia="楷体"/>
          <w:color w:val="auto"/>
          <w:szCs w:val="21"/>
          <w:highlight w:val="none"/>
          <w:lang w:eastAsia="zh-Hans"/>
        </w:rPr>
        <w:t>。</w:t>
      </w:r>
    </w:p>
    <w:p>
      <w:pPr>
        <w:pStyle w:val="31"/>
        <w:numPr>
          <w:ilvl w:val="0"/>
          <w:numId w:val="2"/>
        </w:numPr>
        <w:ind w:firstLineChars="0"/>
        <w:rPr>
          <w:rFonts w:ascii="Times New Roman" w:hAnsi="Times New Roman" w:eastAsia="楷体"/>
          <w:b/>
          <w:color w:val="auto"/>
          <w:sz w:val="21"/>
          <w:szCs w:val="21"/>
          <w:highlight w:val="none"/>
        </w:rPr>
      </w:pPr>
      <w:r>
        <w:rPr>
          <w:rFonts w:ascii="Times New Roman" w:hAnsi="Times New Roman" w:eastAsia="楷体"/>
          <w:b/>
          <w:color w:val="auto"/>
          <w:sz w:val="21"/>
          <w:szCs w:val="21"/>
          <w:highlight w:val="none"/>
        </w:rPr>
        <w:t>质保期</w:t>
      </w:r>
    </w:p>
    <w:p>
      <w:pPr>
        <w:rPr>
          <w:rFonts w:ascii="Times New Roman" w:hAnsi="Times New Roman" w:eastAsia="楷体"/>
          <w:color w:val="auto"/>
          <w:sz w:val="21"/>
          <w:szCs w:val="21"/>
        </w:rPr>
      </w:pPr>
      <w:r>
        <w:rPr>
          <w:rFonts w:ascii="Times New Roman" w:hAnsi="Times New Roman" w:eastAsia="楷体"/>
          <w:color w:val="auto"/>
          <w:sz w:val="21"/>
          <w:szCs w:val="21"/>
          <w:highlight w:val="none"/>
        </w:rPr>
        <w:t>甲方完全享受乙方对合同产品在中国地区所承诺的一切质量保证、维护及其它服务。产品质保期为自甲方收到产品且验收合格之日起【</w:t>
      </w:r>
      <w:r>
        <w:rPr>
          <w:rFonts w:ascii="Times New Roman" w:hAnsi="Times New Roman" w:eastAsia="楷体"/>
          <w:color w:val="auto"/>
          <w:sz w:val="21"/>
          <w:szCs w:val="21"/>
          <w:highlight w:val="none"/>
          <w:u w:val="single"/>
        </w:rPr>
        <w:t xml:space="preserve"> </w:t>
      </w:r>
      <w:r>
        <w:rPr>
          <w:rFonts w:hint="eastAsia" w:ascii="Times New Roman" w:hAnsi="Times New Roman" w:eastAsia="楷体"/>
          <w:color w:val="auto"/>
          <w:sz w:val="21"/>
          <w:szCs w:val="21"/>
          <w:highlight w:val="none"/>
          <w:u w:val="single"/>
          <w:lang w:val="en-US" w:eastAsia="zh-CN"/>
        </w:rPr>
        <w:t xml:space="preserve">18 </w:t>
      </w:r>
      <w:r>
        <w:rPr>
          <w:rFonts w:ascii="Times New Roman" w:hAnsi="Times New Roman" w:eastAsia="楷体"/>
          <w:color w:val="auto"/>
          <w:sz w:val="21"/>
          <w:szCs w:val="21"/>
          <w:highlight w:val="none"/>
        </w:rPr>
        <w:t>】</w:t>
      </w:r>
      <w:r>
        <w:rPr>
          <w:rFonts w:hint="eastAsia" w:ascii="Times New Roman" w:hAnsi="Times New Roman" w:eastAsia="楷体"/>
          <w:color w:val="auto"/>
          <w:sz w:val="21"/>
          <w:szCs w:val="21"/>
          <w:highlight w:val="none"/>
          <w:lang w:val="en-US" w:eastAsia="zh-CN"/>
        </w:rPr>
        <w:t>个月</w:t>
      </w:r>
      <w:r>
        <w:rPr>
          <w:rFonts w:ascii="Times New Roman" w:hAnsi="Times New Roman" w:eastAsia="楷体"/>
          <w:color w:val="auto"/>
          <w:sz w:val="21"/>
          <w:szCs w:val="21"/>
          <w:highlight w:val="none"/>
        </w:rPr>
        <w:t>或产品原厂家质保期（以较长者为准），但维修或更换（如有）</w:t>
      </w:r>
      <w:r>
        <w:rPr>
          <w:rFonts w:hint="eastAsia" w:ascii="Times New Roman" w:hAnsi="Times New Roman" w:eastAsia="楷体"/>
          <w:color w:val="auto"/>
          <w:sz w:val="21"/>
          <w:szCs w:val="21"/>
          <w:highlight w:val="none"/>
        </w:rPr>
        <w:t>后</w:t>
      </w:r>
      <w:r>
        <w:rPr>
          <w:rFonts w:ascii="Times New Roman" w:hAnsi="Times New Roman" w:eastAsia="楷体"/>
          <w:color w:val="auto"/>
          <w:sz w:val="21"/>
          <w:szCs w:val="21"/>
          <w:highlight w:val="none"/>
        </w:rPr>
        <w:t>的产品的质保期应当自维修或更换完成且甲方书面确认接受起重新计算，质保服务按产品保修证书和该产品生产厂家的标准执行（但质保服务不应低于国家和</w:t>
      </w:r>
      <w:r>
        <w:rPr>
          <w:rFonts w:ascii="Times New Roman" w:hAnsi="Times New Roman" w:eastAsia="楷体"/>
          <w:color w:val="auto"/>
          <w:sz w:val="21"/>
          <w:szCs w:val="21"/>
        </w:rPr>
        <w:t>行业相关规定、规范及标准）。</w:t>
      </w:r>
      <w:r>
        <w:rPr>
          <w:rFonts w:hint="eastAsia" w:ascii="Times New Roman" w:hAnsi="Times New Roman" w:eastAsia="楷体"/>
          <w:color w:val="auto"/>
          <w:sz w:val="21"/>
          <w:szCs w:val="21"/>
          <w:lang w:val="en-US" w:eastAsia="zh-CN"/>
        </w:rPr>
        <w:t>质保期内设备出现故障，乙方应保证在12小时内将故障处理完成，并将处理完成结果通知甲方联系人。</w:t>
      </w:r>
      <w:r>
        <w:rPr>
          <w:rFonts w:ascii="Times New Roman" w:hAnsi="Times New Roman" w:eastAsia="楷体"/>
          <w:color w:val="auto"/>
          <w:sz w:val="21"/>
          <w:szCs w:val="21"/>
        </w:rPr>
        <w:t>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违约责任</w:t>
      </w:r>
    </w:p>
    <w:p>
      <w:pPr>
        <w:pStyle w:val="31"/>
        <w:numPr>
          <w:ilvl w:val="0"/>
          <w:numId w:val="7"/>
        </w:numPr>
        <w:ind w:left="0" w:firstLine="0" w:firstLineChars="0"/>
        <w:rPr>
          <w:rFonts w:ascii="Times New Roman" w:hAnsi="Times New Roman" w:eastAsia="楷体"/>
          <w:bCs/>
          <w:color w:val="auto"/>
          <w:sz w:val="21"/>
          <w:szCs w:val="21"/>
        </w:rPr>
      </w:pPr>
      <w:r>
        <w:rPr>
          <w:rFonts w:ascii="Times New Roman" w:hAnsi="Times New Roman" w:eastAsia="楷体"/>
          <w:bCs/>
          <w:color w:val="auto"/>
          <w:sz w:val="21"/>
          <w:szCs w:val="21"/>
        </w:rPr>
        <w:t>如果乙方迟延交货、交货不符合合同约定或迟延履行其他义务的，而该违约行为非因不可抗力且未征得甲方书面同意，</w:t>
      </w:r>
      <w:r>
        <w:rPr>
          <w:rFonts w:hint="eastAsia" w:ascii="Times New Roman" w:hAnsi="Times New Roman" w:eastAsia="楷体"/>
          <w:bCs/>
          <w:color w:val="auto"/>
          <w:sz w:val="21"/>
          <w:szCs w:val="21"/>
          <w:lang w:val="en-US" w:eastAsia="zh-Hans"/>
        </w:rPr>
        <w:t>每逾期一日</w:t>
      </w:r>
      <w:r>
        <w:rPr>
          <w:rFonts w:hint="default" w:ascii="Times New Roman" w:hAnsi="Times New Roman" w:eastAsia="楷体"/>
          <w:bCs/>
          <w:color w:val="auto"/>
          <w:sz w:val="21"/>
          <w:szCs w:val="21"/>
          <w:lang w:eastAsia="zh-Hans"/>
        </w:rPr>
        <w:t>，</w:t>
      </w:r>
      <w:r>
        <w:rPr>
          <w:rFonts w:ascii="Times New Roman" w:hAnsi="Times New Roman" w:eastAsia="楷体"/>
          <w:bCs/>
          <w:color w:val="auto"/>
          <w:sz w:val="21"/>
          <w:szCs w:val="21"/>
        </w:rPr>
        <w:t>乙方应当按合同总价的0.5%计付日迟延</w:t>
      </w:r>
      <w:r>
        <w:rPr>
          <w:rFonts w:hint="eastAsia" w:ascii="Times New Roman" w:hAnsi="Times New Roman" w:eastAsia="楷体"/>
          <w:bCs/>
          <w:color w:val="auto"/>
          <w:sz w:val="21"/>
          <w:szCs w:val="21"/>
        </w:rPr>
        <w:t>履行</w:t>
      </w:r>
      <w:r>
        <w:rPr>
          <w:rFonts w:ascii="Times New Roman" w:hAnsi="Times New Roman" w:eastAsia="楷体"/>
          <w:bCs/>
          <w:color w:val="auto"/>
          <w:sz w:val="21"/>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31"/>
        <w:numPr>
          <w:ilvl w:val="0"/>
          <w:numId w:val="7"/>
        </w:numPr>
        <w:ind w:left="0" w:firstLine="0" w:firstLineChars="0"/>
        <w:rPr>
          <w:rFonts w:ascii="Times New Roman" w:hAnsi="Times New Roman" w:eastAsia="楷体"/>
          <w:bCs/>
          <w:color w:val="auto"/>
          <w:sz w:val="21"/>
          <w:szCs w:val="21"/>
        </w:rPr>
      </w:pPr>
      <w:r>
        <w:rPr>
          <w:rFonts w:ascii="Times New Roman" w:hAnsi="Times New Roman" w:eastAsia="楷体"/>
          <w:bCs/>
          <w:color w:val="auto"/>
          <w:sz w:val="21"/>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color w:val="auto"/>
          <w:sz w:val="21"/>
          <w:szCs w:val="21"/>
        </w:rPr>
      </w:pPr>
      <w:r>
        <w:rPr>
          <w:rFonts w:ascii="Times New Roman" w:hAnsi="Times New Roman" w:eastAsia="楷体"/>
          <w:bCs/>
          <w:color w:val="auto"/>
          <w:sz w:val="21"/>
          <w:szCs w:val="21"/>
        </w:rPr>
        <w:t>1)</w:t>
      </w:r>
      <w:r>
        <w:rPr>
          <w:rFonts w:ascii="Times New Roman" w:hAnsi="Times New Roman" w:eastAsia="楷体"/>
          <w:bCs/>
          <w:color w:val="auto"/>
          <w:sz w:val="21"/>
          <w:szCs w:val="21"/>
        </w:rPr>
        <w:tab/>
      </w:r>
      <w:r>
        <w:rPr>
          <w:rFonts w:ascii="Times New Roman" w:hAnsi="Times New Roman" w:eastAsia="楷体"/>
          <w:bCs/>
          <w:color w:val="auto"/>
          <w:sz w:val="21"/>
          <w:szCs w:val="21"/>
        </w:rPr>
        <w:t>甲方为维持正常生产运行，从其他供应商处紧急采购此类产品，紧急采购产品价格超过合同总价的损失；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2)</w:t>
      </w:r>
      <w:r>
        <w:rPr>
          <w:rFonts w:ascii="Times New Roman" w:hAnsi="Times New Roman" w:eastAsia="楷体"/>
          <w:bCs/>
          <w:color w:val="auto"/>
          <w:sz w:val="21"/>
          <w:szCs w:val="21"/>
        </w:rPr>
        <w:tab/>
      </w:r>
      <w:r>
        <w:rPr>
          <w:rFonts w:ascii="Times New Roman" w:hAnsi="Times New Roman" w:eastAsia="楷体"/>
          <w:bCs/>
          <w:color w:val="auto"/>
          <w:sz w:val="21"/>
          <w:szCs w:val="21"/>
        </w:rPr>
        <w:t>甲方因正常生产运行受影响而造成的实际损失，包括但不限于采取补救措施产生的费用、生产设备损害的修理费用；</w:t>
      </w:r>
    </w:p>
    <w:p>
      <w:pPr>
        <w:rPr>
          <w:rFonts w:ascii="Times New Roman" w:hAnsi="Times New Roman" w:eastAsia="楷体"/>
          <w:bCs/>
          <w:color w:val="auto"/>
          <w:sz w:val="21"/>
          <w:szCs w:val="21"/>
        </w:rPr>
      </w:pPr>
      <w:r>
        <w:rPr>
          <w:rFonts w:ascii="Times New Roman" w:hAnsi="Times New Roman" w:eastAsia="楷体"/>
          <w:bCs/>
          <w:color w:val="auto"/>
          <w:sz w:val="21"/>
          <w:szCs w:val="21"/>
        </w:rPr>
        <w:t>3)</w:t>
      </w:r>
      <w:r>
        <w:rPr>
          <w:rFonts w:ascii="Times New Roman" w:hAnsi="Times New Roman" w:eastAsia="楷体"/>
          <w:bCs/>
          <w:color w:val="auto"/>
          <w:sz w:val="21"/>
          <w:szCs w:val="21"/>
        </w:rPr>
        <w:tab/>
      </w:r>
      <w:r>
        <w:rPr>
          <w:rFonts w:ascii="Times New Roman" w:hAnsi="Times New Roman" w:eastAsia="楷体"/>
          <w:bCs/>
          <w:color w:val="auto"/>
          <w:sz w:val="21"/>
          <w:szCs w:val="21"/>
        </w:rPr>
        <w:t>甲方因违反与客户签订的商务合同从而产生赔偿责任的损失；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4)</w:t>
      </w:r>
      <w:r>
        <w:rPr>
          <w:rFonts w:ascii="Times New Roman" w:hAnsi="Times New Roman" w:eastAsia="楷体"/>
          <w:bCs/>
          <w:color w:val="auto"/>
          <w:sz w:val="21"/>
          <w:szCs w:val="21"/>
        </w:rPr>
        <w:tab/>
      </w:r>
      <w:r>
        <w:rPr>
          <w:rFonts w:ascii="Times New Roman" w:hAnsi="Times New Roman" w:eastAsia="楷体"/>
          <w:bCs/>
          <w:color w:val="auto"/>
          <w:sz w:val="21"/>
          <w:szCs w:val="21"/>
        </w:rPr>
        <w:t>甲方因生产运行出现问题从而受到政府部门行政处罚造成的损失；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5)</w:t>
      </w:r>
      <w:r>
        <w:rPr>
          <w:rFonts w:ascii="Times New Roman" w:hAnsi="Times New Roman" w:eastAsia="楷体"/>
          <w:bCs/>
          <w:color w:val="auto"/>
          <w:sz w:val="21"/>
          <w:szCs w:val="21"/>
        </w:rPr>
        <w:tab/>
      </w:r>
      <w:r>
        <w:rPr>
          <w:rFonts w:ascii="Times New Roman" w:hAnsi="Times New Roman" w:eastAsia="楷体"/>
          <w:bCs/>
          <w:color w:val="auto"/>
          <w:sz w:val="21"/>
          <w:szCs w:val="21"/>
        </w:rPr>
        <w:t>甲方因此导致的其他损失或费用，包括</w:t>
      </w:r>
      <w:r>
        <w:rPr>
          <w:rFonts w:hint="eastAsia" w:ascii="Times New Roman" w:hAnsi="Times New Roman" w:eastAsia="楷体"/>
          <w:bCs/>
          <w:color w:val="auto"/>
          <w:sz w:val="21"/>
          <w:szCs w:val="21"/>
        </w:rPr>
        <w:t>但不限于诉讼费、律师费、保全费、保全保险费、交通费、差旅费、鉴定费</w:t>
      </w:r>
      <w:r>
        <w:rPr>
          <w:rFonts w:ascii="Times New Roman" w:hAnsi="Times New Roman" w:eastAsia="楷体"/>
          <w:bCs/>
          <w:color w:val="auto"/>
          <w:sz w:val="21"/>
          <w:szCs w:val="21"/>
        </w:rPr>
        <w:t>等相关费用。</w:t>
      </w:r>
    </w:p>
    <w:p>
      <w:pPr>
        <w:jc w:val="left"/>
        <w:rPr>
          <w:rFonts w:ascii="Times New Roman" w:hAnsi="Times New Roman" w:eastAsia="楷体"/>
          <w:bCs/>
          <w:color w:val="auto"/>
          <w:sz w:val="21"/>
          <w:szCs w:val="21"/>
          <w:highlight w:val="none"/>
        </w:rPr>
      </w:pPr>
      <w:r>
        <w:rPr>
          <w:rFonts w:hint="eastAsia" w:ascii="Times New Roman" w:hAnsi="Times New Roman" w:eastAsia="楷体"/>
          <w:bCs/>
          <w:color w:val="auto"/>
          <w:sz w:val="21"/>
          <w:szCs w:val="21"/>
          <w:highlight w:val="none"/>
          <w:lang w:val="en-US" w:eastAsia="zh-CN"/>
        </w:rPr>
        <w:t>7.3.如果甲方未按付款条款约定向乙方支付款项，乙方有权向甲方发催款函，甲方收到催款函后若无反馈或者怠于处理乙方有权向人民法院提起诉讼,要求甲方支付款项及违约金和乙方因此而导致的所有开支。</w:t>
      </w:r>
    </w:p>
    <w:p>
      <w:pPr>
        <w:pStyle w:val="31"/>
        <w:numPr>
          <w:ilvl w:val="0"/>
          <w:numId w:val="2"/>
        </w:numPr>
        <w:ind w:left="-141" w:firstLine="0" w:firstLineChars="0"/>
        <w:jc w:val="left"/>
        <w:rPr>
          <w:rFonts w:ascii="Times New Roman" w:hAnsi="Times New Roman" w:eastAsia="楷体"/>
          <w:b/>
          <w:bCs/>
          <w:color w:val="auto"/>
          <w:sz w:val="21"/>
          <w:szCs w:val="21"/>
        </w:rPr>
      </w:pPr>
      <w:r>
        <w:rPr>
          <w:rFonts w:ascii="Times New Roman" w:hAnsi="Times New Roman" w:eastAsia="楷体"/>
          <w:b/>
          <w:bCs/>
          <w:color w:val="auto"/>
          <w:sz w:val="21"/>
          <w:szCs w:val="21"/>
        </w:rPr>
        <w:t>转让与分包</w:t>
      </w:r>
    </w:p>
    <w:p>
      <w:pPr>
        <w:pStyle w:val="31"/>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8.1</w:t>
      </w:r>
      <w:r>
        <w:rPr>
          <w:rFonts w:hint="eastAsia" w:ascii="Times New Roman" w:hAnsi="Times New Roman" w:eastAsia="楷体"/>
          <w:color w:val="auto"/>
          <w:sz w:val="21"/>
          <w:szCs w:val="21"/>
        </w:rPr>
        <w:t xml:space="preserve"> </w:t>
      </w:r>
      <w:r>
        <w:rPr>
          <w:rFonts w:ascii="Times New Roman" w:hAnsi="Times New Roman" w:eastAsia="楷体"/>
          <w:color w:val="auto"/>
          <w:sz w:val="21"/>
          <w:szCs w:val="21"/>
        </w:rPr>
        <w:t>未经甲方事先书面同意，乙方不得分包本合同，</w:t>
      </w:r>
      <w:r>
        <w:rPr>
          <w:rFonts w:hint="eastAsia" w:ascii="Times New Roman" w:hAnsi="Times New Roman" w:eastAsia="楷体"/>
          <w:color w:val="auto"/>
          <w:sz w:val="21"/>
          <w:szCs w:val="21"/>
          <w:lang w:val="en-US" w:eastAsia="zh-Hans"/>
        </w:rPr>
        <w:t>否则</w:t>
      </w:r>
      <w:r>
        <w:rPr>
          <w:rFonts w:hint="default" w:ascii="Times New Roman" w:hAnsi="Times New Roman" w:eastAsia="楷体"/>
          <w:color w:val="auto"/>
          <w:sz w:val="21"/>
          <w:szCs w:val="21"/>
          <w:lang w:eastAsia="zh-Hans"/>
        </w:rPr>
        <w:t>，</w:t>
      </w:r>
      <w:r>
        <w:rPr>
          <w:rFonts w:hint="eastAsia" w:ascii="Times New Roman" w:hAnsi="Times New Roman" w:eastAsia="楷体"/>
          <w:color w:val="auto"/>
          <w:sz w:val="21"/>
          <w:szCs w:val="21"/>
          <w:lang w:val="en-US" w:eastAsia="zh-Hans"/>
        </w:rPr>
        <w:t>乙方应向甲方支付相当于合同总价20%的违约金</w:t>
      </w:r>
      <w:r>
        <w:rPr>
          <w:rFonts w:ascii="Times New Roman" w:hAnsi="Times New Roman" w:eastAsia="楷体"/>
          <w:color w:val="auto"/>
          <w:sz w:val="21"/>
          <w:szCs w:val="21"/>
        </w:rPr>
        <w:t>。如甲方</w:t>
      </w:r>
      <w:r>
        <w:rPr>
          <w:rFonts w:hint="eastAsia" w:ascii="Times New Roman" w:hAnsi="Times New Roman" w:eastAsia="楷体"/>
          <w:color w:val="auto"/>
          <w:sz w:val="21"/>
          <w:szCs w:val="21"/>
          <w:lang w:val="en-US" w:eastAsia="zh-Hans"/>
        </w:rPr>
        <w:t>书面</w:t>
      </w:r>
      <w:r>
        <w:rPr>
          <w:rFonts w:ascii="Times New Roman" w:hAnsi="Times New Roman" w:eastAsia="楷体"/>
          <w:color w:val="auto"/>
          <w:sz w:val="21"/>
          <w:szCs w:val="21"/>
        </w:rPr>
        <w:t>同意该等分包，乙方仍就分包商行为对甲方负责。</w:t>
      </w:r>
    </w:p>
    <w:p>
      <w:pPr>
        <w:pStyle w:val="31"/>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8.2</w:t>
      </w:r>
      <w:r>
        <w:rPr>
          <w:rFonts w:hint="eastAsia" w:ascii="Times New Roman" w:hAnsi="Times New Roman" w:eastAsia="楷体"/>
          <w:color w:val="auto"/>
          <w:sz w:val="21"/>
          <w:szCs w:val="21"/>
        </w:rPr>
        <w:t xml:space="preserve"> </w:t>
      </w:r>
      <w:r>
        <w:rPr>
          <w:rFonts w:ascii="Times New Roman" w:hAnsi="Times New Roman" w:eastAsia="楷体"/>
          <w:color w:val="auto"/>
          <w:sz w:val="21"/>
          <w:szCs w:val="21"/>
        </w:rPr>
        <w:t>未经对方事先书面同意，一方不得转让本合同。乙方控制权的变化应被视为转让。甲方可在事先书面通知乙方后将本合同的部分或全部转让给甲方关联公司。</w:t>
      </w:r>
    </w:p>
    <w:p>
      <w:pPr>
        <w:pStyle w:val="31"/>
        <w:numPr>
          <w:ilvl w:val="0"/>
          <w:numId w:val="2"/>
        </w:numPr>
        <w:ind w:left="-141" w:firstLine="0" w:firstLineChars="0"/>
        <w:jc w:val="left"/>
        <w:rPr>
          <w:rFonts w:ascii="Times New Roman" w:hAnsi="Times New Roman" w:eastAsia="楷体"/>
          <w:bCs/>
          <w:color w:val="auto"/>
          <w:sz w:val="21"/>
          <w:szCs w:val="21"/>
        </w:rPr>
      </w:pPr>
      <w:r>
        <w:rPr>
          <w:rFonts w:ascii="Times New Roman" w:hAnsi="Times New Roman" w:eastAsia="楷体"/>
          <w:bCs/>
          <w:color w:val="auto"/>
          <w:sz w:val="21"/>
          <w:szCs w:val="21"/>
        </w:rPr>
        <w:t>甲方可书面通知乙方终止全部或部分合同，乙方应予以配合。合同终止后，甲方应支付乙方实际已经</w:t>
      </w:r>
      <w:r>
        <w:rPr>
          <w:rFonts w:hint="eastAsia" w:ascii="Times New Roman" w:hAnsi="Times New Roman" w:eastAsia="楷体"/>
          <w:bCs/>
          <w:color w:val="auto"/>
          <w:sz w:val="21"/>
          <w:szCs w:val="21"/>
          <w:lang w:val="en-US" w:eastAsia="zh-Hans"/>
        </w:rPr>
        <w:t>采购或者已经开发并移交给甲方的产品金额</w:t>
      </w:r>
      <w:r>
        <w:rPr>
          <w:rFonts w:ascii="Times New Roman" w:hAnsi="Times New Roman" w:eastAsia="楷体"/>
          <w:bCs/>
          <w:color w:val="auto"/>
          <w:sz w:val="21"/>
          <w:szCs w:val="21"/>
        </w:rPr>
        <w:t>，如乙方尚未</w:t>
      </w:r>
      <w:r>
        <w:rPr>
          <w:rFonts w:hint="eastAsia" w:ascii="Times New Roman" w:hAnsi="Times New Roman" w:eastAsia="楷体"/>
          <w:bCs/>
          <w:color w:val="auto"/>
          <w:sz w:val="21"/>
          <w:szCs w:val="21"/>
          <w:lang w:val="en-US" w:eastAsia="zh-Hans"/>
        </w:rPr>
        <w:t>移交给甲方的产品</w:t>
      </w:r>
      <w:r>
        <w:rPr>
          <w:rFonts w:ascii="Times New Roman" w:hAnsi="Times New Roman" w:eastAsia="楷体"/>
          <w:bCs/>
          <w:color w:val="auto"/>
          <w:sz w:val="21"/>
          <w:szCs w:val="21"/>
        </w:rPr>
        <w:t>，甲方不支付乙方任何款项。</w:t>
      </w:r>
    </w:p>
    <w:p>
      <w:pPr>
        <w:pStyle w:val="31"/>
        <w:numPr>
          <w:ilvl w:val="0"/>
          <w:numId w:val="2"/>
        </w:numPr>
        <w:ind w:left="-141" w:firstLine="0" w:firstLineChars="0"/>
        <w:jc w:val="left"/>
        <w:rPr>
          <w:rFonts w:ascii="Times New Roman" w:hAnsi="Times New Roman" w:eastAsia="楷体"/>
          <w:bCs/>
          <w:color w:val="auto"/>
          <w:sz w:val="21"/>
          <w:szCs w:val="21"/>
        </w:rPr>
      </w:pPr>
      <w:r>
        <w:rPr>
          <w:rFonts w:ascii="Times New Roman" w:hAnsi="Times New Roman" w:eastAsia="楷体"/>
          <w:b/>
          <w:color w:val="auto"/>
          <w:sz w:val="21"/>
          <w:szCs w:val="21"/>
        </w:rPr>
        <w:t xml:space="preserve">通知和传达 </w:t>
      </w:r>
    </w:p>
    <w:p>
      <w:pPr>
        <w:jc w:val="left"/>
        <w:rPr>
          <w:rFonts w:ascii="Times New Roman" w:hAnsi="Times New Roman" w:eastAsia="楷体"/>
          <w:bCs/>
          <w:color w:val="auto"/>
          <w:sz w:val="21"/>
          <w:szCs w:val="21"/>
        </w:rPr>
      </w:pPr>
      <w:r>
        <w:rPr>
          <w:rFonts w:hint="eastAsia" w:ascii="Times New Roman" w:hAnsi="Times New Roman" w:eastAsia="楷体"/>
          <w:bCs/>
          <w:color w:val="auto"/>
          <w:sz w:val="21"/>
          <w:szCs w:val="21"/>
          <w:lang w:val="en-US" w:eastAsia="zh-CN"/>
        </w:rPr>
        <w:t>10.</w:t>
      </w:r>
      <w:r>
        <w:rPr>
          <w:rFonts w:hint="eastAsia" w:ascii="Times New Roman" w:hAnsi="Times New Roman" w:eastAsia="楷体"/>
          <w:bCs/>
          <w:color w:val="auto"/>
          <w:sz w:val="21"/>
          <w:szCs w:val="21"/>
        </w:rPr>
        <w:t>1所有要求提供的书面通知或其他书面文件，均应当使用邮政专递</w:t>
      </w:r>
      <w:r>
        <w:rPr>
          <w:rFonts w:ascii="Times New Roman" w:hAnsi="Times New Roman" w:eastAsia="楷体"/>
          <w:bCs/>
          <w:color w:val="auto"/>
          <w:sz w:val="21"/>
          <w:szCs w:val="21"/>
        </w:rPr>
        <w:t>(EMS)</w:t>
      </w:r>
      <w:r>
        <w:rPr>
          <w:rFonts w:hint="eastAsia" w:ascii="Times New Roman" w:hAnsi="Times New Roman" w:eastAsia="楷体"/>
          <w:bCs/>
          <w:color w:val="auto"/>
          <w:sz w:val="21"/>
          <w:szCs w:val="21"/>
        </w:rPr>
        <w:t>、人工递交、挂号信、电子邮件方式进行送达。通知或其他文件应被送达至文首所述之联系地址和联系人。</w:t>
      </w:r>
    </w:p>
    <w:p>
      <w:pPr>
        <w:rPr>
          <w:rFonts w:ascii="Times New Roman" w:hAnsi="Times New Roman" w:eastAsia="楷体"/>
          <w:bCs/>
          <w:color w:val="auto"/>
          <w:sz w:val="21"/>
          <w:szCs w:val="21"/>
        </w:rPr>
      </w:pPr>
      <w:r>
        <w:rPr>
          <w:rFonts w:hint="eastAsia" w:ascii="Times New Roman" w:hAnsi="Times New Roman" w:eastAsia="楷体"/>
          <w:bCs/>
          <w:color w:val="auto"/>
          <w:sz w:val="21"/>
          <w:szCs w:val="21"/>
          <w:lang w:val="en-US" w:eastAsia="zh-CN"/>
        </w:rPr>
        <w:t>10</w:t>
      </w:r>
      <w:r>
        <w:rPr>
          <w:rFonts w:ascii="Times New Roman" w:hAnsi="Times New Roman" w:eastAsia="楷体"/>
          <w:bCs/>
          <w:color w:val="auto"/>
          <w:sz w:val="21"/>
          <w:szCs w:val="21"/>
        </w:rPr>
        <w:t>.2除非另有规定，下列情形应当视作通知已经送达：</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1)</w:t>
      </w:r>
      <w:r>
        <w:rPr>
          <w:rFonts w:ascii="Times New Roman" w:hAnsi="Times New Roman" w:eastAsia="楷体"/>
          <w:bCs/>
          <w:color w:val="auto"/>
          <w:sz w:val="21"/>
          <w:szCs w:val="21"/>
        </w:rPr>
        <w:tab/>
      </w:r>
      <w:r>
        <w:rPr>
          <w:rFonts w:ascii="Times New Roman" w:hAnsi="Times New Roman" w:eastAsia="楷体"/>
          <w:bCs/>
          <w:color w:val="auto"/>
          <w:sz w:val="21"/>
          <w:szCs w:val="21"/>
        </w:rPr>
        <w:t>如果使用邮政专递或人工递交方式，以文件送达对方地址并签收之日起视为送达；</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2)</w:t>
      </w:r>
      <w:r>
        <w:rPr>
          <w:rFonts w:ascii="Times New Roman" w:hAnsi="Times New Roman" w:eastAsia="楷体"/>
          <w:bCs/>
          <w:color w:val="auto"/>
          <w:sz w:val="21"/>
          <w:szCs w:val="21"/>
        </w:rPr>
        <w:tab/>
      </w:r>
      <w:r>
        <w:rPr>
          <w:rFonts w:ascii="Times New Roman" w:hAnsi="Times New Roman" w:eastAsia="楷体"/>
          <w:bCs/>
          <w:color w:val="auto"/>
          <w:sz w:val="21"/>
          <w:szCs w:val="21"/>
        </w:rPr>
        <w:t>采取邮寄方式送达通知时，必须使用挂号信方式。如果采取挂号信方式，以挂号信回执上注明的收件日期为送达日；</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3)</w:t>
      </w:r>
      <w:r>
        <w:rPr>
          <w:rFonts w:ascii="Times New Roman" w:hAnsi="Times New Roman" w:eastAsia="楷体"/>
          <w:bCs/>
          <w:color w:val="auto"/>
          <w:sz w:val="21"/>
          <w:szCs w:val="21"/>
        </w:rPr>
        <w:tab/>
      </w:r>
      <w:r>
        <w:rPr>
          <w:rFonts w:ascii="Times New Roman" w:hAnsi="Times New Roman" w:eastAsia="楷体"/>
          <w:bCs/>
          <w:color w:val="auto"/>
          <w:sz w:val="21"/>
          <w:szCs w:val="21"/>
        </w:rPr>
        <w:t>如果使用</w:t>
      </w:r>
      <w:r>
        <w:rPr>
          <w:rFonts w:hint="eastAsia" w:ascii="Times New Roman" w:hAnsi="Times New Roman" w:eastAsia="楷体"/>
          <w:bCs/>
          <w:color w:val="auto"/>
          <w:sz w:val="21"/>
          <w:szCs w:val="21"/>
        </w:rPr>
        <w:t>电子邮件</w:t>
      </w:r>
      <w:r>
        <w:rPr>
          <w:rFonts w:ascii="Times New Roman" w:hAnsi="Times New Roman" w:eastAsia="楷体"/>
          <w:bCs/>
          <w:color w:val="auto"/>
          <w:sz w:val="21"/>
          <w:szCs w:val="21"/>
        </w:rPr>
        <w:t>送达，</w:t>
      </w:r>
      <w:r>
        <w:rPr>
          <w:rFonts w:hint="eastAsia" w:ascii="Times New Roman" w:hAnsi="Times New Roman" w:eastAsia="楷体"/>
          <w:bCs/>
          <w:color w:val="auto"/>
          <w:sz w:val="21"/>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31"/>
        <w:numPr>
          <w:ilvl w:val="0"/>
          <w:numId w:val="2"/>
        </w:numPr>
        <w:ind w:left="-141" w:firstLine="0" w:firstLineChars="0"/>
        <w:jc w:val="left"/>
        <w:rPr>
          <w:rFonts w:ascii="Times New Roman" w:hAnsi="Times New Roman" w:eastAsia="楷体"/>
          <w:color w:val="auto"/>
          <w:sz w:val="21"/>
          <w:szCs w:val="21"/>
        </w:rPr>
      </w:pPr>
      <w:r>
        <w:rPr>
          <w:rFonts w:ascii="Times New Roman" w:hAnsi="Times New Roman" w:eastAsia="楷体"/>
          <w:b/>
          <w:color w:val="auto"/>
          <w:sz w:val="21"/>
          <w:szCs w:val="21"/>
        </w:rPr>
        <w:t>争议解决</w:t>
      </w:r>
    </w:p>
    <w:p>
      <w:pPr>
        <w:ind w:left="90" w:hanging="105" w:hangingChars="50"/>
        <w:rPr>
          <w:rFonts w:ascii="Times New Roman" w:hAnsi="Times New Roman" w:eastAsia="楷体"/>
          <w:color w:val="auto"/>
          <w:sz w:val="21"/>
          <w:szCs w:val="21"/>
        </w:rPr>
      </w:pPr>
      <w:r>
        <w:rPr>
          <w:rFonts w:ascii="Times New Roman" w:hAnsi="Times New Roman" w:eastAsia="楷体"/>
          <w:color w:val="auto"/>
          <w:sz w:val="21"/>
          <w:szCs w:val="21"/>
        </w:rPr>
        <w:t>双方如发生争议，任何一方有权向甲方所在地人民法院提起诉讼。</w:t>
      </w:r>
    </w:p>
    <w:p>
      <w:pPr>
        <w:pStyle w:val="31"/>
        <w:numPr>
          <w:ilvl w:val="0"/>
          <w:numId w:val="2"/>
        </w:numPr>
        <w:ind w:left="-141" w:firstLine="0" w:firstLineChars="0"/>
        <w:jc w:val="left"/>
        <w:rPr>
          <w:rFonts w:ascii="Times New Roman" w:hAnsi="Times New Roman" w:eastAsia="楷体"/>
          <w:b/>
          <w:color w:val="auto"/>
          <w:sz w:val="21"/>
          <w:szCs w:val="21"/>
        </w:rPr>
      </w:pPr>
      <w:r>
        <w:rPr>
          <w:rFonts w:ascii="Times New Roman" w:hAnsi="Times New Roman" w:eastAsia="楷体"/>
          <w:b/>
          <w:color w:val="auto"/>
          <w:sz w:val="21"/>
          <w:szCs w:val="21"/>
        </w:rPr>
        <w:t>本合同壹式肆份，双方各贰份，自双方签署之日起生效。</w:t>
      </w:r>
    </w:p>
    <w:p>
      <w:pPr>
        <w:rPr>
          <w:rFonts w:hint="eastAsia" w:ascii="宋体" w:hAnsi="宋体" w:eastAsia="宋体" w:cs="Times New Roman"/>
          <w:b/>
          <w:color w:val="auto"/>
          <w:kern w:val="2"/>
          <w:sz w:val="21"/>
          <w:szCs w:val="21"/>
          <w:lang w:val="en-US" w:eastAsia="zh-CN" w:bidi="ar-SA"/>
        </w:rPr>
      </w:pPr>
    </w:p>
    <w:p>
      <w:pPr>
        <w:rPr>
          <w:rFonts w:ascii="宋体" w:hAnsi="宋体"/>
          <w:b/>
          <w:color w:val="auto"/>
          <w:sz w:val="21"/>
          <w:szCs w:val="21"/>
        </w:rPr>
      </w:pPr>
      <w:r>
        <w:rPr>
          <w:rFonts w:hint="eastAsia" w:ascii="宋体" w:hAnsi="宋体" w:eastAsia="宋体" w:cs="Times New Roman"/>
          <w:b/>
          <w:color w:val="auto"/>
          <w:kern w:val="2"/>
          <w:sz w:val="21"/>
          <w:szCs w:val="21"/>
          <w:lang w:val="en-US" w:eastAsia="zh-CN" w:bidi="ar-SA"/>
        </w:rPr>
        <w:t>附：附件一</w:t>
      </w:r>
      <w:r>
        <w:rPr>
          <w:rFonts w:hint="eastAsia" w:ascii="宋体" w:hAnsi="宋体"/>
          <w:b/>
          <w:color w:val="auto"/>
          <w:sz w:val="21"/>
          <w:szCs w:val="21"/>
        </w:rPr>
        <w:t>：供货清单及参数表</w:t>
      </w:r>
    </w:p>
    <w:p>
      <w:pPr>
        <w:pStyle w:val="2"/>
        <w:ind w:firstLine="422" w:firstLineChars="200"/>
        <w:rPr>
          <w:color w:val="auto"/>
          <w:sz w:val="21"/>
          <w:szCs w:val="21"/>
        </w:rPr>
      </w:pPr>
      <w:r>
        <w:rPr>
          <w:rFonts w:hint="eastAsia" w:ascii="宋体" w:hAnsi="宋体" w:eastAsia="宋体" w:cs="宋体"/>
          <w:b/>
          <w:color w:val="auto"/>
          <w:sz w:val="21"/>
          <w:szCs w:val="21"/>
        </w:rPr>
        <w:t>附件二</w:t>
      </w:r>
      <w:r>
        <w:rPr>
          <w:rFonts w:hint="eastAsia" w:ascii="宋体" w:hAnsi="宋体"/>
          <w:b/>
          <w:color w:val="auto"/>
          <w:sz w:val="21"/>
          <w:szCs w:val="21"/>
        </w:rPr>
        <w:t>：廉政协议书</w:t>
      </w:r>
    </w:p>
    <w:p>
      <w:pPr>
        <w:autoSpaceDE w:val="0"/>
        <w:autoSpaceDN w:val="0"/>
        <w:adjustRightInd w:val="0"/>
        <w:jc w:val="left"/>
        <w:rPr>
          <w:rFonts w:ascii="Times New Roman" w:hAnsi="Times New Roman" w:eastAsia="楷体"/>
          <w:b/>
          <w:color w:val="auto"/>
          <w:kern w:val="0"/>
          <w:sz w:val="21"/>
          <w:szCs w:val="21"/>
          <w:u w:val="single"/>
        </w:rPr>
      </w:pPr>
      <w:r>
        <w:rPr>
          <w:rFonts w:ascii="Times New Roman" w:hAnsi="Times New Roman" w:eastAsia="楷体"/>
          <w:b/>
          <w:color w:val="auto"/>
          <w:kern w:val="0"/>
          <w:sz w:val="21"/>
          <w:szCs w:val="21"/>
          <w:u w:val="single"/>
        </w:rPr>
        <w:t xml:space="preserve">                      </w:t>
      </w:r>
    </w:p>
    <w:tbl>
      <w:tblPr>
        <w:tblStyle w:val="21"/>
        <w:tblpPr w:leftFromText="180" w:rightFromText="180" w:vertAnchor="text" w:horzAnchor="page" w:tblpX="1056" w:tblpY="300"/>
        <w:tblOverlap w:val="never"/>
        <w:tblW w:w="9223"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4678"/>
        <w:gridCol w:w="4545"/>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trPr>
        <w:tc>
          <w:tcPr>
            <w:tcW w:w="4678" w:type="dxa"/>
            <w:tcBorders>
              <w:top w:val="single" w:color="000000" w:sz="4" w:space="0"/>
            </w:tcBorders>
            <w:vAlign w:val="center"/>
          </w:tcPr>
          <w:p>
            <w:pPr>
              <w:jc w:val="center"/>
              <w:rPr>
                <w:rFonts w:ascii="Times New Roman" w:hAnsi="Times New Roman" w:eastAsia="楷体"/>
                <w:b/>
                <w:color w:val="auto"/>
                <w:sz w:val="21"/>
                <w:szCs w:val="21"/>
              </w:rPr>
            </w:pPr>
            <w:r>
              <w:rPr>
                <w:rFonts w:ascii="Times New Roman" w:hAnsi="Times New Roman" w:eastAsia="楷体"/>
                <w:b/>
                <w:color w:val="auto"/>
                <w:sz w:val="21"/>
                <w:szCs w:val="21"/>
              </w:rPr>
              <w:t>购货方/甲方</w:t>
            </w:r>
          </w:p>
        </w:tc>
        <w:tc>
          <w:tcPr>
            <w:tcW w:w="4545" w:type="dxa"/>
            <w:tcBorders>
              <w:top w:val="single" w:color="000000" w:sz="4" w:space="0"/>
            </w:tcBorders>
            <w:vAlign w:val="center"/>
          </w:tcPr>
          <w:p>
            <w:pPr>
              <w:jc w:val="center"/>
              <w:rPr>
                <w:rFonts w:ascii="Times New Roman" w:hAnsi="Times New Roman" w:eastAsia="楷体"/>
                <w:color w:val="auto"/>
                <w:sz w:val="21"/>
                <w:szCs w:val="21"/>
              </w:rPr>
            </w:pPr>
            <w:r>
              <w:rPr>
                <w:rFonts w:hint="eastAsia" w:ascii="Times New Roman" w:hAnsi="Times New Roman" w:eastAsia="楷体"/>
                <w:b/>
                <w:color w:val="auto"/>
                <w:sz w:val="21"/>
                <w:szCs w:val="21"/>
                <w:lang w:eastAsia="zh-CN"/>
              </w:rPr>
              <w:t>供</w:t>
            </w:r>
            <w:r>
              <w:rPr>
                <w:rFonts w:ascii="Times New Roman" w:hAnsi="Times New Roman" w:eastAsia="楷体"/>
                <w:b/>
                <w:color w:val="auto"/>
                <w:sz w:val="21"/>
                <w:szCs w:val="21"/>
              </w:rPr>
              <w:t>货方/</w:t>
            </w:r>
            <w:r>
              <w:rPr>
                <w:rFonts w:hint="eastAsia" w:ascii="Times New Roman" w:hAnsi="Times New Roman" w:eastAsia="楷体"/>
                <w:b/>
                <w:color w:val="auto"/>
                <w:sz w:val="21"/>
                <w:szCs w:val="21"/>
                <w:lang w:eastAsia="zh-CN"/>
              </w:rPr>
              <w:t>乙</w:t>
            </w:r>
            <w:r>
              <w:rPr>
                <w:rFonts w:ascii="Times New Roman" w:hAnsi="Times New Roman" w:eastAsia="楷体"/>
                <w:b/>
                <w:color w:val="auto"/>
                <w:sz w:val="21"/>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trPr>
        <w:tc>
          <w:tcPr>
            <w:tcW w:w="4678" w:type="dxa"/>
            <w:vAlign w:val="center"/>
          </w:tcPr>
          <w:p>
            <w:pPr>
              <w:jc w:val="both"/>
              <w:rPr>
                <w:rFonts w:ascii="Times New Roman" w:hAnsi="Times New Roman" w:eastAsia="楷体" w:cs="Times New Roman"/>
                <w:b/>
                <w:color w:val="auto"/>
                <w:sz w:val="21"/>
                <w:szCs w:val="21"/>
              </w:rPr>
            </w:pPr>
          </w:p>
          <w:p>
            <w:pPr>
              <w:jc w:val="both"/>
              <w:rPr>
                <w:rFonts w:hint="eastAsia" w:ascii="Times New Roman" w:hAnsi="Times New Roman" w:eastAsia="楷体" w:cs="Times New Roman"/>
                <w:b/>
                <w:color w:val="auto"/>
                <w:sz w:val="21"/>
                <w:szCs w:val="21"/>
                <w:lang w:eastAsia="zh-CN"/>
              </w:rPr>
            </w:pPr>
            <w:r>
              <w:rPr>
                <w:rFonts w:ascii="Times New Roman" w:hAnsi="Times New Roman" w:eastAsia="楷体" w:cs="Times New Roman"/>
                <w:b/>
                <w:color w:val="auto"/>
                <w:sz w:val="21"/>
                <w:szCs w:val="21"/>
              </w:rPr>
              <w:t>单位名称(章)：</w:t>
            </w:r>
            <w:r>
              <w:rPr>
                <w:rFonts w:hint="eastAsia" w:ascii="Times New Roman" w:hAnsi="Times New Roman" w:eastAsia="楷体" w:cs="Times New Roman"/>
                <w:b/>
                <w:color w:val="auto"/>
                <w:sz w:val="21"/>
                <w:szCs w:val="21"/>
                <w:lang w:val="en-US" w:eastAsia="zh-CN"/>
              </w:rPr>
              <w:t xml:space="preserve"> 北部湾（广西）大宗商品交易有限公司</w:t>
            </w:r>
          </w:p>
          <w:p>
            <w:pPr>
              <w:jc w:val="both"/>
              <w:rPr>
                <w:rFonts w:ascii="Times New Roman" w:hAnsi="Times New Roman" w:eastAsia="楷体" w:cs="Times New Roman"/>
                <w:b/>
                <w:color w:val="auto"/>
                <w:sz w:val="21"/>
                <w:szCs w:val="21"/>
              </w:rPr>
            </w:pPr>
            <w:r>
              <w:rPr>
                <w:rFonts w:ascii="Times New Roman" w:hAnsi="Times New Roman" w:eastAsia="楷体" w:cs="Times New Roman"/>
                <w:b/>
                <w:color w:val="auto"/>
                <w:sz w:val="21"/>
                <w:szCs w:val="21"/>
              </w:rPr>
              <w:t xml:space="preserve">    </w:t>
            </w:r>
          </w:p>
        </w:tc>
        <w:tc>
          <w:tcPr>
            <w:tcW w:w="4545" w:type="dxa"/>
            <w:vAlign w:val="center"/>
          </w:tcPr>
          <w:p>
            <w:pPr>
              <w:jc w:val="both"/>
              <w:rPr>
                <w:rFonts w:hint="eastAsia" w:ascii="Times New Roman" w:hAnsi="Times New Roman" w:eastAsia="楷体"/>
                <w:color w:val="auto"/>
                <w:sz w:val="21"/>
                <w:szCs w:val="21"/>
                <w:lang w:eastAsia="zh-CN"/>
              </w:rPr>
            </w:pPr>
            <w:r>
              <w:rPr>
                <w:rFonts w:ascii="Times New Roman" w:hAnsi="Times New Roman" w:eastAsia="楷体" w:cs="Times New Roman"/>
                <w:b/>
                <w:color w:val="auto"/>
                <w:sz w:val="21"/>
                <w:szCs w:val="21"/>
              </w:rPr>
              <w:t>单位名称(章)：</w:t>
            </w:r>
            <w:r>
              <w:rPr>
                <w:rFonts w:hint="eastAsia" w:ascii="Times New Roman" w:hAnsi="Times New Roman" w:eastAsia="楷体" w:cs="Times New Roman"/>
                <w:b/>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trPr>
        <w:tc>
          <w:tcPr>
            <w:tcW w:w="4678" w:type="dxa"/>
          </w:tcPr>
          <w:p>
            <w:pPr>
              <w:jc w:val="both"/>
              <w:rPr>
                <w:rFonts w:hint="eastAsia" w:ascii="Times New Roman" w:hAnsi="Times New Roman" w:eastAsia="楷体" w:cs="Times New Roman"/>
                <w:b w:val="0"/>
                <w:bCs/>
                <w:color w:val="auto"/>
                <w:sz w:val="21"/>
                <w:szCs w:val="21"/>
                <w:lang w:val="en-US" w:eastAsia="zh-CN"/>
              </w:rPr>
            </w:pPr>
            <w:r>
              <w:rPr>
                <w:rFonts w:ascii="Times New Roman" w:hAnsi="Times New Roman" w:eastAsia="楷体" w:cs="Times New Roman"/>
                <w:b/>
                <w:bCs w:val="0"/>
                <w:color w:val="auto"/>
                <w:sz w:val="21"/>
                <w:szCs w:val="21"/>
              </w:rPr>
              <w:t>单位地址：</w:t>
            </w:r>
            <w:r>
              <w:rPr>
                <w:rFonts w:hint="eastAsia" w:ascii="Times New Roman" w:hAnsi="Times New Roman" w:eastAsia="楷体" w:cs="Times New Roman"/>
                <w:b/>
                <w:bCs w:val="0"/>
                <w:color w:val="auto"/>
                <w:sz w:val="21"/>
                <w:szCs w:val="21"/>
              </w:rPr>
              <w:t>中国（广西）自由贸易试验区钦州港片区中马钦州产业园区中马大街1号公共服务中心A107室</w:t>
            </w:r>
            <w:r>
              <w:rPr>
                <w:rFonts w:ascii="Times New Roman" w:hAnsi="Times New Roman" w:eastAsia="楷体" w:cs="Times New Roman"/>
                <w:b w:val="0"/>
                <w:bCs/>
                <w:color w:val="auto"/>
                <w:sz w:val="21"/>
                <w:szCs w:val="21"/>
              </w:rPr>
              <w:t xml:space="preserve"> </w:t>
            </w:r>
            <w:r>
              <w:rPr>
                <w:rFonts w:hint="eastAsia" w:ascii="Times New Roman" w:hAnsi="Times New Roman" w:eastAsia="楷体" w:cs="Times New Roman"/>
                <w:b w:val="0"/>
                <w:bCs/>
                <w:color w:val="auto"/>
                <w:sz w:val="21"/>
                <w:szCs w:val="21"/>
                <w:lang w:val="en-US" w:eastAsia="zh-CN"/>
              </w:rPr>
              <w:t xml:space="preserve"> </w:t>
            </w:r>
          </w:p>
          <w:p>
            <w:pPr>
              <w:pStyle w:val="2"/>
              <w:rPr>
                <w:color w:val="auto"/>
              </w:rPr>
            </w:pPr>
          </w:p>
          <w:p>
            <w:pPr>
              <w:jc w:val="both"/>
              <w:rPr>
                <w:rFonts w:hint="eastAsia" w:ascii="Times New Roman" w:hAnsi="Times New Roman" w:eastAsia="楷体" w:cs="Times New Roman"/>
                <w:b/>
                <w:color w:val="auto"/>
                <w:sz w:val="21"/>
                <w:szCs w:val="21"/>
                <w:lang w:eastAsia="zh-CN"/>
              </w:rPr>
            </w:pPr>
            <w:r>
              <w:rPr>
                <w:rFonts w:ascii="Times New Roman" w:hAnsi="Times New Roman" w:eastAsia="楷体" w:cs="Times New Roman"/>
                <w:b/>
                <w:bCs w:val="0"/>
                <w:color w:val="auto"/>
                <w:sz w:val="21"/>
                <w:szCs w:val="21"/>
              </w:rPr>
              <w:t>纳税人识别号：</w:t>
            </w:r>
            <w:r>
              <w:rPr>
                <w:rFonts w:hint="eastAsia" w:ascii="Times New Roman" w:hAnsi="Times New Roman" w:eastAsia="楷体" w:cs="Times New Roman"/>
                <w:b w:val="0"/>
                <w:bCs/>
                <w:color w:val="auto"/>
                <w:sz w:val="21"/>
                <w:szCs w:val="21"/>
                <w:lang w:val="en-US" w:eastAsia="zh-CN"/>
              </w:rPr>
              <w:t xml:space="preserve"> 91450706MAA7NH6H0R</w:t>
            </w:r>
          </w:p>
        </w:tc>
        <w:tc>
          <w:tcPr>
            <w:tcW w:w="4545" w:type="dxa"/>
          </w:tcPr>
          <w:p>
            <w:pPr>
              <w:jc w:val="both"/>
              <w:rPr>
                <w:rFonts w:hint="eastAsia"/>
                <w:color w:val="auto"/>
                <w:lang w:val="en-US" w:eastAsia="zh-CN"/>
              </w:rPr>
            </w:pPr>
            <w:r>
              <w:rPr>
                <w:rFonts w:ascii="Times New Roman" w:hAnsi="Times New Roman" w:eastAsia="楷体" w:cs="Times New Roman"/>
                <w:b/>
                <w:bCs w:val="0"/>
                <w:color w:val="auto"/>
                <w:sz w:val="21"/>
                <w:szCs w:val="21"/>
              </w:rPr>
              <w:t>单位地址：</w:t>
            </w:r>
            <w:r>
              <w:rPr>
                <w:rFonts w:ascii="Times New Roman" w:hAnsi="Times New Roman" w:eastAsia="楷体" w:cs="Times New Roman"/>
                <w:b w:val="0"/>
                <w:bCs/>
                <w:color w:val="auto"/>
                <w:sz w:val="21"/>
                <w:szCs w:val="21"/>
              </w:rPr>
              <w:t xml:space="preserve"> </w:t>
            </w:r>
            <w:r>
              <w:rPr>
                <w:rFonts w:hint="eastAsia" w:ascii="Times New Roman" w:hAnsi="Times New Roman" w:eastAsia="楷体" w:cs="Times New Roman"/>
                <w:b w:val="0"/>
                <w:bCs/>
                <w:color w:val="auto"/>
                <w:sz w:val="21"/>
                <w:szCs w:val="21"/>
                <w:lang w:val="en-US" w:eastAsia="zh-CN"/>
              </w:rPr>
              <w:t xml:space="preserve"> </w:t>
            </w:r>
          </w:p>
          <w:p>
            <w:pPr>
              <w:rPr>
                <w:rFonts w:hint="eastAsia" w:ascii="Times New Roman" w:hAnsi="Times New Roman" w:eastAsia="楷体" w:cs="Times New Roman"/>
                <w:b w:val="0"/>
                <w:bCs/>
                <w:color w:val="auto"/>
                <w:sz w:val="21"/>
                <w:szCs w:val="21"/>
                <w:lang w:eastAsia="zh-CN"/>
              </w:rPr>
            </w:pPr>
            <w:r>
              <w:rPr>
                <w:rFonts w:ascii="Times New Roman" w:hAnsi="Times New Roman" w:eastAsia="楷体" w:cs="Times New Roman"/>
                <w:b/>
                <w:bCs w:val="0"/>
                <w:color w:val="auto"/>
                <w:sz w:val="21"/>
                <w:szCs w:val="21"/>
              </w:rPr>
              <w:t>纳税人识别号：</w:t>
            </w:r>
            <w:r>
              <w:rPr>
                <w:rFonts w:hint="eastAsia" w:ascii="Times New Roman" w:hAnsi="Times New Roman" w:eastAsia="楷体" w:cs="Times New Roman"/>
                <w:b w:val="0"/>
                <w:bCs/>
                <w:color w:val="auto"/>
                <w:sz w:val="21"/>
                <w:szCs w:val="21"/>
                <w:lang w:val="en-US" w:eastAsia="zh-CN"/>
              </w:rPr>
              <w:t xml:space="preserve"> </w:t>
            </w:r>
          </w:p>
          <w:p>
            <w:pPr>
              <w:rPr>
                <w:rFonts w:hint="eastAsia" w:ascii="Times New Roman" w:hAnsi="Times New Roman" w:eastAsia="楷体"/>
                <w:color w:val="auto"/>
                <w:sz w:val="21"/>
                <w:szCs w:val="21"/>
              </w:rPr>
            </w:pPr>
            <w:r>
              <w:rPr>
                <w:rFonts w:hint="eastAsia" w:ascii="Times New Roman" w:hAnsi="Times New Roman" w:eastAsia="楷体"/>
                <w:b/>
                <w:bCs/>
                <w:color w:val="auto"/>
                <w:sz w:val="21"/>
                <w:szCs w:val="21"/>
              </w:rPr>
              <w:t>开户行：</w:t>
            </w:r>
            <w:r>
              <w:rPr>
                <w:rFonts w:hint="eastAsia" w:ascii="Times New Roman" w:hAnsi="Times New Roman" w:eastAsia="楷体"/>
                <w:color w:val="auto"/>
                <w:sz w:val="21"/>
                <w:szCs w:val="21"/>
                <w:lang w:val="en-US" w:eastAsia="zh-CN"/>
              </w:rPr>
              <w:t xml:space="preserve"> </w:t>
            </w:r>
            <w:r>
              <w:rPr>
                <w:rFonts w:hint="eastAsia" w:ascii="Times New Roman" w:hAnsi="Times New Roman" w:eastAsia="楷体"/>
                <w:color w:val="auto"/>
                <w:sz w:val="21"/>
                <w:szCs w:val="21"/>
              </w:rPr>
              <w:t xml:space="preserve"> </w:t>
            </w:r>
          </w:p>
          <w:p>
            <w:pPr>
              <w:rPr>
                <w:rFonts w:hint="eastAsia" w:ascii="Times New Roman" w:hAnsi="Times New Roman" w:eastAsia="楷体"/>
                <w:color w:val="auto"/>
                <w:sz w:val="21"/>
                <w:szCs w:val="21"/>
                <w:lang w:eastAsia="zh-CN"/>
              </w:rPr>
            </w:pPr>
            <w:r>
              <w:rPr>
                <w:rFonts w:hint="eastAsia" w:ascii="Times New Roman" w:hAnsi="Times New Roman" w:eastAsia="楷体"/>
                <w:b/>
                <w:bCs/>
                <w:color w:val="auto"/>
                <w:sz w:val="21"/>
                <w:szCs w:val="21"/>
              </w:rPr>
              <w:t>账号：</w:t>
            </w:r>
            <w:r>
              <w:rPr>
                <w:rFonts w:hint="eastAsia" w:ascii="Times New Roman" w:hAnsi="Times New Roman" w:eastAsia="楷体"/>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trPr>
        <w:tc>
          <w:tcPr>
            <w:tcW w:w="4678" w:type="dxa"/>
          </w:tcPr>
          <w:p>
            <w:pPr>
              <w:rPr>
                <w:rFonts w:hint="eastAsia"/>
                <w:color w:val="auto"/>
              </w:rPr>
            </w:pPr>
            <w:r>
              <w:rPr>
                <w:rFonts w:hint="eastAsia"/>
                <w:color w:val="auto"/>
              </w:rPr>
              <w:t>法定代表人</w:t>
            </w:r>
          </w:p>
          <w:p>
            <w:pPr>
              <w:rPr>
                <w:color w:val="auto"/>
              </w:rPr>
            </w:pPr>
            <w:r>
              <w:rPr>
                <w:rFonts w:hint="eastAsia"/>
                <w:color w:val="auto"/>
              </w:rPr>
              <w:t>或授权代表</w:t>
            </w:r>
            <w:r>
              <w:rPr>
                <w:rFonts w:hint="eastAsia"/>
                <w:color w:val="auto"/>
                <w:lang w:eastAsia="zh-CN"/>
              </w:rPr>
              <w:t>（签字）</w:t>
            </w:r>
            <w:r>
              <w:rPr>
                <w:color w:val="auto"/>
              </w:rPr>
              <w:t xml:space="preserve">： </w:t>
            </w:r>
          </w:p>
          <w:p>
            <w:pPr>
              <w:rPr>
                <w:color w:val="auto"/>
              </w:rPr>
            </w:pPr>
            <w:r>
              <w:rPr>
                <w:color w:val="auto"/>
              </w:rPr>
              <w:t>电  话：</w:t>
            </w:r>
          </w:p>
          <w:p>
            <w:pPr>
              <w:pStyle w:val="2"/>
              <w:rPr>
                <w:color w:val="auto"/>
              </w:rPr>
            </w:pPr>
          </w:p>
        </w:tc>
        <w:tc>
          <w:tcPr>
            <w:tcW w:w="4545" w:type="dxa"/>
          </w:tcPr>
          <w:p>
            <w:pPr>
              <w:rPr>
                <w:rFonts w:hint="eastAsia"/>
                <w:color w:val="auto"/>
              </w:rPr>
            </w:pPr>
            <w:r>
              <w:rPr>
                <w:rFonts w:hint="eastAsia"/>
                <w:color w:val="auto"/>
              </w:rPr>
              <w:t>法定代表人</w:t>
            </w:r>
          </w:p>
          <w:p>
            <w:pPr>
              <w:rPr>
                <w:color w:val="auto"/>
              </w:rPr>
            </w:pPr>
            <w:r>
              <w:rPr>
                <w:rFonts w:hint="eastAsia"/>
                <w:color w:val="auto"/>
              </w:rPr>
              <w:t>或授权代表</w:t>
            </w:r>
            <w:r>
              <w:rPr>
                <w:rFonts w:hint="eastAsia"/>
                <w:color w:val="auto"/>
                <w:lang w:eastAsia="zh-CN"/>
              </w:rPr>
              <w:t>（签字）</w:t>
            </w:r>
            <w:r>
              <w:rPr>
                <w:color w:val="auto"/>
              </w:rPr>
              <w:t xml:space="preserve">： </w:t>
            </w:r>
          </w:p>
          <w:p>
            <w:pPr>
              <w:rPr>
                <w:color w:val="auto"/>
              </w:rPr>
            </w:pPr>
            <w:r>
              <w:rPr>
                <w:color w:val="auto"/>
              </w:rPr>
              <w:t>电  话：</w:t>
            </w:r>
          </w:p>
          <w:p>
            <w:pPr>
              <w:rPr>
                <w:rFonts w:hint="eastAsia" w:ascii="Times New Roman" w:hAnsi="Times New Roman" w:eastAsia="楷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trPr>
        <w:tc>
          <w:tcPr>
            <w:tcW w:w="4678" w:type="dxa"/>
            <w:tcBorders>
              <w:bottom w:val="single" w:color="000000" w:sz="4" w:space="0"/>
            </w:tcBorders>
          </w:tcPr>
          <w:p>
            <w:pPr>
              <w:rPr>
                <w:color w:val="auto"/>
              </w:rPr>
            </w:pPr>
          </w:p>
          <w:p>
            <w:pPr>
              <w:pStyle w:val="2"/>
              <w:ind w:firstLine="720" w:firstLineChars="400"/>
              <w:rPr>
                <w:color w:val="auto"/>
              </w:rPr>
            </w:pPr>
            <w:r>
              <w:rPr>
                <w:rFonts w:hint="eastAsia"/>
                <w:color w:val="auto"/>
              </w:rPr>
              <w:t xml:space="preserve">签署日期：  </w:t>
            </w:r>
            <w:r>
              <w:rPr>
                <w:rFonts w:hint="eastAsia"/>
                <w:color w:val="auto"/>
                <w:lang w:val="en-US" w:eastAsia="zh-CN"/>
              </w:rPr>
              <w:t xml:space="preserve">   </w:t>
            </w:r>
            <w:r>
              <w:rPr>
                <w:rFonts w:hint="eastAsia"/>
                <w:color w:val="auto"/>
              </w:rPr>
              <w:t xml:space="preserve">年  </w:t>
            </w:r>
            <w:r>
              <w:rPr>
                <w:rFonts w:hint="eastAsia"/>
                <w:color w:val="auto"/>
                <w:lang w:val="en-US" w:eastAsia="zh-CN"/>
              </w:rPr>
              <w:t xml:space="preserve"> </w:t>
            </w:r>
            <w:r>
              <w:rPr>
                <w:rFonts w:hint="eastAsia"/>
                <w:color w:val="auto"/>
              </w:rPr>
              <w:t>月    日</w:t>
            </w:r>
          </w:p>
        </w:tc>
        <w:tc>
          <w:tcPr>
            <w:tcW w:w="4545" w:type="dxa"/>
            <w:tcBorders>
              <w:bottom w:val="single" w:color="000000" w:sz="4" w:space="0"/>
            </w:tcBorders>
          </w:tcPr>
          <w:p>
            <w:pPr>
              <w:rPr>
                <w:color w:val="auto"/>
              </w:rPr>
            </w:pPr>
          </w:p>
          <w:p>
            <w:pPr>
              <w:pStyle w:val="2"/>
              <w:ind w:firstLine="900" w:firstLineChars="500"/>
              <w:rPr>
                <w:color w:val="auto"/>
              </w:rPr>
            </w:pPr>
            <w:r>
              <w:rPr>
                <w:rFonts w:hint="eastAsia"/>
                <w:color w:val="auto"/>
              </w:rPr>
              <w:t xml:space="preserve">签署日期：  </w:t>
            </w:r>
            <w:r>
              <w:rPr>
                <w:rFonts w:hint="eastAsia"/>
                <w:color w:val="auto"/>
                <w:lang w:val="en-US" w:eastAsia="zh-CN"/>
              </w:rPr>
              <w:t xml:space="preserve">   </w:t>
            </w:r>
            <w:r>
              <w:rPr>
                <w:rFonts w:hint="eastAsia"/>
                <w:color w:val="auto"/>
              </w:rPr>
              <w:t xml:space="preserve">年  </w:t>
            </w:r>
            <w:r>
              <w:rPr>
                <w:rFonts w:hint="eastAsia"/>
                <w:color w:val="auto"/>
                <w:lang w:val="en-US" w:eastAsia="zh-CN"/>
              </w:rPr>
              <w:t xml:space="preserve"> </w:t>
            </w:r>
            <w:r>
              <w:rPr>
                <w:rFonts w:hint="eastAsia"/>
                <w:color w:val="auto"/>
              </w:rPr>
              <w:t>月    日</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廉政</w:t>
      </w:r>
      <w:r>
        <w:rPr>
          <w:rFonts w:hint="eastAsia" w:ascii="方正小标宋简体" w:hAnsi="方正小标宋简体" w:eastAsia="方正小标宋简体" w:cs="方正小标宋简体"/>
          <w:b w:val="0"/>
          <w:bCs w:val="0"/>
          <w:color w:val="auto"/>
          <w:sz w:val="44"/>
          <w:szCs w:val="44"/>
          <w:lang w:val="en-US" w:eastAsia="zh-CN"/>
        </w:rPr>
        <w:t>承诺协议</w:t>
      </w:r>
      <w:r>
        <w:rPr>
          <w:rFonts w:hint="eastAsia" w:ascii="方正小标宋简体" w:hAnsi="方正小标宋简体" w:eastAsia="方正小标宋简体" w:cs="方正小标宋简体"/>
          <w:b w:val="0"/>
          <w:bCs w:val="0"/>
          <w:color w:val="auto"/>
          <w:sz w:val="44"/>
          <w:szCs w:val="44"/>
          <w:lang w:eastAsia="zh-CN"/>
        </w:rPr>
        <w:t>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w:t>
      </w:r>
      <w:r>
        <w:rPr>
          <w:rFonts w:hint="eastAsia" w:ascii="方正仿宋_GBK" w:hAnsi="方正仿宋_GBK" w:eastAsia="方正仿宋_GBK" w:cs="方正仿宋_GBK"/>
          <w:b/>
          <w:color w:val="auto"/>
          <w:sz w:val="24"/>
          <w:szCs w:val="24"/>
          <w:lang w:val="en-US" w:eastAsia="zh-CN"/>
        </w:rPr>
        <w:t>北部湾（广西）大宗商品交易有限公司</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为加强廉政建设，从制度机制上杜绝不廉洁行为，维护双方企业的利益，根据廉政建设的有关规定，</w:t>
      </w:r>
      <w:r>
        <w:rPr>
          <w:rFonts w:hint="eastAsia" w:ascii="仿宋_GB2312" w:hAnsi="仿宋_GB2312" w:eastAsia="仿宋_GB2312" w:cs="仿宋_GB2312"/>
          <w:color w:val="auto"/>
          <w:sz w:val="24"/>
          <w:szCs w:val="24"/>
          <w:lang w:eastAsia="zh-CN"/>
        </w:rPr>
        <w:t>经双方协商，同意订立本廉政</w:t>
      </w:r>
      <w:r>
        <w:rPr>
          <w:rFonts w:hint="eastAsia" w:ascii="仿宋_GB2312" w:hAnsi="仿宋_GB2312" w:eastAsia="仿宋_GB2312" w:cs="仿宋_GB2312"/>
          <w:color w:val="auto"/>
          <w:sz w:val="24"/>
          <w:szCs w:val="24"/>
          <w:lang w:val="en-US" w:eastAsia="zh-CN"/>
        </w:rPr>
        <w:t>协议书</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lang w:eastAsia="zh-CN"/>
        </w:rPr>
        <w:t>在</w:t>
      </w:r>
      <w:r>
        <w:rPr>
          <w:rFonts w:hint="eastAsia" w:ascii="仿宋_GB2312" w:hAnsi="仿宋_GB2312" w:eastAsia="仿宋_GB2312" w:cs="仿宋_GB2312"/>
          <w:color w:val="auto"/>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（四）</w:t>
      </w:r>
      <w:r>
        <w:rPr>
          <w:rFonts w:hint="eastAsia" w:ascii="仿宋_GB2312" w:hAnsi="仿宋_GB2312" w:eastAsia="仿宋_GB2312" w:cs="仿宋_GB2312"/>
          <w:color w:val="auto"/>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若一</w:t>
      </w:r>
      <w:r>
        <w:rPr>
          <w:rFonts w:hint="eastAsia" w:ascii="仿宋_GB2312" w:hAnsi="仿宋_GB2312" w:eastAsia="仿宋_GB2312" w:cs="仿宋_GB2312"/>
          <w:color w:val="auto"/>
          <w:sz w:val="24"/>
          <w:szCs w:val="24"/>
        </w:rPr>
        <w:t>方及其工作人员</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违反法律法规及</w:t>
      </w:r>
      <w:r>
        <w:rPr>
          <w:rFonts w:hint="eastAsia" w:ascii="仿宋_GB2312" w:hAnsi="仿宋_GB2312" w:eastAsia="仿宋_GB2312" w:cs="仿宋_GB2312"/>
          <w:color w:val="auto"/>
          <w:sz w:val="24"/>
          <w:szCs w:val="24"/>
          <w:lang w:eastAsia="zh-CN"/>
        </w:rPr>
        <w:t>本</w:t>
      </w:r>
      <w:r>
        <w:rPr>
          <w:rFonts w:hint="eastAsia" w:ascii="仿宋_GB2312" w:hAnsi="仿宋_GB2312" w:eastAsia="仿宋_GB2312" w:cs="仿宋_GB2312"/>
          <w:color w:val="auto"/>
          <w:sz w:val="24"/>
          <w:szCs w:val="24"/>
          <w:lang w:val="en-US" w:eastAsia="zh-CN"/>
        </w:rPr>
        <w:t>协议</w:t>
      </w:r>
      <w:r>
        <w:rPr>
          <w:rFonts w:hint="eastAsia" w:ascii="仿宋_GB2312" w:hAnsi="仿宋_GB2312" w:eastAsia="仿宋_GB2312" w:cs="仿宋_GB2312"/>
          <w:color w:val="auto"/>
          <w:sz w:val="24"/>
          <w:szCs w:val="24"/>
          <w:lang w:eastAsia="zh-CN"/>
        </w:rPr>
        <w:t>书</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应</w:t>
      </w:r>
      <w:r>
        <w:rPr>
          <w:rFonts w:hint="eastAsia" w:ascii="仿宋_GB2312" w:hAnsi="仿宋_GB2312" w:eastAsia="仿宋_GB2312" w:cs="仿宋_GB2312"/>
          <w:color w:val="auto"/>
          <w:sz w:val="24"/>
          <w:szCs w:val="24"/>
        </w:rPr>
        <w:t>依法依规对相关责任人进行严肃处理</w:t>
      </w:r>
      <w:r>
        <w:rPr>
          <w:rFonts w:hint="default" w:ascii="仿宋_GB2312" w:hAnsi="仿宋_GB2312" w:eastAsia="仿宋_GB2312" w:cs="仿宋_GB2312"/>
          <w:color w:val="auto"/>
          <w:sz w:val="24"/>
          <w:szCs w:val="24"/>
        </w:rPr>
        <w:t>，并向守约方支付至少10000元的违约金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若违约方</w:t>
      </w:r>
      <w:r>
        <w:rPr>
          <w:rFonts w:hint="eastAsia" w:ascii="仿宋_GB2312" w:hAnsi="仿宋_GB2312" w:eastAsia="仿宋_GB2312" w:cs="仿宋_GB2312"/>
          <w:color w:val="auto"/>
          <w:sz w:val="24"/>
          <w:szCs w:val="24"/>
        </w:rPr>
        <w:t>给</w:t>
      </w:r>
      <w:r>
        <w:rPr>
          <w:rFonts w:hint="eastAsia" w:ascii="仿宋_GB2312" w:hAnsi="仿宋_GB2312" w:eastAsia="仿宋_GB2312" w:cs="仿宋_GB2312"/>
          <w:color w:val="auto"/>
          <w:sz w:val="24"/>
          <w:szCs w:val="24"/>
          <w:lang w:val="en-US" w:eastAsia="zh-CN"/>
        </w:rPr>
        <w:t>守约方</w:t>
      </w:r>
      <w:r>
        <w:rPr>
          <w:rFonts w:hint="eastAsia" w:ascii="仿宋_GB2312" w:hAnsi="仿宋_GB2312" w:eastAsia="仿宋_GB2312" w:cs="仿宋_GB2312"/>
          <w:color w:val="auto"/>
          <w:sz w:val="24"/>
          <w:szCs w:val="24"/>
        </w:rPr>
        <w:t>造成经济损失的，</w:t>
      </w:r>
      <w:r>
        <w:rPr>
          <w:rFonts w:hint="eastAsia" w:ascii="仿宋_GB2312" w:hAnsi="仿宋_GB2312" w:eastAsia="仿宋_GB2312" w:cs="仿宋_GB2312"/>
          <w:color w:val="auto"/>
          <w:sz w:val="24"/>
          <w:szCs w:val="24"/>
          <w:lang w:val="en-US" w:eastAsia="zh-CN"/>
        </w:rPr>
        <w:t>应按照损失的金额</w:t>
      </w:r>
      <w:r>
        <w:rPr>
          <w:rFonts w:hint="default" w:ascii="仿宋_GB2312" w:hAnsi="仿宋_GB2312" w:eastAsia="仿宋_GB2312" w:cs="仿宋_GB2312"/>
          <w:color w:val="auto"/>
          <w:sz w:val="24"/>
          <w:szCs w:val="24"/>
          <w:lang w:eastAsia="zh-CN"/>
        </w:rPr>
        <w:t>的2倍</w:t>
      </w:r>
      <w:r>
        <w:rPr>
          <w:rFonts w:hint="eastAsia" w:ascii="仿宋_GB2312" w:hAnsi="仿宋_GB2312" w:eastAsia="仿宋_GB2312" w:cs="仿宋_GB2312"/>
          <w:color w:val="auto"/>
          <w:sz w:val="24"/>
          <w:szCs w:val="24"/>
          <w:lang w:val="en-US" w:eastAsia="zh-CN"/>
        </w:rPr>
        <w:t>给守约方予以赔偿</w:t>
      </w:r>
      <w:r>
        <w:rPr>
          <w:rFonts w:hint="eastAsia" w:ascii="仿宋_GB2312" w:hAnsi="仿宋_GB2312" w:eastAsia="仿宋_GB2312" w:cs="仿宋_GB2312"/>
          <w:color w:val="auto"/>
          <w:sz w:val="24"/>
          <w:szCs w:val="24"/>
        </w:rPr>
        <w:t>；涉嫌犯罪的，移送司法机关</w:t>
      </w:r>
      <w:r>
        <w:rPr>
          <w:rFonts w:hint="eastAsia" w:ascii="仿宋_GB2312" w:hAnsi="仿宋_GB2312" w:eastAsia="仿宋_GB2312" w:cs="仿宋_GB2312"/>
          <w:color w:val="auto"/>
          <w:sz w:val="24"/>
          <w:szCs w:val="24"/>
          <w:lang w:val="en-US" w:eastAsia="zh-CN"/>
        </w:rPr>
        <w:t>追究相关责任</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val="en-US" w:eastAsia="zh-CN"/>
        </w:rPr>
        <w:t>三</w:t>
      </w:r>
      <w:r>
        <w:rPr>
          <w:rFonts w:hint="default"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eastAsia="zh-CN"/>
        </w:rPr>
        <w:t>甲方举报方式：</w:t>
      </w:r>
      <w:r>
        <w:rPr>
          <w:rFonts w:hint="default"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1.电话举报：0777-5818333；2.邮箱举报：</w:t>
      </w:r>
      <w:r>
        <w:rPr>
          <w:rFonts w:hint="eastAsia" w:ascii="仿宋_GB2312" w:hAnsi="仿宋_GB2312" w:eastAsia="仿宋_GB2312" w:cs="仿宋_GB2312"/>
          <w:color w:val="auto"/>
          <w:sz w:val="24"/>
          <w:szCs w:val="24"/>
          <w:u w:val="single"/>
          <w:lang w:val="en-US" w:eastAsia="zh-CN"/>
        </w:rPr>
        <w:fldChar w:fldCharType="begin"/>
      </w:r>
      <w:r>
        <w:rPr>
          <w:rFonts w:hint="eastAsia" w:ascii="仿宋_GB2312" w:hAnsi="仿宋_GB2312" w:eastAsia="仿宋_GB2312" w:cs="仿宋_GB2312"/>
          <w:color w:val="auto"/>
          <w:sz w:val="24"/>
          <w:szCs w:val="24"/>
          <w:u w:val="single"/>
          <w:lang w:val="en-US" w:eastAsia="zh-CN"/>
        </w:rPr>
        <w:instrText xml:space="preserve"> HYPERLINK "mailto:zimaokaitoujituan@163.com；" </w:instrText>
      </w:r>
      <w:r>
        <w:rPr>
          <w:rFonts w:hint="eastAsia" w:ascii="仿宋_GB2312" w:hAnsi="仿宋_GB2312" w:eastAsia="仿宋_GB2312" w:cs="仿宋_GB2312"/>
          <w:color w:val="auto"/>
          <w:sz w:val="24"/>
          <w:szCs w:val="24"/>
          <w:u w:val="single"/>
          <w:lang w:val="en-US" w:eastAsia="zh-CN"/>
        </w:rPr>
        <w:fldChar w:fldCharType="separate"/>
      </w:r>
      <w:r>
        <w:rPr>
          <w:rStyle w:val="26"/>
          <w:rFonts w:hint="eastAsia" w:ascii="仿宋_GB2312" w:hAnsi="仿宋_GB2312" w:eastAsia="仿宋_GB2312" w:cs="仿宋_GB2312"/>
          <w:color w:val="auto"/>
          <w:sz w:val="24"/>
          <w:szCs w:val="24"/>
          <w:lang w:val="en-US" w:eastAsia="zh-CN"/>
        </w:rPr>
        <w:t>zimaokaitoujituan@163.com</w:t>
      </w:r>
      <w:r>
        <w:rPr>
          <w:rStyle w:val="26"/>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lang w:val="en-US" w:eastAsia="zh-CN"/>
        </w:rPr>
        <w:fldChar w:fldCharType="end"/>
      </w:r>
    </w:p>
    <w:p>
      <w:pPr>
        <w:keepNext w:val="0"/>
        <w:keepLines w:val="0"/>
        <w:pageBreakBefore w:val="0"/>
        <w:widowControl/>
        <w:kinsoku/>
        <w:wordWrap/>
        <w:overflowPunct/>
        <w:topLinePunct w:val="0"/>
        <w:autoSpaceDE/>
        <w:autoSpaceDN/>
        <w:bidi w:val="0"/>
        <w:spacing w:line="360" w:lineRule="auto"/>
        <w:textAlignment w:val="auto"/>
        <w:rPr>
          <w:rFonts w:hint="eastAsia"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eastAsia="zh-CN"/>
        </w:rPr>
        <w:t>乙方举报方式：</w:t>
      </w:r>
      <w:r>
        <w:rPr>
          <w:rFonts w:hint="eastAsia" w:ascii="仿宋_GB2312" w:hAnsi="仿宋_GB2312" w:eastAsia="仿宋_GB2312" w:cs="仿宋_GB2312"/>
          <w:color w:val="auto"/>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本页为签署页</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（盖章）</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乙方（盖章）：</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法定代表人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或</w:t>
      </w:r>
      <w:r>
        <w:rPr>
          <w:rFonts w:hint="eastAsia" w:ascii="仿宋_GB2312" w:hAnsi="仿宋_GB2312" w:eastAsia="仿宋_GB2312" w:cs="仿宋_GB2312"/>
          <w:color w:val="auto"/>
          <w:sz w:val="24"/>
          <w:szCs w:val="24"/>
          <w:lang w:val="en-US" w:eastAsia="zh-CN"/>
        </w:rPr>
        <w:t>授权</w:t>
      </w:r>
      <w:r>
        <w:rPr>
          <w:rFonts w:hint="eastAsia" w:ascii="仿宋_GB2312" w:hAnsi="仿宋_GB2312" w:eastAsia="仿宋_GB2312" w:cs="仿宋_GB2312"/>
          <w:color w:val="auto"/>
          <w:sz w:val="24"/>
          <w:szCs w:val="24"/>
        </w:rPr>
        <w:t xml:space="preserve">代表：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或</w:t>
      </w:r>
      <w:r>
        <w:rPr>
          <w:rFonts w:hint="eastAsia" w:ascii="仿宋_GB2312" w:hAnsi="仿宋_GB2312" w:eastAsia="仿宋_GB2312" w:cs="仿宋_GB2312"/>
          <w:color w:val="auto"/>
          <w:sz w:val="24"/>
          <w:szCs w:val="24"/>
          <w:lang w:val="en-US" w:eastAsia="zh-CN"/>
        </w:rPr>
        <w:t>授权</w:t>
      </w:r>
      <w:r>
        <w:rPr>
          <w:rFonts w:hint="eastAsia" w:ascii="仿宋_GB2312" w:hAnsi="仿宋_GB2312" w:eastAsia="仿宋_GB2312" w:cs="仿宋_GB2312"/>
          <w:color w:val="auto"/>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签订日期：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eastAsia="zh-CN"/>
        </w:rPr>
        <w:t>：</w:t>
      </w:r>
    </w:p>
    <w:p>
      <w:pPr>
        <w:pStyle w:val="6"/>
        <w:rPr>
          <w:rFonts w:hint="default" w:ascii="宋体" w:hAnsi="宋体"/>
          <w:b/>
          <w:bCs/>
          <w:color w:val="auto"/>
          <w:sz w:val="32"/>
          <w:szCs w:val="32"/>
          <w:lang w:val="en-US" w:eastAsia="zh-CN"/>
        </w:rPr>
      </w:pPr>
    </w:p>
    <w:p>
      <w:pPr>
        <w:rPr>
          <w:rFonts w:hint="default"/>
          <w:color w:val="auto"/>
          <w:lang w:val="en-US" w:eastAsia="zh-CN"/>
        </w:rPr>
      </w:pPr>
    </w:p>
    <w:sectPr>
      <w:headerReference r:id="rId6" w:type="default"/>
      <w:footerReference r:id="rId7" w:type="default"/>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WJjYjg3ZDdhZjliOTg1OGQ2MmY5MTBmMzRhNGUifQ=="/>
  </w:docVars>
  <w:rsids>
    <w:rsidRoot w:val="00377E77"/>
    <w:rsid w:val="00080E82"/>
    <w:rsid w:val="002630BB"/>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EB60B2"/>
    <w:rsid w:val="00F20589"/>
    <w:rsid w:val="01390BCC"/>
    <w:rsid w:val="01470799"/>
    <w:rsid w:val="01671BDD"/>
    <w:rsid w:val="01692279"/>
    <w:rsid w:val="01853181"/>
    <w:rsid w:val="01874D0F"/>
    <w:rsid w:val="018B2C0E"/>
    <w:rsid w:val="01A82432"/>
    <w:rsid w:val="01AB0775"/>
    <w:rsid w:val="01AD63C8"/>
    <w:rsid w:val="01B11A47"/>
    <w:rsid w:val="01B97F5E"/>
    <w:rsid w:val="01D152A8"/>
    <w:rsid w:val="01E75868"/>
    <w:rsid w:val="0227217D"/>
    <w:rsid w:val="022B2C0A"/>
    <w:rsid w:val="02B84BEB"/>
    <w:rsid w:val="02C40969"/>
    <w:rsid w:val="02CD67D2"/>
    <w:rsid w:val="02D33214"/>
    <w:rsid w:val="02DB5955"/>
    <w:rsid w:val="02FD74D4"/>
    <w:rsid w:val="033B0A11"/>
    <w:rsid w:val="033C11D8"/>
    <w:rsid w:val="034466C4"/>
    <w:rsid w:val="035641C4"/>
    <w:rsid w:val="03604CAA"/>
    <w:rsid w:val="0365214C"/>
    <w:rsid w:val="036A4F1F"/>
    <w:rsid w:val="038D2040"/>
    <w:rsid w:val="039247BD"/>
    <w:rsid w:val="03A03587"/>
    <w:rsid w:val="03A65568"/>
    <w:rsid w:val="03B7546F"/>
    <w:rsid w:val="03BA619A"/>
    <w:rsid w:val="03BD5AE4"/>
    <w:rsid w:val="03CB1065"/>
    <w:rsid w:val="03D210FC"/>
    <w:rsid w:val="03ED7150"/>
    <w:rsid w:val="03F352D2"/>
    <w:rsid w:val="04161698"/>
    <w:rsid w:val="041E22FB"/>
    <w:rsid w:val="042E0790"/>
    <w:rsid w:val="044C0C16"/>
    <w:rsid w:val="044E5E4A"/>
    <w:rsid w:val="04501B95"/>
    <w:rsid w:val="047F2D99"/>
    <w:rsid w:val="04897E8F"/>
    <w:rsid w:val="049011E6"/>
    <w:rsid w:val="049104C4"/>
    <w:rsid w:val="04A722F0"/>
    <w:rsid w:val="04B708F5"/>
    <w:rsid w:val="04D878A9"/>
    <w:rsid w:val="04DC1B79"/>
    <w:rsid w:val="04DD3A60"/>
    <w:rsid w:val="04DD675D"/>
    <w:rsid w:val="04DF7CDC"/>
    <w:rsid w:val="04F25C61"/>
    <w:rsid w:val="0511372D"/>
    <w:rsid w:val="05214488"/>
    <w:rsid w:val="054A6494"/>
    <w:rsid w:val="05555183"/>
    <w:rsid w:val="05634469"/>
    <w:rsid w:val="05A017DF"/>
    <w:rsid w:val="05D13DE9"/>
    <w:rsid w:val="05DD2775"/>
    <w:rsid w:val="060D56C3"/>
    <w:rsid w:val="06121BBF"/>
    <w:rsid w:val="0629197A"/>
    <w:rsid w:val="06351D6F"/>
    <w:rsid w:val="06400C4E"/>
    <w:rsid w:val="0650001B"/>
    <w:rsid w:val="06551E88"/>
    <w:rsid w:val="065564A8"/>
    <w:rsid w:val="067D155B"/>
    <w:rsid w:val="067D77AC"/>
    <w:rsid w:val="06886D38"/>
    <w:rsid w:val="0696086E"/>
    <w:rsid w:val="06971594"/>
    <w:rsid w:val="069A08D2"/>
    <w:rsid w:val="06A83A1A"/>
    <w:rsid w:val="06B57D92"/>
    <w:rsid w:val="06C42AE0"/>
    <w:rsid w:val="06C947A0"/>
    <w:rsid w:val="06DA4BFF"/>
    <w:rsid w:val="070C41BB"/>
    <w:rsid w:val="072B3722"/>
    <w:rsid w:val="07360895"/>
    <w:rsid w:val="074526C1"/>
    <w:rsid w:val="0747120B"/>
    <w:rsid w:val="074A2893"/>
    <w:rsid w:val="074D04C1"/>
    <w:rsid w:val="074D24C2"/>
    <w:rsid w:val="07561822"/>
    <w:rsid w:val="07574736"/>
    <w:rsid w:val="075E22C5"/>
    <w:rsid w:val="07784D2E"/>
    <w:rsid w:val="07866B35"/>
    <w:rsid w:val="07883B0C"/>
    <w:rsid w:val="07987E9C"/>
    <w:rsid w:val="07AB0576"/>
    <w:rsid w:val="07B63567"/>
    <w:rsid w:val="07C32218"/>
    <w:rsid w:val="07E60079"/>
    <w:rsid w:val="07F26858"/>
    <w:rsid w:val="08105B9E"/>
    <w:rsid w:val="081D0290"/>
    <w:rsid w:val="0822685D"/>
    <w:rsid w:val="082500FC"/>
    <w:rsid w:val="08391DD9"/>
    <w:rsid w:val="083B24A9"/>
    <w:rsid w:val="083C026A"/>
    <w:rsid w:val="084E7652"/>
    <w:rsid w:val="086F4E97"/>
    <w:rsid w:val="08713341"/>
    <w:rsid w:val="088E7380"/>
    <w:rsid w:val="08AE4F3F"/>
    <w:rsid w:val="08AF5390"/>
    <w:rsid w:val="08CA553B"/>
    <w:rsid w:val="08F7532E"/>
    <w:rsid w:val="09560051"/>
    <w:rsid w:val="0957698D"/>
    <w:rsid w:val="095920CF"/>
    <w:rsid w:val="09816EE4"/>
    <w:rsid w:val="098715B8"/>
    <w:rsid w:val="0999550E"/>
    <w:rsid w:val="09CE6744"/>
    <w:rsid w:val="09EB2C7F"/>
    <w:rsid w:val="09ED49C1"/>
    <w:rsid w:val="09EF20F3"/>
    <w:rsid w:val="09F938DF"/>
    <w:rsid w:val="0A021711"/>
    <w:rsid w:val="0A135D35"/>
    <w:rsid w:val="0A2C0C06"/>
    <w:rsid w:val="0A4F5DE3"/>
    <w:rsid w:val="0A6A44EC"/>
    <w:rsid w:val="0A6F565E"/>
    <w:rsid w:val="0A875AA6"/>
    <w:rsid w:val="0A974E91"/>
    <w:rsid w:val="0A9C2B56"/>
    <w:rsid w:val="0AA65491"/>
    <w:rsid w:val="0AAE43D8"/>
    <w:rsid w:val="0AB02E0B"/>
    <w:rsid w:val="0AB539B9"/>
    <w:rsid w:val="0ABF0394"/>
    <w:rsid w:val="0AD74629"/>
    <w:rsid w:val="0AF142C5"/>
    <w:rsid w:val="0B061635"/>
    <w:rsid w:val="0B0D7385"/>
    <w:rsid w:val="0B4B1C27"/>
    <w:rsid w:val="0B4F0EB0"/>
    <w:rsid w:val="0B536D2E"/>
    <w:rsid w:val="0B58487D"/>
    <w:rsid w:val="0B5A630E"/>
    <w:rsid w:val="0BC30EB4"/>
    <w:rsid w:val="0BE45BD8"/>
    <w:rsid w:val="0BFE313E"/>
    <w:rsid w:val="0C2639B5"/>
    <w:rsid w:val="0C4B5C57"/>
    <w:rsid w:val="0C517711"/>
    <w:rsid w:val="0C897DF8"/>
    <w:rsid w:val="0C9F66CF"/>
    <w:rsid w:val="0CA33AF7"/>
    <w:rsid w:val="0CA37841"/>
    <w:rsid w:val="0CB16402"/>
    <w:rsid w:val="0CC7252F"/>
    <w:rsid w:val="0CCA6F1A"/>
    <w:rsid w:val="0CD80FB6"/>
    <w:rsid w:val="0CDB634D"/>
    <w:rsid w:val="0CF91661"/>
    <w:rsid w:val="0D0C62E2"/>
    <w:rsid w:val="0D1D0BA8"/>
    <w:rsid w:val="0D2640FB"/>
    <w:rsid w:val="0D386579"/>
    <w:rsid w:val="0D3D7C96"/>
    <w:rsid w:val="0D5D5AC8"/>
    <w:rsid w:val="0DA63A8D"/>
    <w:rsid w:val="0DAD282A"/>
    <w:rsid w:val="0DAD4E1B"/>
    <w:rsid w:val="0DCD73D4"/>
    <w:rsid w:val="0DE84494"/>
    <w:rsid w:val="0E010CC3"/>
    <w:rsid w:val="0E157483"/>
    <w:rsid w:val="0E455054"/>
    <w:rsid w:val="0E6814E6"/>
    <w:rsid w:val="0E686F94"/>
    <w:rsid w:val="0E6D0107"/>
    <w:rsid w:val="0E8B66C7"/>
    <w:rsid w:val="0EB473DE"/>
    <w:rsid w:val="0ED174EF"/>
    <w:rsid w:val="0F205090"/>
    <w:rsid w:val="0F214C44"/>
    <w:rsid w:val="0F31498D"/>
    <w:rsid w:val="0F5A68DD"/>
    <w:rsid w:val="0F6404D7"/>
    <w:rsid w:val="0F75172D"/>
    <w:rsid w:val="0F7C00CE"/>
    <w:rsid w:val="0F9067A2"/>
    <w:rsid w:val="0F906D7B"/>
    <w:rsid w:val="0F9630C9"/>
    <w:rsid w:val="0F9D6C95"/>
    <w:rsid w:val="0FB13F73"/>
    <w:rsid w:val="100D1BA1"/>
    <w:rsid w:val="101F195E"/>
    <w:rsid w:val="10563548"/>
    <w:rsid w:val="105679F8"/>
    <w:rsid w:val="10665370"/>
    <w:rsid w:val="106F460A"/>
    <w:rsid w:val="10782D20"/>
    <w:rsid w:val="1089602A"/>
    <w:rsid w:val="109F4366"/>
    <w:rsid w:val="10A21049"/>
    <w:rsid w:val="10B77D5F"/>
    <w:rsid w:val="10C07715"/>
    <w:rsid w:val="10CE73F0"/>
    <w:rsid w:val="10D10E21"/>
    <w:rsid w:val="10D75D0B"/>
    <w:rsid w:val="10E64931"/>
    <w:rsid w:val="1102722C"/>
    <w:rsid w:val="110C2831"/>
    <w:rsid w:val="110C4D0D"/>
    <w:rsid w:val="110D5627"/>
    <w:rsid w:val="111B209C"/>
    <w:rsid w:val="111B71F1"/>
    <w:rsid w:val="11291336"/>
    <w:rsid w:val="113849FC"/>
    <w:rsid w:val="113A4B37"/>
    <w:rsid w:val="116F10F6"/>
    <w:rsid w:val="11745646"/>
    <w:rsid w:val="118E286E"/>
    <w:rsid w:val="118F30E7"/>
    <w:rsid w:val="11934328"/>
    <w:rsid w:val="119A56B6"/>
    <w:rsid w:val="11A64463"/>
    <w:rsid w:val="11A85C5E"/>
    <w:rsid w:val="11B14F44"/>
    <w:rsid w:val="11D45567"/>
    <w:rsid w:val="121F5587"/>
    <w:rsid w:val="1230601B"/>
    <w:rsid w:val="123C45D4"/>
    <w:rsid w:val="125838F7"/>
    <w:rsid w:val="12620F04"/>
    <w:rsid w:val="12850115"/>
    <w:rsid w:val="128F7DE1"/>
    <w:rsid w:val="12924115"/>
    <w:rsid w:val="12940283"/>
    <w:rsid w:val="12A12A75"/>
    <w:rsid w:val="12A27490"/>
    <w:rsid w:val="12B427A8"/>
    <w:rsid w:val="12BC78AF"/>
    <w:rsid w:val="12F51933"/>
    <w:rsid w:val="130D010A"/>
    <w:rsid w:val="13325154"/>
    <w:rsid w:val="138758AD"/>
    <w:rsid w:val="13A520F1"/>
    <w:rsid w:val="13D87533"/>
    <w:rsid w:val="13FF5CA5"/>
    <w:rsid w:val="144C726A"/>
    <w:rsid w:val="14516A37"/>
    <w:rsid w:val="147075B1"/>
    <w:rsid w:val="148D5ED5"/>
    <w:rsid w:val="14AC12D9"/>
    <w:rsid w:val="14C602DB"/>
    <w:rsid w:val="14D473D9"/>
    <w:rsid w:val="14DA26BB"/>
    <w:rsid w:val="14E95E62"/>
    <w:rsid w:val="153951E6"/>
    <w:rsid w:val="153C0833"/>
    <w:rsid w:val="155415AA"/>
    <w:rsid w:val="15627EDD"/>
    <w:rsid w:val="158D5A96"/>
    <w:rsid w:val="158E5532"/>
    <w:rsid w:val="159B231F"/>
    <w:rsid w:val="15AE7982"/>
    <w:rsid w:val="15C2342E"/>
    <w:rsid w:val="1600377F"/>
    <w:rsid w:val="161731D1"/>
    <w:rsid w:val="161A6DC6"/>
    <w:rsid w:val="162C5573"/>
    <w:rsid w:val="165E3568"/>
    <w:rsid w:val="1666040A"/>
    <w:rsid w:val="167772FE"/>
    <w:rsid w:val="167A5AB7"/>
    <w:rsid w:val="16A73FF1"/>
    <w:rsid w:val="16A82624"/>
    <w:rsid w:val="16CE2DF1"/>
    <w:rsid w:val="175244AC"/>
    <w:rsid w:val="175F32E3"/>
    <w:rsid w:val="176A0626"/>
    <w:rsid w:val="176B3553"/>
    <w:rsid w:val="176B7AB8"/>
    <w:rsid w:val="179C3018"/>
    <w:rsid w:val="17B9260F"/>
    <w:rsid w:val="17BC51A7"/>
    <w:rsid w:val="17E22F5C"/>
    <w:rsid w:val="17EE5248"/>
    <w:rsid w:val="180B1483"/>
    <w:rsid w:val="182F6D6A"/>
    <w:rsid w:val="18363C5F"/>
    <w:rsid w:val="189C4D3A"/>
    <w:rsid w:val="18A81AF8"/>
    <w:rsid w:val="18BA5114"/>
    <w:rsid w:val="18D106B6"/>
    <w:rsid w:val="18DA1C61"/>
    <w:rsid w:val="18F71640"/>
    <w:rsid w:val="1910640B"/>
    <w:rsid w:val="191A70DD"/>
    <w:rsid w:val="194F5560"/>
    <w:rsid w:val="19A30E80"/>
    <w:rsid w:val="19AF21CB"/>
    <w:rsid w:val="19BC275F"/>
    <w:rsid w:val="19BF644E"/>
    <w:rsid w:val="19C57049"/>
    <w:rsid w:val="19CD3457"/>
    <w:rsid w:val="19D84033"/>
    <w:rsid w:val="19EC6CCB"/>
    <w:rsid w:val="1A1134D9"/>
    <w:rsid w:val="1A22137A"/>
    <w:rsid w:val="1A2724AB"/>
    <w:rsid w:val="1A2F0966"/>
    <w:rsid w:val="1A2F6463"/>
    <w:rsid w:val="1A5D54D3"/>
    <w:rsid w:val="1A5F04E9"/>
    <w:rsid w:val="1A615077"/>
    <w:rsid w:val="1A6223BF"/>
    <w:rsid w:val="1A6D4B8A"/>
    <w:rsid w:val="1A802718"/>
    <w:rsid w:val="1A901EC4"/>
    <w:rsid w:val="1AAA29E0"/>
    <w:rsid w:val="1AB62EC5"/>
    <w:rsid w:val="1AD36D55"/>
    <w:rsid w:val="1AE07CCB"/>
    <w:rsid w:val="1AE250EB"/>
    <w:rsid w:val="1AE62938"/>
    <w:rsid w:val="1AEE2DBC"/>
    <w:rsid w:val="1AF01232"/>
    <w:rsid w:val="1B142514"/>
    <w:rsid w:val="1B254619"/>
    <w:rsid w:val="1B300E3A"/>
    <w:rsid w:val="1B3072A4"/>
    <w:rsid w:val="1B343F57"/>
    <w:rsid w:val="1B3A39A7"/>
    <w:rsid w:val="1B560B05"/>
    <w:rsid w:val="1B610FF3"/>
    <w:rsid w:val="1B8465C1"/>
    <w:rsid w:val="1B8B2B71"/>
    <w:rsid w:val="1B9273FE"/>
    <w:rsid w:val="1B965141"/>
    <w:rsid w:val="1BA442B5"/>
    <w:rsid w:val="1BB530B8"/>
    <w:rsid w:val="1BE624A8"/>
    <w:rsid w:val="1C2503CF"/>
    <w:rsid w:val="1C331C9B"/>
    <w:rsid w:val="1C3A461F"/>
    <w:rsid w:val="1C3E30E2"/>
    <w:rsid w:val="1C4F3541"/>
    <w:rsid w:val="1C583DAC"/>
    <w:rsid w:val="1C735BE1"/>
    <w:rsid w:val="1C761991"/>
    <w:rsid w:val="1C7F25A2"/>
    <w:rsid w:val="1C8A5FB0"/>
    <w:rsid w:val="1C99577A"/>
    <w:rsid w:val="1CBA09BB"/>
    <w:rsid w:val="1CBB2985"/>
    <w:rsid w:val="1D0875ED"/>
    <w:rsid w:val="1D392227"/>
    <w:rsid w:val="1D41732E"/>
    <w:rsid w:val="1D840FC9"/>
    <w:rsid w:val="1DA510CB"/>
    <w:rsid w:val="1DC54D4D"/>
    <w:rsid w:val="1DD41F50"/>
    <w:rsid w:val="1E2C54FA"/>
    <w:rsid w:val="1E553EB9"/>
    <w:rsid w:val="1E764DB5"/>
    <w:rsid w:val="1EA23DFC"/>
    <w:rsid w:val="1EDC6402"/>
    <w:rsid w:val="1EF652E1"/>
    <w:rsid w:val="1EFA4321"/>
    <w:rsid w:val="1F0B4548"/>
    <w:rsid w:val="1F122D30"/>
    <w:rsid w:val="1F2B0E21"/>
    <w:rsid w:val="1F793F7F"/>
    <w:rsid w:val="1F836367"/>
    <w:rsid w:val="1F861028"/>
    <w:rsid w:val="1FA2571F"/>
    <w:rsid w:val="1FD75D28"/>
    <w:rsid w:val="20096994"/>
    <w:rsid w:val="200F54C2"/>
    <w:rsid w:val="205A54F3"/>
    <w:rsid w:val="205E3D53"/>
    <w:rsid w:val="20B31DCB"/>
    <w:rsid w:val="20E22BD6"/>
    <w:rsid w:val="20F712B2"/>
    <w:rsid w:val="21093804"/>
    <w:rsid w:val="21197F58"/>
    <w:rsid w:val="21313216"/>
    <w:rsid w:val="214C62A1"/>
    <w:rsid w:val="214E3DC8"/>
    <w:rsid w:val="215F41EA"/>
    <w:rsid w:val="216D5F5C"/>
    <w:rsid w:val="216E62F3"/>
    <w:rsid w:val="216F6185"/>
    <w:rsid w:val="21916B6D"/>
    <w:rsid w:val="21A64B78"/>
    <w:rsid w:val="21B13D1D"/>
    <w:rsid w:val="21CA55C5"/>
    <w:rsid w:val="21CD180E"/>
    <w:rsid w:val="21F62EFA"/>
    <w:rsid w:val="21F84492"/>
    <w:rsid w:val="2204269B"/>
    <w:rsid w:val="22387007"/>
    <w:rsid w:val="22606ABC"/>
    <w:rsid w:val="22650C06"/>
    <w:rsid w:val="226A2E83"/>
    <w:rsid w:val="22A50FCB"/>
    <w:rsid w:val="22AB2AC4"/>
    <w:rsid w:val="22C24A6D"/>
    <w:rsid w:val="22D115D3"/>
    <w:rsid w:val="22D64075"/>
    <w:rsid w:val="22D87DED"/>
    <w:rsid w:val="22FF7597"/>
    <w:rsid w:val="23074147"/>
    <w:rsid w:val="231625B2"/>
    <w:rsid w:val="231F5A1C"/>
    <w:rsid w:val="236817F3"/>
    <w:rsid w:val="23790748"/>
    <w:rsid w:val="237A23D8"/>
    <w:rsid w:val="23871813"/>
    <w:rsid w:val="23A423C5"/>
    <w:rsid w:val="240B137D"/>
    <w:rsid w:val="24352F85"/>
    <w:rsid w:val="244A3359"/>
    <w:rsid w:val="24594F5D"/>
    <w:rsid w:val="249D12EE"/>
    <w:rsid w:val="24BD373E"/>
    <w:rsid w:val="24CB32D9"/>
    <w:rsid w:val="24ED5A27"/>
    <w:rsid w:val="25031E0F"/>
    <w:rsid w:val="251470D6"/>
    <w:rsid w:val="251F7F55"/>
    <w:rsid w:val="25401C79"/>
    <w:rsid w:val="2540519B"/>
    <w:rsid w:val="25423B05"/>
    <w:rsid w:val="254E4396"/>
    <w:rsid w:val="256A7B23"/>
    <w:rsid w:val="25A11538"/>
    <w:rsid w:val="25A66682"/>
    <w:rsid w:val="25C71449"/>
    <w:rsid w:val="25F215F0"/>
    <w:rsid w:val="25F969F8"/>
    <w:rsid w:val="263E08AF"/>
    <w:rsid w:val="26487037"/>
    <w:rsid w:val="26617EC5"/>
    <w:rsid w:val="26942D28"/>
    <w:rsid w:val="269770B2"/>
    <w:rsid w:val="26A36451"/>
    <w:rsid w:val="26AA670C"/>
    <w:rsid w:val="26E266C1"/>
    <w:rsid w:val="27157D02"/>
    <w:rsid w:val="273B2286"/>
    <w:rsid w:val="273D0B66"/>
    <w:rsid w:val="27541A0C"/>
    <w:rsid w:val="27870264"/>
    <w:rsid w:val="27DA4607"/>
    <w:rsid w:val="27E259BA"/>
    <w:rsid w:val="27F2472B"/>
    <w:rsid w:val="27FC457D"/>
    <w:rsid w:val="28084331"/>
    <w:rsid w:val="28094EEC"/>
    <w:rsid w:val="2810627B"/>
    <w:rsid w:val="282E5827"/>
    <w:rsid w:val="285E6FE6"/>
    <w:rsid w:val="2870216A"/>
    <w:rsid w:val="28702875"/>
    <w:rsid w:val="288527C5"/>
    <w:rsid w:val="28CD6169"/>
    <w:rsid w:val="28EC413F"/>
    <w:rsid w:val="28F044D8"/>
    <w:rsid w:val="29023637"/>
    <w:rsid w:val="290D0BA8"/>
    <w:rsid w:val="290E5506"/>
    <w:rsid w:val="291E415D"/>
    <w:rsid w:val="294176CD"/>
    <w:rsid w:val="295E666C"/>
    <w:rsid w:val="29606D8E"/>
    <w:rsid w:val="296F6FD1"/>
    <w:rsid w:val="298160F4"/>
    <w:rsid w:val="29824F56"/>
    <w:rsid w:val="29842A7C"/>
    <w:rsid w:val="299037CC"/>
    <w:rsid w:val="29A7027F"/>
    <w:rsid w:val="29A841FB"/>
    <w:rsid w:val="29AC1FD3"/>
    <w:rsid w:val="29C42E79"/>
    <w:rsid w:val="29E0554E"/>
    <w:rsid w:val="2A721527"/>
    <w:rsid w:val="2A747086"/>
    <w:rsid w:val="2AA42CAA"/>
    <w:rsid w:val="2ABC7FF4"/>
    <w:rsid w:val="2ADA6A24"/>
    <w:rsid w:val="2AF56E78"/>
    <w:rsid w:val="2AF6053A"/>
    <w:rsid w:val="2AFD72B9"/>
    <w:rsid w:val="2B151288"/>
    <w:rsid w:val="2B2758B4"/>
    <w:rsid w:val="2B504FAF"/>
    <w:rsid w:val="2B6C1A1A"/>
    <w:rsid w:val="2B8F6A94"/>
    <w:rsid w:val="2B966A97"/>
    <w:rsid w:val="2BA70CA4"/>
    <w:rsid w:val="2BAC2952"/>
    <w:rsid w:val="2BCB1ED1"/>
    <w:rsid w:val="2C0D620D"/>
    <w:rsid w:val="2C2B3683"/>
    <w:rsid w:val="2C520C10"/>
    <w:rsid w:val="2C9222B2"/>
    <w:rsid w:val="2CC72354"/>
    <w:rsid w:val="2CE17AF6"/>
    <w:rsid w:val="2CFC5A7E"/>
    <w:rsid w:val="2D0E3DF0"/>
    <w:rsid w:val="2D1C1751"/>
    <w:rsid w:val="2D2554EB"/>
    <w:rsid w:val="2D562DA3"/>
    <w:rsid w:val="2D6047CE"/>
    <w:rsid w:val="2D6C3F53"/>
    <w:rsid w:val="2D814792"/>
    <w:rsid w:val="2DA059AB"/>
    <w:rsid w:val="2DA61B83"/>
    <w:rsid w:val="2DBD47AF"/>
    <w:rsid w:val="2DD16068"/>
    <w:rsid w:val="2E045F3A"/>
    <w:rsid w:val="2E2739D8"/>
    <w:rsid w:val="2E275983"/>
    <w:rsid w:val="2E494294"/>
    <w:rsid w:val="2E5C30C4"/>
    <w:rsid w:val="2E693FEF"/>
    <w:rsid w:val="2EB11F33"/>
    <w:rsid w:val="2EC914F5"/>
    <w:rsid w:val="2EE265FC"/>
    <w:rsid w:val="2EED037D"/>
    <w:rsid w:val="2EF45034"/>
    <w:rsid w:val="2F0D4219"/>
    <w:rsid w:val="2F0E2913"/>
    <w:rsid w:val="2F1858E6"/>
    <w:rsid w:val="2F481357"/>
    <w:rsid w:val="2F5D6B4A"/>
    <w:rsid w:val="2F6A6270"/>
    <w:rsid w:val="2F6D3FB3"/>
    <w:rsid w:val="2F7E6D4E"/>
    <w:rsid w:val="2FC25B50"/>
    <w:rsid w:val="2FCC1BD1"/>
    <w:rsid w:val="2FD54191"/>
    <w:rsid w:val="2FE204FD"/>
    <w:rsid w:val="2FF8776F"/>
    <w:rsid w:val="300645B8"/>
    <w:rsid w:val="30343CBE"/>
    <w:rsid w:val="3057388E"/>
    <w:rsid w:val="30713E31"/>
    <w:rsid w:val="309D6868"/>
    <w:rsid w:val="309F7328"/>
    <w:rsid w:val="30A209D3"/>
    <w:rsid w:val="30B408BB"/>
    <w:rsid w:val="30C01803"/>
    <w:rsid w:val="30E4106A"/>
    <w:rsid w:val="313660E1"/>
    <w:rsid w:val="313D7A41"/>
    <w:rsid w:val="31411253"/>
    <w:rsid w:val="31737A8A"/>
    <w:rsid w:val="31855A33"/>
    <w:rsid w:val="31B179DB"/>
    <w:rsid w:val="31D340AE"/>
    <w:rsid w:val="31DE7DDE"/>
    <w:rsid w:val="31EF7C74"/>
    <w:rsid w:val="32235819"/>
    <w:rsid w:val="3248078E"/>
    <w:rsid w:val="32680FEB"/>
    <w:rsid w:val="328D3EA6"/>
    <w:rsid w:val="32CF5E49"/>
    <w:rsid w:val="32DA195F"/>
    <w:rsid w:val="32F32A21"/>
    <w:rsid w:val="333472C1"/>
    <w:rsid w:val="33353386"/>
    <w:rsid w:val="3347119D"/>
    <w:rsid w:val="33775B8F"/>
    <w:rsid w:val="338F44F8"/>
    <w:rsid w:val="33A344E9"/>
    <w:rsid w:val="33AB6E58"/>
    <w:rsid w:val="33C21F16"/>
    <w:rsid w:val="33C431D8"/>
    <w:rsid w:val="340F388A"/>
    <w:rsid w:val="34190265"/>
    <w:rsid w:val="342E13FC"/>
    <w:rsid w:val="34386E63"/>
    <w:rsid w:val="343878D7"/>
    <w:rsid w:val="34485DCE"/>
    <w:rsid w:val="346D3A4C"/>
    <w:rsid w:val="346F11A1"/>
    <w:rsid w:val="34726A66"/>
    <w:rsid w:val="347859D4"/>
    <w:rsid w:val="347F7F77"/>
    <w:rsid w:val="34EF0832"/>
    <w:rsid w:val="34F211E2"/>
    <w:rsid w:val="356E638F"/>
    <w:rsid w:val="35977D2B"/>
    <w:rsid w:val="35AE4585"/>
    <w:rsid w:val="35BC70FA"/>
    <w:rsid w:val="35C44201"/>
    <w:rsid w:val="35D75749"/>
    <w:rsid w:val="35DC59EE"/>
    <w:rsid w:val="36017463"/>
    <w:rsid w:val="36224B3C"/>
    <w:rsid w:val="362556D6"/>
    <w:rsid w:val="363021BC"/>
    <w:rsid w:val="36323860"/>
    <w:rsid w:val="36672EB7"/>
    <w:rsid w:val="3676199F"/>
    <w:rsid w:val="367B140F"/>
    <w:rsid w:val="367C3BD4"/>
    <w:rsid w:val="369A1D52"/>
    <w:rsid w:val="36A327A8"/>
    <w:rsid w:val="36AA11C1"/>
    <w:rsid w:val="371371EE"/>
    <w:rsid w:val="372F00FC"/>
    <w:rsid w:val="373C4996"/>
    <w:rsid w:val="3747333B"/>
    <w:rsid w:val="37545239"/>
    <w:rsid w:val="37660D8E"/>
    <w:rsid w:val="376818C6"/>
    <w:rsid w:val="3784008B"/>
    <w:rsid w:val="37935872"/>
    <w:rsid w:val="37AE5168"/>
    <w:rsid w:val="37AF1DE5"/>
    <w:rsid w:val="37CB1876"/>
    <w:rsid w:val="37D746BF"/>
    <w:rsid w:val="37EA44E4"/>
    <w:rsid w:val="37F52D97"/>
    <w:rsid w:val="38044B88"/>
    <w:rsid w:val="38066D52"/>
    <w:rsid w:val="380D00E1"/>
    <w:rsid w:val="380D6333"/>
    <w:rsid w:val="382B67B9"/>
    <w:rsid w:val="38303DCF"/>
    <w:rsid w:val="38504E49"/>
    <w:rsid w:val="386817BB"/>
    <w:rsid w:val="389D7EB4"/>
    <w:rsid w:val="38A30224"/>
    <w:rsid w:val="38A35381"/>
    <w:rsid w:val="38B5247B"/>
    <w:rsid w:val="38C84008"/>
    <w:rsid w:val="38EE2D91"/>
    <w:rsid w:val="390126DC"/>
    <w:rsid w:val="39123F32"/>
    <w:rsid w:val="391D3D3D"/>
    <w:rsid w:val="39230C42"/>
    <w:rsid w:val="39765FB5"/>
    <w:rsid w:val="39771D61"/>
    <w:rsid w:val="39AF32B8"/>
    <w:rsid w:val="39B90520"/>
    <w:rsid w:val="3A1D0C5F"/>
    <w:rsid w:val="3A3E52ED"/>
    <w:rsid w:val="3A416AF3"/>
    <w:rsid w:val="3A8C68EF"/>
    <w:rsid w:val="3A8C79E3"/>
    <w:rsid w:val="3A8D1EDA"/>
    <w:rsid w:val="3AA1056B"/>
    <w:rsid w:val="3AAE74D5"/>
    <w:rsid w:val="3AC871CA"/>
    <w:rsid w:val="3B0A04B5"/>
    <w:rsid w:val="3B1309D9"/>
    <w:rsid w:val="3B194FEF"/>
    <w:rsid w:val="3B1C043E"/>
    <w:rsid w:val="3B1E7476"/>
    <w:rsid w:val="3B5D5507"/>
    <w:rsid w:val="3B5F05D5"/>
    <w:rsid w:val="3B677B08"/>
    <w:rsid w:val="3B7207E0"/>
    <w:rsid w:val="3B80764B"/>
    <w:rsid w:val="3BB373DD"/>
    <w:rsid w:val="3BB70A8F"/>
    <w:rsid w:val="3BC60CD2"/>
    <w:rsid w:val="3BEF188D"/>
    <w:rsid w:val="3BFE6763"/>
    <w:rsid w:val="3C033CD5"/>
    <w:rsid w:val="3C0B3BAB"/>
    <w:rsid w:val="3C14431E"/>
    <w:rsid w:val="3C216984"/>
    <w:rsid w:val="3C371BD0"/>
    <w:rsid w:val="3C3B7C3D"/>
    <w:rsid w:val="3C3F0960"/>
    <w:rsid w:val="3C7F0083"/>
    <w:rsid w:val="3CA93B6F"/>
    <w:rsid w:val="3CD218F9"/>
    <w:rsid w:val="3CDB1427"/>
    <w:rsid w:val="3CF17FD1"/>
    <w:rsid w:val="3D0C4E0B"/>
    <w:rsid w:val="3D177D49"/>
    <w:rsid w:val="3D29776B"/>
    <w:rsid w:val="3D4C5C7C"/>
    <w:rsid w:val="3D5B7D81"/>
    <w:rsid w:val="3D931088"/>
    <w:rsid w:val="3D983929"/>
    <w:rsid w:val="3DC634B9"/>
    <w:rsid w:val="3DC6453E"/>
    <w:rsid w:val="3DF37D79"/>
    <w:rsid w:val="3E025954"/>
    <w:rsid w:val="3E074FEE"/>
    <w:rsid w:val="3E0B50C2"/>
    <w:rsid w:val="3E1661F6"/>
    <w:rsid w:val="3E2855B5"/>
    <w:rsid w:val="3E300685"/>
    <w:rsid w:val="3E311C5D"/>
    <w:rsid w:val="3E576D69"/>
    <w:rsid w:val="3E670DCC"/>
    <w:rsid w:val="3E6A003B"/>
    <w:rsid w:val="3E8F57BC"/>
    <w:rsid w:val="3EC07CB0"/>
    <w:rsid w:val="3ED34E21"/>
    <w:rsid w:val="3ED92ACB"/>
    <w:rsid w:val="3EE65033"/>
    <w:rsid w:val="3F27385C"/>
    <w:rsid w:val="3F2D1069"/>
    <w:rsid w:val="3F2D72BA"/>
    <w:rsid w:val="3F305F4A"/>
    <w:rsid w:val="3F43263A"/>
    <w:rsid w:val="3F5E56C6"/>
    <w:rsid w:val="3F6A5E19"/>
    <w:rsid w:val="3F6E2715"/>
    <w:rsid w:val="3F704656"/>
    <w:rsid w:val="3F995A6D"/>
    <w:rsid w:val="3F9F6646"/>
    <w:rsid w:val="3FA550A3"/>
    <w:rsid w:val="3FBF0F67"/>
    <w:rsid w:val="3FC95E0D"/>
    <w:rsid w:val="3FF5495A"/>
    <w:rsid w:val="3FFF4F0A"/>
    <w:rsid w:val="40091F67"/>
    <w:rsid w:val="401A783F"/>
    <w:rsid w:val="401D3D65"/>
    <w:rsid w:val="401F1903"/>
    <w:rsid w:val="402F7339"/>
    <w:rsid w:val="40356427"/>
    <w:rsid w:val="403C26D2"/>
    <w:rsid w:val="403E0ADE"/>
    <w:rsid w:val="4041301D"/>
    <w:rsid w:val="40421178"/>
    <w:rsid w:val="40761B16"/>
    <w:rsid w:val="40B97058"/>
    <w:rsid w:val="40C477AB"/>
    <w:rsid w:val="40CE4185"/>
    <w:rsid w:val="40E73CA3"/>
    <w:rsid w:val="40F74DC4"/>
    <w:rsid w:val="41126768"/>
    <w:rsid w:val="411E335F"/>
    <w:rsid w:val="414A7205"/>
    <w:rsid w:val="416D0A93"/>
    <w:rsid w:val="416F34E5"/>
    <w:rsid w:val="418331C2"/>
    <w:rsid w:val="41B808CB"/>
    <w:rsid w:val="41C35FA3"/>
    <w:rsid w:val="41D177C9"/>
    <w:rsid w:val="41F8595E"/>
    <w:rsid w:val="41FC51CB"/>
    <w:rsid w:val="42000DBB"/>
    <w:rsid w:val="420B40EC"/>
    <w:rsid w:val="420C31B7"/>
    <w:rsid w:val="42220C18"/>
    <w:rsid w:val="424937EF"/>
    <w:rsid w:val="424E557E"/>
    <w:rsid w:val="426233F1"/>
    <w:rsid w:val="42710B79"/>
    <w:rsid w:val="42AD2876"/>
    <w:rsid w:val="42B91FE8"/>
    <w:rsid w:val="42C10446"/>
    <w:rsid w:val="42D41D58"/>
    <w:rsid w:val="430624C6"/>
    <w:rsid w:val="430828BF"/>
    <w:rsid w:val="432307B8"/>
    <w:rsid w:val="43517635"/>
    <w:rsid w:val="43682CA2"/>
    <w:rsid w:val="436A512C"/>
    <w:rsid w:val="43713C1A"/>
    <w:rsid w:val="43922AAA"/>
    <w:rsid w:val="43982C41"/>
    <w:rsid w:val="43AE69E2"/>
    <w:rsid w:val="43C024AB"/>
    <w:rsid w:val="43C04259"/>
    <w:rsid w:val="43D93E6B"/>
    <w:rsid w:val="43E87B28"/>
    <w:rsid w:val="43F57082"/>
    <w:rsid w:val="43F71712"/>
    <w:rsid w:val="44004F9E"/>
    <w:rsid w:val="442567B2"/>
    <w:rsid w:val="44385D88"/>
    <w:rsid w:val="444906F3"/>
    <w:rsid w:val="44522D00"/>
    <w:rsid w:val="44752007"/>
    <w:rsid w:val="44782D86"/>
    <w:rsid w:val="44937BC0"/>
    <w:rsid w:val="44AA27B9"/>
    <w:rsid w:val="44AB6657"/>
    <w:rsid w:val="45301DEA"/>
    <w:rsid w:val="453C55F1"/>
    <w:rsid w:val="455E71E3"/>
    <w:rsid w:val="455F58A4"/>
    <w:rsid w:val="45723C79"/>
    <w:rsid w:val="458F08D8"/>
    <w:rsid w:val="45922074"/>
    <w:rsid w:val="45C67B21"/>
    <w:rsid w:val="45C71D87"/>
    <w:rsid w:val="45F3537D"/>
    <w:rsid w:val="46000BFC"/>
    <w:rsid w:val="460627C9"/>
    <w:rsid w:val="46072E5D"/>
    <w:rsid w:val="46112EC7"/>
    <w:rsid w:val="4640104E"/>
    <w:rsid w:val="464A3A20"/>
    <w:rsid w:val="464B62C7"/>
    <w:rsid w:val="465A0995"/>
    <w:rsid w:val="46607F75"/>
    <w:rsid w:val="46651261"/>
    <w:rsid w:val="46713CC7"/>
    <w:rsid w:val="46736743"/>
    <w:rsid w:val="46802FC8"/>
    <w:rsid w:val="46893028"/>
    <w:rsid w:val="46A25880"/>
    <w:rsid w:val="46A55988"/>
    <w:rsid w:val="46B26934"/>
    <w:rsid w:val="46B9142D"/>
    <w:rsid w:val="46C230BD"/>
    <w:rsid w:val="46D947B7"/>
    <w:rsid w:val="46FC7C9E"/>
    <w:rsid w:val="47037533"/>
    <w:rsid w:val="47197C97"/>
    <w:rsid w:val="47331620"/>
    <w:rsid w:val="47795A1B"/>
    <w:rsid w:val="477B5067"/>
    <w:rsid w:val="47904D47"/>
    <w:rsid w:val="47A85928"/>
    <w:rsid w:val="47AA2920"/>
    <w:rsid w:val="47BB6E7E"/>
    <w:rsid w:val="47D25D21"/>
    <w:rsid w:val="47EA265E"/>
    <w:rsid w:val="47F939D0"/>
    <w:rsid w:val="47FA3E9F"/>
    <w:rsid w:val="48040219"/>
    <w:rsid w:val="48743864"/>
    <w:rsid w:val="487B2E45"/>
    <w:rsid w:val="487E3345"/>
    <w:rsid w:val="487F2935"/>
    <w:rsid w:val="48953C10"/>
    <w:rsid w:val="489D3246"/>
    <w:rsid w:val="48A24101"/>
    <w:rsid w:val="48AC49B9"/>
    <w:rsid w:val="48BB1493"/>
    <w:rsid w:val="48EE4471"/>
    <w:rsid w:val="48FC638A"/>
    <w:rsid w:val="49007C8C"/>
    <w:rsid w:val="49276F2E"/>
    <w:rsid w:val="49495117"/>
    <w:rsid w:val="49630D4C"/>
    <w:rsid w:val="4977752B"/>
    <w:rsid w:val="49843F7B"/>
    <w:rsid w:val="498F28D1"/>
    <w:rsid w:val="49B81958"/>
    <w:rsid w:val="49C54097"/>
    <w:rsid w:val="49C6271E"/>
    <w:rsid w:val="49DF3538"/>
    <w:rsid w:val="49E46913"/>
    <w:rsid w:val="4A282C13"/>
    <w:rsid w:val="4A527BD5"/>
    <w:rsid w:val="4A673701"/>
    <w:rsid w:val="4A6C513B"/>
    <w:rsid w:val="4A731BB3"/>
    <w:rsid w:val="4A8055D9"/>
    <w:rsid w:val="4A8415F7"/>
    <w:rsid w:val="4A874006"/>
    <w:rsid w:val="4AAA5C63"/>
    <w:rsid w:val="4ABA6354"/>
    <w:rsid w:val="4AC62A9D"/>
    <w:rsid w:val="4ADA779D"/>
    <w:rsid w:val="4AED1AA7"/>
    <w:rsid w:val="4AEE791F"/>
    <w:rsid w:val="4B097E5F"/>
    <w:rsid w:val="4B171404"/>
    <w:rsid w:val="4B1B1D62"/>
    <w:rsid w:val="4B39244D"/>
    <w:rsid w:val="4B4057E7"/>
    <w:rsid w:val="4B490FD8"/>
    <w:rsid w:val="4B49685A"/>
    <w:rsid w:val="4B645E12"/>
    <w:rsid w:val="4B8F7597"/>
    <w:rsid w:val="4BB530E0"/>
    <w:rsid w:val="4BC16D1C"/>
    <w:rsid w:val="4BCA17A7"/>
    <w:rsid w:val="4BCB71EC"/>
    <w:rsid w:val="4BD44D46"/>
    <w:rsid w:val="4BE24E3A"/>
    <w:rsid w:val="4BE34F89"/>
    <w:rsid w:val="4C12586E"/>
    <w:rsid w:val="4C1D08F9"/>
    <w:rsid w:val="4C40574E"/>
    <w:rsid w:val="4C5A28C7"/>
    <w:rsid w:val="4C7E0836"/>
    <w:rsid w:val="4CCC524F"/>
    <w:rsid w:val="4D1667BB"/>
    <w:rsid w:val="4D3771C8"/>
    <w:rsid w:val="4D4E6B20"/>
    <w:rsid w:val="4D573446"/>
    <w:rsid w:val="4D6E0FB7"/>
    <w:rsid w:val="4D6E75E8"/>
    <w:rsid w:val="4D785DBE"/>
    <w:rsid w:val="4D9B7AE1"/>
    <w:rsid w:val="4DBB14AE"/>
    <w:rsid w:val="4DE22473"/>
    <w:rsid w:val="4E1C0C26"/>
    <w:rsid w:val="4E261AA5"/>
    <w:rsid w:val="4E4103BB"/>
    <w:rsid w:val="4E485577"/>
    <w:rsid w:val="4E6C2DA7"/>
    <w:rsid w:val="4EAC54CF"/>
    <w:rsid w:val="4EB32A80"/>
    <w:rsid w:val="4EC04A31"/>
    <w:rsid w:val="4EC1060E"/>
    <w:rsid w:val="4EC56875"/>
    <w:rsid w:val="4EE71234"/>
    <w:rsid w:val="4EFB456B"/>
    <w:rsid w:val="4F107051"/>
    <w:rsid w:val="4F471CD3"/>
    <w:rsid w:val="4F512B51"/>
    <w:rsid w:val="4F513D5F"/>
    <w:rsid w:val="4F7312EE"/>
    <w:rsid w:val="4FB43CBE"/>
    <w:rsid w:val="4FB635B4"/>
    <w:rsid w:val="4FD55530"/>
    <w:rsid w:val="4FD557E9"/>
    <w:rsid w:val="4FE0147F"/>
    <w:rsid w:val="4FE21294"/>
    <w:rsid w:val="4FEB492A"/>
    <w:rsid w:val="50550202"/>
    <w:rsid w:val="505E1082"/>
    <w:rsid w:val="508441D0"/>
    <w:rsid w:val="50A30258"/>
    <w:rsid w:val="50C06D1F"/>
    <w:rsid w:val="50E7551B"/>
    <w:rsid w:val="50ED1AAB"/>
    <w:rsid w:val="50FA2858"/>
    <w:rsid w:val="50FC56A3"/>
    <w:rsid w:val="50FE0AB7"/>
    <w:rsid w:val="51095EB7"/>
    <w:rsid w:val="51173C66"/>
    <w:rsid w:val="511E46D5"/>
    <w:rsid w:val="51513818"/>
    <w:rsid w:val="515E0CCC"/>
    <w:rsid w:val="517E1B7C"/>
    <w:rsid w:val="518B234A"/>
    <w:rsid w:val="51927C6D"/>
    <w:rsid w:val="51997656"/>
    <w:rsid w:val="51CD695E"/>
    <w:rsid w:val="51D12E85"/>
    <w:rsid w:val="51EF7715"/>
    <w:rsid w:val="52006FED"/>
    <w:rsid w:val="52007258"/>
    <w:rsid w:val="52496CF3"/>
    <w:rsid w:val="52696687"/>
    <w:rsid w:val="52750578"/>
    <w:rsid w:val="52992845"/>
    <w:rsid w:val="52A74AA4"/>
    <w:rsid w:val="52BC6CBD"/>
    <w:rsid w:val="52BF7DD2"/>
    <w:rsid w:val="52E266E0"/>
    <w:rsid w:val="52E67553"/>
    <w:rsid w:val="52FB52AE"/>
    <w:rsid w:val="530A2FBB"/>
    <w:rsid w:val="531E1F24"/>
    <w:rsid w:val="533D335A"/>
    <w:rsid w:val="53444042"/>
    <w:rsid w:val="53601D0A"/>
    <w:rsid w:val="536E773E"/>
    <w:rsid w:val="538452A3"/>
    <w:rsid w:val="53A65241"/>
    <w:rsid w:val="53C102A5"/>
    <w:rsid w:val="53E201C4"/>
    <w:rsid w:val="53EC783E"/>
    <w:rsid w:val="540A7D6B"/>
    <w:rsid w:val="541C5D33"/>
    <w:rsid w:val="541E0068"/>
    <w:rsid w:val="542354A4"/>
    <w:rsid w:val="544401CA"/>
    <w:rsid w:val="546A089D"/>
    <w:rsid w:val="546F445C"/>
    <w:rsid w:val="547F1CDB"/>
    <w:rsid w:val="548027BE"/>
    <w:rsid w:val="54A6636D"/>
    <w:rsid w:val="54AA40F7"/>
    <w:rsid w:val="54AD1E83"/>
    <w:rsid w:val="54DB4C0A"/>
    <w:rsid w:val="54EC503D"/>
    <w:rsid w:val="54F358D6"/>
    <w:rsid w:val="55067F3A"/>
    <w:rsid w:val="55164B83"/>
    <w:rsid w:val="553E06E6"/>
    <w:rsid w:val="55471D7B"/>
    <w:rsid w:val="554D5B69"/>
    <w:rsid w:val="555179AA"/>
    <w:rsid w:val="55590101"/>
    <w:rsid w:val="555B416B"/>
    <w:rsid w:val="55775948"/>
    <w:rsid w:val="55863ACB"/>
    <w:rsid w:val="559714A5"/>
    <w:rsid w:val="55AC06B4"/>
    <w:rsid w:val="55BA1450"/>
    <w:rsid w:val="55BF3C5C"/>
    <w:rsid w:val="55CE7EE0"/>
    <w:rsid w:val="55CF6D0F"/>
    <w:rsid w:val="560B34A7"/>
    <w:rsid w:val="565D3B8A"/>
    <w:rsid w:val="56B86AB4"/>
    <w:rsid w:val="56BA25AF"/>
    <w:rsid w:val="56BB18C3"/>
    <w:rsid w:val="56BF1928"/>
    <w:rsid w:val="56C14A17"/>
    <w:rsid w:val="56FD0C29"/>
    <w:rsid w:val="571A2781"/>
    <w:rsid w:val="57496B35"/>
    <w:rsid w:val="575C08FE"/>
    <w:rsid w:val="57610F7E"/>
    <w:rsid w:val="576553EC"/>
    <w:rsid w:val="57967344"/>
    <w:rsid w:val="57A852D8"/>
    <w:rsid w:val="57AF48B9"/>
    <w:rsid w:val="57B4793B"/>
    <w:rsid w:val="57CA524F"/>
    <w:rsid w:val="57E23853"/>
    <w:rsid w:val="580674DD"/>
    <w:rsid w:val="58137E7C"/>
    <w:rsid w:val="58420BAE"/>
    <w:rsid w:val="585050BF"/>
    <w:rsid w:val="585D1C9C"/>
    <w:rsid w:val="586B418D"/>
    <w:rsid w:val="5886610B"/>
    <w:rsid w:val="58A67A6A"/>
    <w:rsid w:val="58B71C77"/>
    <w:rsid w:val="58B84377"/>
    <w:rsid w:val="58D033F2"/>
    <w:rsid w:val="58E14F46"/>
    <w:rsid w:val="591577A5"/>
    <w:rsid w:val="59191775"/>
    <w:rsid w:val="592B61C1"/>
    <w:rsid w:val="5933411F"/>
    <w:rsid w:val="59483BF5"/>
    <w:rsid w:val="594D6137"/>
    <w:rsid w:val="59D4781D"/>
    <w:rsid w:val="59EB3ADD"/>
    <w:rsid w:val="59EE16C8"/>
    <w:rsid w:val="5A134EEC"/>
    <w:rsid w:val="5A355549"/>
    <w:rsid w:val="5A6A261F"/>
    <w:rsid w:val="5AD00DCE"/>
    <w:rsid w:val="5B0171D9"/>
    <w:rsid w:val="5B031993"/>
    <w:rsid w:val="5B0E4D86"/>
    <w:rsid w:val="5B231846"/>
    <w:rsid w:val="5B3160A7"/>
    <w:rsid w:val="5B4F2098"/>
    <w:rsid w:val="5B5437AD"/>
    <w:rsid w:val="5B7C2D04"/>
    <w:rsid w:val="5B881C80"/>
    <w:rsid w:val="5BA02688"/>
    <w:rsid w:val="5BBB2BB0"/>
    <w:rsid w:val="5BE80399"/>
    <w:rsid w:val="5BFB3952"/>
    <w:rsid w:val="5C0476C3"/>
    <w:rsid w:val="5C170AD7"/>
    <w:rsid w:val="5C335AB8"/>
    <w:rsid w:val="5C5477DD"/>
    <w:rsid w:val="5C6043D4"/>
    <w:rsid w:val="5C6137C8"/>
    <w:rsid w:val="5C6519EA"/>
    <w:rsid w:val="5C725F5D"/>
    <w:rsid w:val="5C8C5A76"/>
    <w:rsid w:val="5CA74854"/>
    <w:rsid w:val="5CD86660"/>
    <w:rsid w:val="5CDB1A8C"/>
    <w:rsid w:val="5CE255E1"/>
    <w:rsid w:val="5D1A0A26"/>
    <w:rsid w:val="5D1A67DC"/>
    <w:rsid w:val="5D2907BD"/>
    <w:rsid w:val="5D4401D1"/>
    <w:rsid w:val="5D4A130C"/>
    <w:rsid w:val="5D616655"/>
    <w:rsid w:val="5DB42C29"/>
    <w:rsid w:val="5DD706C5"/>
    <w:rsid w:val="5E007D69"/>
    <w:rsid w:val="5E0400DD"/>
    <w:rsid w:val="5E29424F"/>
    <w:rsid w:val="5E660680"/>
    <w:rsid w:val="5E6827D5"/>
    <w:rsid w:val="5E7F7D22"/>
    <w:rsid w:val="5EA20CD3"/>
    <w:rsid w:val="5EB6477F"/>
    <w:rsid w:val="5EC01341"/>
    <w:rsid w:val="5ED130E1"/>
    <w:rsid w:val="5ED43766"/>
    <w:rsid w:val="5EEC1F4F"/>
    <w:rsid w:val="5F0454F9"/>
    <w:rsid w:val="5F08322C"/>
    <w:rsid w:val="5F2731C6"/>
    <w:rsid w:val="5F2913F5"/>
    <w:rsid w:val="5F3A0B94"/>
    <w:rsid w:val="5F507BA7"/>
    <w:rsid w:val="5F6441DB"/>
    <w:rsid w:val="5F797126"/>
    <w:rsid w:val="5F9F13B6"/>
    <w:rsid w:val="5F9F7ED4"/>
    <w:rsid w:val="5FDF2DCC"/>
    <w:rsid w:val="5FEE7037"/>
    <w:rsid w:val="601302A4"/>
    <w:rsid w:val="601E0974"/>
    <w:rsid w:val="6020197C"/>
    <w:rsid w:val="60261490"/>
    <w:rsid w:val="603242D9"/>
    <w:rsid w:val="6037271C"/>
    <w:rsid w:val="603D06A3"/>
    <w:rsid w:val="604069F6"/>
    <w:rsid w:val="60521C2F"/>
    <w:rsid w:val="605D19BA"/>
    <w:rsid w:val="605E56FC"/>
    <w:rsid w:val="60665514"/>
    <w:rsid w:val="607423E6"/>
    <w:rsid w:val="608E3A3D"/>
    <w:rsid w:val="609845C3"/>
    <w:rsid w:val="609C7A5A"/>
    <w:rsid w:val="60B31E66"/>
    <w:rsid w:val="60C95AC1"/>
    <w:rsid w:val="60D54007"/>
    <w:rsid w:val="60D84E9F"/>
    <w:rsid w:val="610758E8"/>
    <w:rsid w:val="6107716D"/>
    <w:rsid w:val="6122434D"/>
    <w:rsid w:val="61227EAA"/>
    <w:rsid w:val="614B11AE"/>
    <w:rsid w:val="61670D74"/>
    <w:rsid w:val="61770B20"/>
    <w:rsid w:val="61860438"/>
    <w:rsid w:val="61927868"/>
    <w:rsid w:val="619C0749"/>
    <w:rsid w:val="61B83291"/>
    <w:rsid w:val="61CB5160"/>
    <w:rsid w:val="61D05B58"/>
    <w:rsid w:val="61DA3F3F"/>
    <w:rsid w:val="61FB69A8"/>
    <w:rsid w:val="620B5E11"/>
    <w:rsid w:val="62112702"/>
    <w:rsid w:val="621F1B17"/>
    <w:rsid w:val="622D046D"/>
    <w:rsid w:val="622D3289"/>
    <w:rsid w:val="62383F94"/>
    <w:rsid w:val="623E6F65"/>
    <w:rsid w:val="624125B1"/>
    <w:rsid w:val="6266219C"/>
    <w:rsid w:val="62750475"/>
    <w:rsid w:val="627546ED"/>
    <w:rsid w:val="629F008B"/>
    <w:rsid w:val="62BF521B"/>
    <w:rsid w:val="62C26F2D"/>
    <w:rsid w:val="62D77859"/>
    <w:rsid w:val="62D96C8E"/>
    <w:rsid w:val="62E04931"/>
    <w:rsid w:val="62FE04A2"/>
    <w:rsid w:val="630C7063"/>
    <w:rsid w:val="63185A08"/>
    <w:rsid w:val="63233B50"/>
    <w:rsid w:val="63244E4D"/>
    <w:rsid w:val="63301CF5"/>
    <w:rsid w:val="63665830"/>
    <w:rsid w:val="639C03E7"/>
    <w:rsid w:val="63A33BBD"/>
    <w:rsid w:val="63C416EC"/>
    <w:rsid w:val="63D07A65"/>
    <w:rsid w:val="641206A9"/>
    <w:rsid w:val="64122457"/>
    <w:rsid w:val="64284052"/>
    <w:rsid w:val="6429099E"/>
    <w:rsid w:val="64591E34"/>
    <w:rsid w:val="647555F7"/>
    <w:rsid w:val="647B3309"/>
    <w:rsid w:val="64815251"/>
    <w:rsid w:val="64835103"/>
    <w:rsid w:val="64947310"/>
    <w:rsid w:val="64B35BE6"/>
    <w:rsid w:val="64BC5621"/>
    <w:rsid w:val="64C00EAA"/>
    <w:rsid w:val="64C9512D"/>
    <w:rsid w:val="64EF09EB"/>
    <w:rsid w:val="651C7C13"/>
    <w:rsid w:val="6526689E"/>
    <w:rsid w:val="653D4716"/>
    <w:rsid w:val="654A79CF"/>
    <w:rsid w:val="6552427C"/>
    <w:rsid w:val="655E5AFC"/>
    <w:rsid w:val="659D0886"/>
    <w:rsid w:val="65B65064"/>
    <w:rsid w:val="65B940C9"/>
    <w:rsid w:val="65E933A8"/>
    <w:rsid w:val="65FF7564"/>
    <w:rsid w:val="66353CC9"/>
    <w:rsid w:val="663C7C5F"/>
    <w:rsid w:val="66A85805"/>
    <w:rsid w:val="66E14363"/>
    <w:rsid w:val="66E76B46"/>
    <w:rsid w:val="66FC729A"/>
    <w:rsid w:val="6703473E"/>
    <w:rsid w:val="67050051"/>
    <w:rsid w:val="671342EB"/>
    <w:rsid w:val="671B5AC7"/>
    <w:rsid w:val="672F094E"/>
    <w:rsid w:val="673842B5"/>
    <w:rsid w:val="67784CC7"/>
    <w:rsid w:val="67AD41D7"/>
    <w:rsid w:val="67D77C40"/>
    <w:rsid w:val="67D8638F"/>
    <w:rsid w:val="67FE791A"/>
    <w:rsid w:val="6803353F"/>
    <w:rsid w:val="68056E0A"/>
    <w:rsid w:val="6808604B"/>
    <w:rsid w:val="680F62A8"/>
    <w:rsid w:val="682B3AE8"/>
    <w:rsid w:val="685607DF"/>
    <w:rsid w:val="685E563F"/>
    <w:rsid w:val="689119FB"/>
    <w:rsid w:val="6898128A"/>
    <w:rsid w:val="68AF296B"/>
    <w:rsid w:val="68B60B5B"/>
    <w:rsid w:val="68C4012B"/>
    <w:rsid w:val="68D1417E"/>
    <w:rsid w:val="68F51DB6"/>
    <w:rsid w:val="69071DF0"/>
    <w:rsid w:val="690C6FAA"/>
    <w:rsid w:val="690E1FC4"/>
    <w:rsid w:val="692904C3"/>
    <w:rsid w:val="692E3A9D"/>
    <w:rsid w:val="697056F5"/>
    <w:rsid w:val="69A2602B"/>
    <w:rsid w:val="69CC5C96"/>
    <w:rsid w:val="69E33953"/>
    <w:rsid w:val="69FD14B4"/>
    <w:rsid w:val="6A2567AA"/>
    <w:rsid w:val="6A53231B"/>
    <w:rsid w:val="6A9516EC"/>
    <w:rsid w:val="6AAB7162"/>
    <w:rsid w:val="6ABF2D56"/>
    <w:rsid w:val="6AC35AEB"/>
    <w:rsid w:val="6AC62FBB"/>
    <w:rsid w:val="6B2248E0"/>
    <w:rsid w:val="6B252027"/>
    <w:rsid w:val="6B272C8C"/>
    <w:rsid w:val="6B3833C1"/>
    <w:rsid w:val="6B403D4E"/>
    <w:rsid w:val="6B547FC9"/>
    <w:rsid w:val="6B5D3D0E"/>
    <w:rsid w:val="6B7E03D2"/>
    <w:rsid w:val="6B8055ED"/>
    <w:rsid w:val="6B87372B"/>
    <w:rsid w:val="6B8D6867"/>
    <w:rsid w:val="6B9F13A3"/>
    <w:rsid w:val="6BBD0EFB"/>
    <w:rsid w:val="6BBD539F"/>
    <w:rsid w:val="6BBF6767"/>
    <w:rsid w:val="6BD519A9"/>
    <w:rsid w:val="6BDF5F10"/>
    <w:rsid w:val="6BEF307E"/>
    <w:rsid w:val="6BFE5571"/>
    <w:rsid w:val="6C0B4145"/>
    <w:rsid w:val="6C1639BE"/>
    <w:rsid w:val="6C2D3F35"/>
    <w:rsid w:val="6C313697"/>
    <w:rsid w:val="6C420E9C"/>
    <w:rsid w:val="6C481882"/>
    <w:rsid w:val="6C4C6E1C"/>
    <w:rsid w:val="6C6A3F4B"/>
    <w:rsid w:val="6CA40DC2"/>
    <w:rsid w:val="6CBF4F2D"/>
    <w:rsid w:val="6CD02EB0"/>
    <w:rsid w:val="6CD05DCC"/>
    <w:rsid w:val="6D0205BA"/>
    <w:rsid w:val="6D07446F"/>
    <w:rsid w:val="6D3671B7"/>
    <w:rsid w:val="6D723F67"/>
    <w:rsid w:val="6D845474"/>
    <w:rsid w:val="6D8519F9"/>
    <w:rsid w:val="6D940381"/>
    <w:rsid w:val="6DA700B4"/>
    <w:rsid w:val="6DBE774E"/>
    <w:rsid w:val="6DCD668A"/>
    <w:rsid w:val="6DDA2238"/>
    <w:rsid w:val="6DE61751"/>
    <w:rsid w:val="6DE85FD7"/>
    <w:rsid w:val="6DE96CB8"/>
    <w:rsid w:val="6DF167E1"/>
    <w:rsid w:val="6E0C74F9"/>
    <w:rsid w:val="6E166FE8"/>
    <w:rsid w:val="6E194361"/>
    <w:rsid w:val="6E8B52E0"/>
    <w:rsid w:val="6E930D31"/>
    <w:rsid w:val="6E9F6FDD"/>
    <w:rsid w:val="6EF5446B"/>
    <w:rsid w:val="6EF72976"/>
    <w:rsid w:val="6EF84870"/>
    <w:rsid w:val="6F323053"/>
    <w:rsid w:val="6F4A0ABB"/>
    <w:rsid w:val="6F5C4ECE"/>
    <w:rsid w:val="6F5C60D4"/>
    <w:rsid w:val="6F5FA588"/>
    <w:rsid w:val="6F627207"/>
    <w:rsid w:val="6F642C92"/>
    <w:rsid w:val="6F7D735D"/>
    <w:rsid w:val="6F8A62CB"/>
    <w:rsid w:val="6F8C3A16"/>
    <w:rsid w:val="6F9F1518"/>
    <w:rsid w:val="6FB62831"/>
    <w:rsid w:val="6FD2187C"/>
    <w:rsid w:val="6FD9651F"/>
    <w:rsid w:val="6FE078AE"/>
    <w:rsid w:val="70005BAF"/>
    <w:rsid w:val="70081862"/>
    <w:rsid w:val="700F5EFC"/>
    <w:rsid w:val="703029D2"/>
    <w:rsid w:val="706C0B9A"/>
    <w:rsid w:val="70734B34"/>
    <w:rsid w:val="707F24A7"/>
    <w:rsid w:val="70820965"/>
    <w:rsid w:val="709A3D9E"/>
    <w:rsid w:val="709C277B"/>
    <w:rsid w:val="70A46B2D"/>
    <w:rsid w:val="70AD066A"/>
    <w:rsid w:val="70C473C9"/>
    <w:rsid w:val="70CC398E"/>
    <w:rsid w:val="70D078E2"/>
    <w:rsid w:val="70D54B55"/>
    <w:rsid w:val="70E138DD"/>
    <w:rsid w:val="70E414CB"/>
    <w:rsid w:val="70F43EEB"/>
    <w:rsid w:val="71044D9D"/>
    <w:rsid w:val="71055CE7"/>
    <w:rsid w:val="71226BED"/>
    <w:rsid w:val="71324139"/>
    <w:rsid w:val="71470785"/>
    <w:rsid w:val="71588351"/>
    <w:rsid w:val="715A3DCB"/>
    <w:rsid w:val="71685132"/>
    <w:rsid w:val="71852CD8"/>
    <w:rsid w:val="71A14423"/>
    <w:rsid w:val="71CC3CC9"/>
    <w:rsid w:val="71E028A3"/>
    <w:rsid w:val="72017BB8"/>
    <w:rsid w:val="7204421B"/>
    <w:rsid w:val="72053AAD"/>
    <w:rsid w:val="720D6687"/>
    <w:rsid w:val="72181581"/>
    <w:rsid w:val="721D0945"/>
    <w:rsid w:val="722F2E4C"/>
    <w:rsid w:val="723A186E"/>
    <w:rsid w:val="72504C13"/>
    <w:rsid w:val="72530714"/>
    <w:rsid w:val="72546013"/>
    <w:rsid w:val="727F38FA"/>
    <w:rsid w:val="72873175"/>
    <w:rsid w:val="72993A93"/>
    <w:rsid w:val="72BD2D0C"/>
    <w:rsid w:val="72CD4069"/>
    <w:rsid w:val="72E256EB"/>
    <w:rsid w:val="734104C4"/>
    <w:rsid w:val="7348765D"/>
    <w:rsid w:val="735A3288"/>
    <w:rsid w:val="73642249"/>
    <w:rsid w:val="737F7858"/>
    <w:rsid w:val="73B02321"/>
    <w:rsid w:val="73B928EF"/>
    <w:rsid w:val="73D55687"/>
    <w:rsid w:val="73E65158"/>
    <w:rsid w:val="74045844"/>
    <w:rsid w:val="74104710"/>
    <w:rsid w:val="741144D9"/>
    <w:rsid w:val="742749F8"/>
    <w:rsid w:val="74471CA9"/>
    <w:rsid w:val="74783628"/>
    <w:rsid w:val="74980256"/>
    <w:rsid w:val="7498649D"/>
    <w:rsid w:val="74A2511E"/>
    <w:rsid w:val="74A76BEC"/>
    <w:rsid w:val="74B75AAD"/>
    <w:rsid w:val="751F4274"/>
    <w:rsid w:val="75295853"/>
    <w:rsid w:val="754507D9"/>
    <w:rsid w:val="75472AE0"/>
    <w:rsid w:val="75497CA3"/>
    <w:rsid w:val="757165DA"/>
    <w:rsid w:val="75971831"/>
    <w:rsid w:val="75CA5D3F"/>
    <w:rsid w:val="75F66805"/>
    <w:rsid w:val="75FD6864"/>
    <w:rsid w:val="7610256F"/>
    <w:rsid w:val="76131030"/>
    <w:rsid w:val="761C62F6"/>
    <w:rsid w:val="76220B9F"/>
    <w:rsid w:val="76273A62"/>
    <w:rsid w:val="765C411D"/>
    <w:rsid w:val="765C6F7D"/>
    <w:rsid w:val="765E777E"/>
    <w:rsid w:val="76654940"/>
    <w:rsid w:val="766559B4"/>
    <w:rsid w:val="766E5645"/>
    <w:rsid w:val="7673220A"/>
    <w:rsid w:val="768D2A32"/>
    <w:rsid w:val="76AD08F4"/>
    <w:rsid w:val="76AE52F4"/>
    <w:rsid w:val="76B57FF3"/>
    <w:rsid w:val="76BF646F"/>
    <w:rsid w:val="76DC3792"/>
    <w:rsid w:val="76F61CB7"/>
    <w:rsid w:val="77056E1C"/>
    <w:rsid w:val="77094A2E"/>
    <w:rsid w:val="770B7945"/>
    <w:rsid w:val="770C1A51"/>
    <w:rsid w:val="771760BD"/>
    <w:rsid w:val="771A16D7"/>
    <w:rsid w:val="77583A51"/>
    <w:rsid w:val="7761610D"/>
    <w:rsid w:val="776B58C1"/>
    <w:rsid w:val="77923D49"/>
    <w:rsid w:val="77A94A1A"/>
    <w:rsid w:val="77AA0845"/>
    <w:rsid w:val="77B9CC00"/>
    <w:rsid w:val="77D73344"/>
    <w:rsid w:val="77D97C19"/>
    <w:rsid w:val="78077A4A"/>
    <w:rsid w:val="78241E25"/>
    <w:rsid w:val="782852F1"/>
    <w:rsid w:val="782E7E31"/>
    <w:rsid w:val="783562BD"/>
    <w:rsid w:val="78383184"/>
    <w:rsid w:val="78523C78"/>
    <w:rsid w:val="78795CD6"/>
    <w:rsid w:val="788122A6"/>
    <w:rsid w:val="789E20B4"/>
    <w:rsid w:val="78D453B7"/>
    <w:rsid w:val="790D5F92"/>
    <w:rsid w:val="791139D4"/>
    <w:rsid w:val="792A3948"/>
    <w:rsid w:val="79340D5C"/>
    <w:rsid w:val="794357FD"/>
    <w:rsid w:val="796432FD"/>
    <w:rsid w:val="797A5D25"/>
    <w:rsid w:val="798950D1"/>
    <w:rsid w:val="798B1458"/>
    <w:rsid w:val="799856B5"/>
    <w:rsid w:val="79D97847"/>
    <w:rsid w:val="7A0D5743"/>
    <w:rsid w:val="7A1B7966"/>
    <w:rsid w:val="7A247909"/>
    <w:rsid w:val="7A2B3E1B"/>
    <w:rsid w:val="7A490D2F"/>
    <w:rsid w:val="7A4F31E7"/>
    <w:rsid w:val="7A5710C6"/>
    <w:rsid w:val="7A5A246A"/>
    <w:rsid w:val="7A6E6AF6"/>
    <w:rsid w:val="7A6F3D08"/>
    <w:rsid w:val="7A8F7F06"/>
    <w:rsid w:val="7A921639"/>
    <w:rsid w:val="7AA01263"/>
    <w:rsid w:val="7AD31C0E"/>
    <w:rsid w:val="7AFD2B2A"/>
    <w:rsid w:val="7AFE32DE"/>
    <w:rsid w:val="7B113279"/>
    <w:rsid w:val="7B1B1CF7"/>
    <w:rsid w:val="7B2A55AA"/>
    <w:rsid w:val="7B2C5641"/>
    <w:rsid w:val="7B31273F"/>
    <w:rsid w:val="7B403552"/>
    <w:rsid w:val="7B541522"/>
    <w:rsid w:val="7B60022D"/>
    <w:rsid w:val="7B6479D0"/>
    <w:rsid w:val="7BA07EF1"/>
    <w:rsid w:val="7BDF0A19"/>
    <w:rsid w:val="7BFB3417"/>
    <w:rsid w:val="7BFC2507"/>
    <w:rsid w:val="7C1A2DA4"/>
    <w:rsid w:val="7C4B12FE"/>
    <w:rsid w:val="7C920181"/>
    <w:rsid w:val="7C9E730A"/>
    <w:rsid w:val="7CBBCA35"/>
    <w:rsid w:val="7CCC3693"/>
    <w:rsid w:val="7CD23FDE"/>
    <w:rsid w:val="7CE724C3"/>
    <w:rsid w:val="7CF16C56"/>
    <w:rsid w:val="7D0278A8"/>
    <w:rsid w:val="7D107B6E"/>
    <w:rsid w:val="7D1C27E0"/>
    <w:rsid w:val="7D2C63F7"/>
    <w:rsid w:val="7D3B041C"/>
    <w:rsid w:val="7D3F0E01"/>
    <w:rsid w:val="7D596D6C"/>
    <w:rsid w:val="7D787E00"/>
    <w:rsid w:val="7D9F1826"/>
    <w:rsid w:val="7DA56BA2"/>
    <w:rsid w:val="7DAF234C"/>
    <w:rsid w:val="7DB163E5"/>
    <w:rsid w:val="7DB62CE0"/>
    <w:rsid w:val="7DBB0DEA"/>
    <w:rsid w:val="7DCA65AC"/>
    <w:rsid w:val="7DE329CE"/>
    <w:rsid w:val="7DFB6791"/>
    <w:rsid w:val="7DFF2BFB"/>
    <w:rsid w:val="7E132BFC"/>
    <w:rsid w:val="7E3A03D7"/>
    <w:rsid w:val="7E3A13EE"/>
    <w:rsid w:val="7E453A68"/>
    <w:rsid w:val="7E5576B9"/>
    <w:rsid w:val="7E680042"/>
    <w:rsid w:val="7E77762F"/>
    <w:rsid w:val="7E9755DB"/>
    <w:rsid w:val="7EA1105B"/>
    <w:rsid w:val="7EA741D8"/>
    <w:rsid w:val="7EA83C8C"/>
    <w:rsid w:val="7EBB3930"/>
    <w:rsid w:val="7ECA59B1"/>
    <w:rsid w:val="7EE94CBB"/>
    <w:rsid w:val="7F1314F4"/>
    <w:rsid w:val="7F2826D7"/>
    <w:rsid w:val="7F2BFCB7"/>
    <w:rsid w:val="7F37016E"/>
    <w:rsid w:val="7F403EC5"/>
    <w:rsid w:val="7F686EE0"/>
    <w:rsid w:val="7F8F09A8"/>
    <w:rsid w:val="7FAD7090"/>
    <w:rsid w:val="7FF96287"/>
    <w:rsid w:val="9FBEB730"/>
    <w:rsid w:val="DAFD08E4"/>
    <w:rsid w:val="DFC7280B"/>
    <w:rsid w:val="FBBF05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30"/>
    <w:autoRedefine/>
    <w:unhideWhenUsed/>
    <w:qFormat/>
    <w:uiPriority w:val="99"/>
    <w:pPr>
      <w:tabs>
        <w:tab w:val="center" w:pos="4153"/>
        <w:tab w:val="right" w:pos="8306"/>
      </w:tabs>
      <w:snapToGrid w:val="0"/>
      <w:jc w:val="left"/>
    </w:pPr>
    <w:rPr>
      <w:sz w:val="18"/>
      <w:szCs w:val="18"/>
    </w:rPr>
  </w:style>
  <w:style w:type="paragraph" w:styleId="7">
    <w:name w:val="Normal Indent"/>
    <w:basedOn w:val="1"/>
    <w:autoRedefine/>
    <w:qFormat/>
    <w:uiPriority w:val="0"/>
    <w:pPr>
      <w:ind w:firstLine="420"/>
    </w:pPr>
    <w:rPr>
      <w:szCs w:val="20"/>
    </w:rPr>
  </w:style>
  <w:style w:type="paragraph" w:styleId="8">
    <w:name w:val="annotation text"/>
    <w:basedOn w:val="1"/>
    <w:autoRedefine/>
    <w:semiHidden/>
    <w:qFormat/>
    <w:uiPriority w:val="99"/>
    <w:pPr>
      <w:jc w:val="left"/>
    </w:pPr>
  </w:style>
  <w:style w:type="paragraph" w:styleId="9">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autoRedefine/>
    <w:qFormat/>
    <w:uiPriority w:val="0"/>
    <w:pPr>
      <w:spacing w:after="120"/>
    </w:pPr>
  </w:style>
  <w:style w:type="paragraph" w:styleId="11">
    <w:name w:val="Body Text Indent"/>
    <w:basedOn w:val="1"/>
    <w:next w:val="12"/>
    <w:autoRedefine/>
    <w:qFormat/>
    <w:uiPriority w:val="0"/>
    <w:pPr>
      <w:ind w:firstLine="830" w:firstLineChars="352"/>
    </w:pPr>
    <w:rPr>
      <w:rFonts w:ascii="仿宋_GB2312" w:eastAsia="仿宋_GB2312"/>
      <w:kern w:val="0"/>
      <w:sz w:val="32"/>
      <w:szCs w:val="20"/>
    </w:rPr>
  </w:style>
  <w:style w:type="paragraph" w:styleId="12">
    <w:name w:val="envelope return"/>
    <w:basedOn w:val="1"/>
    <w:autoRedefine/>
    <w:qFormat/>
    <w:uiPriority w:val="0"/>
    <w:pPr>
      <w:snapToGrid w:val="0"/>
    </w:pPr>
    <w:rPr>
      <w:rFonts w:ascii="Arial" w:hAnsi="Arial"/>
    </w:rPr>
  </w:style>
  <w:style w:type="paragraph" w:styleId="13">
    <w:name w:val="Block Text"/>
    <w:basedOn w:val="1"/>
    <w:autoRedefine/>
    <w:qFormat/>
    <w:uiPriority w:val="0"/>
    <w:pPr>
      <w:ind w:left="1440" w:leftChars="700" w:right="700" w:rightChars="700"/>
    </w:pPr>
  </w:style>
  <w:style w:type="paragraph" w:styleId="14">
    <w:name w:val="Plain Text"/>
    <w:basedOn w:val="1"/>
    <w:next w:val="1"/>
    <w:autoRedefine/>
    <w:qFormat/>
    <w:uiPriority w:val="0"/>
    <w:rPr>
      <w:rFonts w:ascii="宋体" w:eastAsia="宋体" w:cs="Courier New"/>
      <w:szCs w:val="21"/>
    </w:rPr>
  </w:style>
  <w:style w:type="paragraph" w:styleId="15">
    <w:name w:val="header"/>
    <w:basedOn w:val="1"/>
    <w:next w:val="13"/>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autoRedefine/>
    <w:qFormat/>
    <w:uiPriority w:val="0"/>
    <w:pPr>
      <w:ind w:firstLine="720"/>
    </w:pPr>
    <w:rPr>
      <w:sz w:val="28"/>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20">
    <w:name w:val="Body Text First Indent"/>
    <w:basedOn w:val="10"/>
    <w:next w:val="1"/>
    <w:autoRedefine/>
    <w:qFormat/>
    <w:uiPriority w:val="0"/>
    <w:pPr>
      <w:ind w:firstLine="420" w:firstLineChars="100"/>
    </w:pPr>
    <w:rPr>
      <w:rFonts w:ascii="宋体" w:hAnsi="Courier New"/>
      <w:kern w:val="0"/>
      <w:sz w:val="20"/>
      <w:szCs w:val="21"/>
    </w:rPr>
  </w:style>
  <w:style w:type="table" w:styleId="22">
    <w:name w:val="Table Grid"/>
    <w:basedOn w:val="21"/>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FollowedHyperlink"/>
    <w:basedOn w:val="23"/>
    <w:autoRedefine/>
    <w:unhideWhenUsed/>
    <w:qFormat/>
    <w:uiPriority w:val="99"/>
    <w:rPr>
      <w:color w:val="800080"/>
      <w:u w:val="single"/>
    </w:rPr>
  </w:style>
  <w:style w:type="character" w:styleId="26">
    <w:name w:val="Hyperlink"/>
    <w:basedOn w:val="23"/>
    <w:autoRedefine/>
    <w:unhideWhenUsed/>
    <w:qFormat/>
    <w:uiPriority w:val="99"/>
    <w:rPr>
      <w:color w:val="0000FF"/>
      <w:u w:val="single"/>
    </w:rPr>
  </w:style>
  <w:style w:type="paragraph" w:customStyle="1" w:styleId="27">
    <w:name w:val="表格文字"/>
    <w:basedOn w:val="11"/>
    <w:autoRedefine/>
    <w:unhideWhenUsed/>
    <w:qFormat/>
    <w:uiPriority w:val="0"/>
    <w:pPr>
      <w:spacing w:before="25" w:beforeLines="0" w:after="25" w:afterLines="0"/>
      <w:jc w:val="left"/>
    </w:pPr>
    <w:rPr>
      <w:rFonts w:hint="default"/>
      <w:spacing w:val="10"/>
      <w:kern w:val="0"/>
      <w:sz w:val="24"/>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autoRedefine/>
    <w:qFormat/>
    <w:uiPriority w:val="99"/>
    <w:rPr>
      <w:sz w:val="18"/>
      <w:szCs w:val="18"/>
    </w:rPr>
  </w:style>
  <w:style w:type="character" w:customStyle="1" w:styleId="30">
    <w:name w:val="页脚 字符"/>
    <w:basedOn w:val="23"/>
    <w:link w:val="2"/>
    <w:autoRedefine/>
    <w:qFormat/>
    <w:uiPriority w:val="99"/>
    <w:rPr>
      <w:sz w:val="18"/>
      <w:szCs w:val="18"/>
    </w:rPr>
  </w:style>
  <w:style w:type="paragraph" w:customStyle="1" w:styleId="31">
    <w:name w:val="List Paragraph"/>
    <w:basedOn w:val="1"/>
    <w:autoRedefine/>
    <w:qFormat/>
    <w:uiPriority w:val="34"/>
    <w:pPr>
      <w:ind w:firstLine="420" w:firstLineChars="200"/>
    </w:pPr>
    <w:rPr>
      <w:rFonts w:ascii="Calibri" w:hAnsi="Calibri" w:eastAsia="宋体" w:cs="Times New Roman"/>
    </w:rPr>
  </w:style>
  <w:style w:type="paragraph" w:customStyle="1" w:styleId="32">
    <w:name w:val="p16"/>
    <w:autoRedefine/>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autoRedefine/>
    <w:qFormat/>
    <w:uiPriority w:val="0"/>
    <w:pPr>
      <w:widowControl/>
    </w:pPr>
    <w:rPr>
      <w:kern w:val="0"/>
      <w:szCs w:val="21"/>
    </w:rPr>
  </w:style>
  <w:style w:type="character" w:customStyle="1" w:styleId="37">
    <w:name w:val="apple-converted-space"/>
    <w:basedOn w:val="23"/>
    <w:autoRedefine/>
    <w:qFormat/>
    <w:uiPriority w:val="0"/>
  </w:style>
  <w:style w:type="paragraph" w:customStyle="1" w:styleId="38">
    <w:name w:val="默认段落字体 Para Char Char Char Char Char Char Char"/>
    <w:basedOn w:val="1"/>
    <w:autoRedefine/>
    <w:qFormat/>
    <w:uiPriority w:val="0"/>
    <w:pPr>
      <w:adjustRightInd w:val="0"/>
      <w:spacing w:line="360" w:lineRule="auto"/>
    </w:pPr>
  </w:style>
  <w:style w:type="paragraph" w:customStyle="1" w:styleId="39">
    <w:name w:val="首行缩进"/>
    <w:basedOn w:val="1"/>
    <w:autoRedefine/>
    <w:qFormat/>
    <w:uiPriority w:val="0"/>
    <w:pPr>
      <w:ind w:firstLine="480" w:firstLineChars="200"/>
    </w:pPr>
    <w:rPr>
      <w:szCs w:val="20"/>
    </w:rPr>
  </w:style>
  <w:style w:type="paragraph" w:customStyle="1" w:styleId="40">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autoRedefine/>
    <w:qFormat/>
    <w:uiPriority w:val="0"/>
    <w:pPr>
      <w:spacing w:before="50" w:beforeLines="50" w:after="0" w:afterLines="0"/>
    </w:pPr>
    <w:rPr>
      <w:rFonts w:ascii="宋体" w:hAnsi="宋体" w:eastAsia="宋体"/>
      <w:sz w:val="28"/>
      <w:szCs w:val="28"/>
    </w:rPr>
  </w:style>
  <w:style w:type="paragraph" w:customStyle="1" w:styleId="43">
    <w:name w:val="采购三"/>
    <w:basedOn w:val="42"/>
    <w:autoRedefine/>
    <w:qFormat/>
    <w:uiPriority w:val="0"/>
    <w:pPr>
      <w:spacing w:before="50" w:beforeLines="50" w:after="50" w:afterLines="50" w:line="240" w:lineRule="auto"/>
      <w:jc w:val="left"/>
    </w:pPr>
    <w:rPr>
      <w:sz w:val="24"/>
      <w:lang w:bidi="zh-CN"/>
    </w:rPr>
  </w:style>
  <w:style w:type="paragraph" w:customStyle="1" w:styleId="44">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character" w:customStyle="1" w:styleId="47">
    <w:name w:val="font41"/>
    <w:basedOn w:val="23"/>
    <w:autoRedefine/>
    <w:qFormat/>
    <w:uiPriority w:val="0"/>
    <w:rPr>
      <w:rFonts w:hint="default" w:ascii="Calibri" w:hAnsi="Calibri" w:cs="Calibri"/>
      <w:b/>
      <w:bCs/>
      <w:color w:val="000000"/>
      <w:sz w:val="22"/>
      <w:szCs w:val="22"/>
      <w:u w:val="none"/>
    </w:rPr>
  </w:style>
  <w:style w:type="character" w:customStyle="1" w:styleId="48">
    <w:name w:val="font51"/>
    <w:basedOn w:val="23"/>
    <w:autoRedefine/>
    <w:qFormat/>
    <w:uiPriority w:val="0"/>
    <w:rPr>
      <w:rFonts w:hint="eastAsia" w:ascii="宋体" w:hAnsi="宋体" w:eastAsia="宋体" w:cs="宋体"/>
      <w:b/>
      <w:bCs/>
      <w:color w:val="000000"/>
      <w:sz w:val="22"/>
      <w:szCs w:val="22"/>
      <w:u w:val="none"/>
    </w:rPr>
  </w:style>
  <w:style w:type="character" w:customStyle="1" w:styleId="49">
    <w:name w:val="font31"/>
    <w:basedOn w:val="23"/>
    <w:autoRedefine/>
    <w:qFormat/>
    <w:uiPriority w:val="0"/>
    <w:rPr>
      <w:rFonts w:hint="eastAsia" w:ascii="宋体" w:hAnsi="宋体" w:eastAsia="宋体" w:cs="宋体"/>
      <w:color w:val="000000"/>
      <w:sz w:val="22"/>
      <w:szCs w:val="22"/>
      <w:u w:val="none"/>
    </w:rPr>
  </w:style>
  <w:style w:type="character" w:customStyle="1" w:styleId="50">
    <w:name w:val="font61"/>
    <w:basedOn w:val="23"/>
    <w:autoRedefine/>
    <w:qFormat/>
    <w:uiPriority w:val="0"/>
    <w:rPr>
      <w:rFonts w:hint="default" w:ascii="Calibri" w:hAnsi="Calibri" w:cs="Calibri"/>
      <w:b/>
      <w:color w:val="000000"/>
      <w:sz w:val="22"/>
      <w:szCs w:val="22"/>
      <w:u w:val="none"/>
    </w:rPr>
  </w:style>
  <w:style w:type="character" w:customStyle="1" w:styleId="51">
    <w:name w:val="font71"/>
    <w:basedOn w:val="23"/>
    <w:autoRedefine/>
    <w:qFormat/>
    <w:uiPriority w:val="0"/>
    <w:rPr>
      <w:rFonts w:hint="eastAsia" w:ascii="宋体" w:hAnsi="宋体" w:eastAsia="宋体" w:cs="宋体"/>
      <w:b/>
      <w:color w:val="000000"/>
      <w:sz w:val="22"/>
      <w:szCs w:val="22"/>
      <w:u w:val="none"/>
    </w:rPr>
  </w:style>
  <w:style w:type="character" w:customStyle="1" w:styleId="52">
    <w:name w:val="font112"/>
    <w:basedOn w:val="23"/>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24654</Words>
  <Characters>28732</Characters>
  <Lines>54</Lines>
  <Paragraphs>15</Paragraphs>
  <TotalTime>2</TotalTime>
  <ScaleCrop>false</ScaleCrop>
  <LinksUpToDate>false</LinksUpToDate>
  <CharactersWithSpaces>31278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灵魂收割者</cp:lastModifiedBy>
  <dcterms:modified xsi:type="dcterms:W3CDTF">2024-08-20T09:40:25Z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B24F2346DF3C4CC58E818C141100B09E_13</vt:lpwstr>
  </property>
</Properties>
</file>