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75DB6">
      <w:pPr>
        <w:snapToGrid w:val="0"/>
        <w:spacing w:before="120" w:beforeLines="50" w:line="360" w:lineRule="auto"/>
        <w:jc w:val="center"/>
        <w:rPr>
          <w:rFonts w:hint="eastAsia" w:ascii="宋体" w:hAnsi="宋体" w:eastAsia="宋体" w:cs="宋体"/>
          <w:b/>
          <w:sz w:val="72"/>
          <w:szCs w:val="72"/>
          <w:lang w:val="en-US" w:eastAsia="zh-CN"/>
        </w:rPr>
      </w:pPr>
    </w:p>
    <w:p w14:paraId="4CB762DD">
      <w:pPr>
        <w:pStyle w:val="6"/>
        <w:rPr>
          <w:rFonts w:hint="eastAsia"/>
          <w:lang w:val="en-US" w:eastAsia="zh-CN"/>
        </w:rPr>
      </w:pPr>
    </w:p>
    <w:p w14:paraId="437E9193">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14:paraId="76934B00">
      <w:pPr>
        <w:rPr>
          <w:rFonts w:hint="eastAsia" w:ascii="宋体" w:hAnsi="宋体" w:eastAsia="宋体" w:cs="宋体"/>
          <w:b/>
          <w:bCs/>
          <w:sz w:val="36"/>
          <w:szCs w:val="36"/>
          <w:lang w:val="en-US" w:eastAsia="zh-CN"/>
        </w:rPr>
      </w:pPr>
    </w:p>
    <w:p w14:paraId="3EB3747F">
      <w:pPr>
        <w:pStyle w:val="6"/>
        <w:rPr>
          <w:rFonts w:hint="eastAsia" w:ascii="宋体" w:hAnsi="宋体" w:eastAsia="宋体" w:cs="宋体"/>
          <w:b/>
          <w:bCs/>
          <w:sz w:val="36"/>
          <w:szCs w:val="36"/>
          <w:lang w:val="en-US" w:eastAsia="zh-CN"/>
        </w:rPr>
      </w:pPr>
    </w:p>
    <w:p w14:paraId="607A785C">
      <w:pPr>
        <w:rPr>
          <w:rFonts w:hint="eastAsia"/>
          <w:lang w:val="en-US" w:eastAsia="zh-CN"/>
        </w:rPr>
      </w:pPr>
    </w:p>
    <w:p w14:paraId="74E13AF3">
      <w:pPr>
        <w:rPr>
          <w:rFonts w:hint="eastAsia" w:ascii="宋体" w:hAnsi="宋体" w:eastAsia="宋体" w:cs="宋体"/>
          <w:b/>
          <w:bCs/>
          <w:sz w:val="36"/>
          <w:szCs w:val="36"/>
          <w:lang w:val="en-US" w:eastAsia="zh-CN"/>
        </w:rPr>
      </w:pPr>
    </w:p>
    <w:p w14:paraId="5B6160DC">
      <w:pPr>
        <w:rPr>
          <w:rFonts w:hint="eastAsia" w:ascii="宋体" w:hAnsi="宋体" w:eastAsia="宋体" w:cs="宋体"/>
          <w:b/>
          <w:bCs/>
          <w:sz w:val="36"/>
          <w:szCs w:val="36"/>
          <w:lang w:val="en-US" w:eastAsia="zh-CN"/>
        </w:rPr>
      </w:pPr>
    </w:p>
    <w:p w14:paraId="644E16AD">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蚂蚁洋货第七届中国国际进口博览会展位设计及搭建工程</w:t>
      </w:r>
    </w:p>
    <w:p w14:paraId="1602BC98">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广西蚂蚁洋货供应链管理有限公司</w:t>
      </w:r>
    </w:p>
    <w:p w14:paraId="7357FE9C">
      <w:pPr>
        <w:rPr>
          <w:rFonts w:hint="eastAsia" w:ascii="宋体" w:hAnsi="宋体" w:eastAsia="宋体" w:cs="宋体"/>
          <w:b/>
          <w:bCs/>
          <w:sz w:val="36"/>
          <w:szCs w:val="36"/>
          <w:lang w:val="en-US" w:eastAsia="zh-CN"/>
        </w:rPr>
      </w:pPr>
    </w:p>
    <w:p w14:paraId="15952FC7">
      <w:pPr>
        <w:rPr>
          <w:rFonts w:hint="eastAsia" w:ascii="宋体" w:hAnsi="宋体" w:eastAsia="宋体" w:cs="宋体"/>
          <w:b/>
          <w:bCs/>
          <w:sz w:val="36"/>
          <w:szCs w:val="36"/>
          <w:lang w:val="en-US" w:eastAsia="zh-CN"/>
        </w:rPr>
      </w:pPr>
    </w:p>
    <w:p w14:paraId="3E963E43">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2024年10月</w:t>
      </w:r>
    </w:p>
    <w:p w14:paraId="46FFB6F4">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48FDA0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6E04F86F">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14:paraId="15B04F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蚂蚁洋货第</w:t>
      </w:r>
      <w:bookmarkStart w:id="0" w:name="OLE_LINK1"/>
      <w:r>
        <w:rPr>
          <w:rFonts w:hint="eastAsia" w:ascii="宋体" w:hAnsi="宋体" w:eastAsia="宋体" w:cs="宋体"/>
          <w:b w:val="0"/>
          <w:bCs/>
          <w:sz w:val="24"/>
          <w:szCs w:val="24"/>
          <w:u w:val="single"/>
          <w:lang w:val="en-US" w:eastAsia="zh-CN"/>
        </w:rPr>
        <w:t>七届中国国际进口博览会展位设计及搭建工程</w:t>
      </w:r>
      <w:bookmarkEnd w:id="0"/>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 xml:space="preserve"> 获取（下载）</w:t>
      </w:r>
      <w:r>
        <w:rPr>
          <w:rFonts w:hint="eastAsia" w:ascii="宋体" w:hAnsi="宋体" w:eastAsia="宋体" w:cs="宋体"/>
          <w:b w:val="0"/>
          <w:bCs/>
          <w:sz w:val="24"/>
          <w:szCs w:val="24"/>
          <w:lang w:val="en-US" w:eastAsia="zh-CN"/>
        </w:rPr>
        <w:t>招标文件，并于截止日期</w:t>
      </w:r>
      <w:r>
        <w:rPr>
          <w:rFonts w:hint="eastAsia" w:ascii="宋体" w:hAnsi="宋体" w:eastAsia="宋体" w:cs="宋体"/>
          <w:b w:val="0"/>
          <w:bCs/>
          <w:color w:val="FF0000"/>
          <w:sz w:val="24"/>
          <w:szCs w:val="24"/>
          <w:u w:val="single"/>
          <w:lang w:val="en-US" w:eastAsia="zh-CN"/>
        </w:rPr>
        <w:t>2024年10月28日9时30分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40A38E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29C7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项目名称：蚂蚁洋货第七届中国国际进口博览会展位设计及搭建工程</w:t>
      </w:r>
    </w:p>
    <w:p w14:paraId="2ECD07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采购采购方式：竞争性磋商</w:t>
      </w:r>
    </w:p>
    <w:p w14:paraId="2A86EA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定标方式：综合评分法</w:t>
      </w:r>
    </w:p>
    <w:p w14:paraId="09BFD7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yellow"/>
          <w:lang w:val="en-US" w:eastAsia="zh-CN"/>
        </w:rPr>
      </w:pPr>
      <w:r>
        <w:rPr>
          <w:rFonts w:hint="eastAsia" w:ascii="宋体" w:hAnsi="宋体" w:eastAsia="宋体" w:cs="宋体"/>
          <w:b w:val="0"/>
          <w:bCs/>
          <w:sz w:val="24"/>
          <w:szCs w:val="24"/>
          <w:highlight w:val="yellow"/>
          <w:lang w:val="en-US" w:eastAsia="zh-CN"/>
        </w:rPr>
        <w:t>预算金额：人民币叁拾陆万元整（￥：360000元）</w:t>
      </w:r>
    </w:p>
    <w:p w14:paraId="7323A5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highlight w:val="yellow"/>
          <w:lang w:val="en-US" w:eastAsia="zh-CN"/>
        </w:rPr>
        <w:t>最高限价：人民币叁拾陆万元整（￥：360000元）</w:t>
      </w:r>
    </w:p>
    <w:p w14:paraId="1A79AF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采购需求：蚂蚁洋货第七届中国国际进口博览会108㎡特装展位设计及搭建工程，如需进一步了解详细内容，详见招标文件“第二章 采购需求”。</w:t>
      </w:r>
    </w:p>
    <w:p w14:paraId="755387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w:t>
      </w:r>
      <w:r>
        <w:rPr>
          <w:rFonts w:hint="eastAsia" w:ascii="宋体" w:hAnsi="宋体" w:eastAsia="宋体" w:cs="宋体"/>
          <w:b w:val="0"/>
          <w:bCs/>
          <w:color w:val="auto"/>
          <w:sz w:val="24"/>
          <w:szCs w:val="24"/>
          <w:highlight w:val="none"/>
          <w:lang w:val="en-US" w:eastAsia="zh-CN"/>
        </w:rPr>
        <w:t>限：</w:t>
      </w:r>
      <w:r>
        <w:rPr>
          <w:rFonts w:hint="eastAsia" w:ascii="宋体" w:hAnsi="宋体" w:eastAsia="宋体" w:cs="宋体"/>
          <w:b w:val="0"/>
          <w:bCs/>
          <w:color w:val="auto"/>
          <w:sz w:val="24"/>
          <w:szCs w:val="24"/>
          <w:highlight w:val="none"/>
          <w:u w:val="single"/>
          <w:lang w:val="en-US" w:eastAsia="zh-CN"/>
        </w:rPr>
        <w:t xml:space="preserve"> 30天 </w:t>
      </w:r>
      <w:r>
        <w:rPr>
          <w:rFonts w:hint="eastAsia" w:ascii="宋体" w:hAnsi="宋体" w:eastAsia="宋体" w:cs="宋体"/>
          <w:b w:val="0"/>
          <w:bCs/>
          <w:color w:val="auto"/>
          <w:sz w:val="24"/>
          <w:szCs w:val="24"/>
          <w:highlight w:val="none"/>
          <w:lang w:val="en-US" w:eastAsia="zh-CN"/>
        </w:rPr>
        <w:t>。</w:t>
      </w:r>
    </w:p>
    <w:p w14:paraId="4CAA60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3D37A85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3AA7C8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1.供应商应当具备下列条件：</w:t>
      </w:r>
    </w:p>
    <w:p w14:paraId="2D79CA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（1）国内注册有效的营业执照；</w:t>
      </w:r>
    </w:p>
    <w:p w14:paraId="36824A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（2）具有独立承担民事责任的能力；</w:t>
      </w:r>
    </w:p>
    <w:p w14:paraId="722CDF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（3）具有良好的商业信誉和健全的财务会计制度；</w:t>
      </w:r>
    </w:p>
    <w:p w14:paraId="69B5E6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（4）具有履行合同所必需的设备和专业技术能力；</w:t>
      </w:r>
    </w:p>
    <w:p w14:paraId="21A34F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（5）有依法缴纳税收和社会保障资金的良好记录；</w:t>
      </w:r>
    </w:p>
    <w:p w14:paraId="263C13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（6）参加采购活动前三年内，在经营活动中没有重大违法记录；</w:t>
      </w:r>
    </w:p>
    <w:p w14:paraId="19731A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（7）法律、行政法规规定的其他条件。</w:t>
      </w:r>
    </w:p>
    <w:p w14:paraId="5037D8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2.单位负责人为同一人或者存在直接控股、管理关系的不同供应商，不得参加同一合同项下的采购活动。</w:t>
      </w:r>
    </w:p>
    <w:p w14:paraId="44B4EC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14:paraId="6EF2A10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4.本项目的特定资格要求：无</w:t>
      </w:r>
    </w:p>
    <w:p w14:paraId="5FCD40C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2C100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2024年10月14日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2024年10月21日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320419A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14:paraId="4C24B5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2024年10月21日1</w:t>
      </w:r>
      <w:r>
        <w:rPr>
          <w:rFonts w:hint="default" w:ascii="宋体" w:hAnsi="宋体" w:eastAsia="宋体" w:cs="宋体"/>
          <w:b w:val="0"/>
          <w:bCs/>
          <w:color w:val="FF0000"/>
          <w:sz w:val="24"/>
          <w:szCs w:val="24"/>
          <w:u w:val="single"/>
          <w:lang w:eastAsia="zh-CN"/>
        </w:rPr>
        <w:t>7</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32A08F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11EECDB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04F34C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2024年10月28日9时</w:t>
      </w:r>
      <w:r>
        <w:rPr>
          <w:rFonts w:hint="default" w:ascii="宋体" w:hAnsi="宋体" w:eastAsia="宋体" w:cs="宋体"/>
          <w:b w:val="0"/>
          <w:bCs/>
          <w:color w:val="FF0000"/>
          <w:sz w:val="24"/>
          <w:szCs w:val="24"/>
          <w:u w:val="single"/>
          <w:lang w:eastAsia="zh-CN"/>
        </w:rPr>
        <w:t xml:space="preserve"> </w:t>
      </w:r>
      <w:r>
        <w:rPr>
          <w:rFonts w:hint="eastAsia" w:ascii="宋体" w:hAnsi="宋体" w:eastAsia="宋体" w:cs="宋体"/>
          <w:b w:val="0"/>
          <w:bCs/>
          <w:color w:val="FF0000"/>
          <w:sz w:val="24"/>
          <w:szCs w:val="24"/>
          <w:u w:val="single"/>
          <w:lang w:val="en-US" w:eastAsia="zh-CN"/>
        </w:rPr>
        <w:t>30分</w:t>
      </w:r>
      <w:r>
        <w:rPr>
          <w:rFonts w:hint="eastAsia" w:ascii="宋体" w:hAnsi="宋体" w:eastAsia="宋体" w:cs="宋体"/>
          <w:b w:val="0"/>
          <w:bCs/>
          <w:sz w:val="24"/>
          <w:szCs w:val="24"/>
          <w:lang w:val="en-US" w:eastAsia="zh-CN"/>
        </w:rPr>
        <w:t>（北京时间）</w:t>
      </w:r>
      <w:bookmarkStart w:id="25" w:name="_GoBack"/>
      <w:bookmarkEnd w:id="25"/>
    </w:p>
    <w:p w14:paraId="69D3C9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ascii="宋体" w:hAnsi="宋体" w:eastAsia="宋体" w:cs="宋体"/>
          <w:sz w:val="24"/>
          <w:szCs w:val="24"/>
          <w:u w:val="single"/>
        </w:rPr>
        <w:t>裴炳昌07775881380</w:t>
      </w:r>
    </w:p>
    <w:p w14:paraId="65AB36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14:paraId="1F4EE8B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57FCD2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2024年10月28日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 xml:space="preserve"> 30</w:t>
      </w:r>
      <w:r>
        <w:rPr>
          <w:rFonts w:hint="eastAsia" w:ascii="宋体" w:hAnsi="宋体" w:eastAsia="宋体" w:cs="宋体"/>
          <w:b w:val="0"/>
          <w:bCs/>
          <w:color w:val="FF0000"/>
          <w:sz w:val="24"/>
          <w:szCs w:val="24"/>
          <w:u w:val="single"/>
          <w:lang w:val="en-US" w:eastAsia="zh-CN"/>
        </w:rPr>
        <w:t>分</w:t>
      </w:r>
      <w:r>
        <w:rPr>
          <w:rFonts w:hint="eastAsia" w:ascii="宋体" w:hAnsi="宋体" w:eastAsia="宋体" w:cs="宋体"/>
          <w:b w:val="0"/>
          <w:bCs/>
          <w:sz w:val="24"/>
          <w:szCs w:val="24"/>
          <w:lang w:val="en-US" w:eastAsia="zh-CN"/>
        </w:rPr>
        <w:t>（北京时间）后；</w:t>
      </w:r>
    </w:p>
    <w:p w14:paraId="302E1A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05E0324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00E75D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14:paraId="0BA9F30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14:paraId="58EB37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099162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广西蚂蚁洋货供应链管理有限公司</w:t>
      </w:r>
    </w:p>
    <w:p w14:paraId="0C33DA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p>
    <w:p w14:paraId="0391D9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联系人：</w:t>
      </w:r>
      <w:r>
        <w:rPr>
          <w:rFonts w:hint="eastAsia" w:ascii="宋体" w:hAnsi="宋体" w:eastAsia="宋体" w:cs="宋体"/>
          <w:b w:val="0"/>
          <w:bCs/>
          <w:sz w:val="24"/>
          <w:szCs w:val="24"/>
          <w:u w:val="single"/>
          <w:lang w:val="en-US" w:eastAsia="zh-CN"/>
        </w:rPr>
        <w:t>贾女士</w:t>
      </w:r>
    </w:p>
    <w:p w14:paraId="208102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highlight w:val="none"/>
          <w:u w:val="single"/>
          <w:lang w:val="en-US" w:eastAsia="zh-CN"/>
        </w:rPr>
        <w:t>15577199039</w:t>
      </w:r>
    </w:p>
    <w:p w14:paraId="79C8FD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4D3806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广西自贸区钦州港区开发投资集团有限责任公司风控审计部（集团办公室或财务部）</w:t>
      </w:r>
    </w:p>
    <w:p w14:paraId="0F131D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14:paraId="7A2EB5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联系方式：</w:t>
      </w:r>
    </w:p>
    <w:p w14:paraId="7A9A40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风控审计部</w:t>
      </w:r>
      <w:r>
        <w:rPr>
          <w:rFonts w:hint="eastAsia" w:ascii="宋体" w:hAnsi="宋体" w:eastAsia="宋体" w:cs="宋体"/>
          <w:b w:val="0"/>
          <w:bCs/>
          <w:sz w:val="24"/>
          <w:szCs w:val="24"/>
          <w:u w:val="single"/>
          <w:lang w:val="en-US" w:eastAsia="zh-CN"/>
        </w:rPr>
        <w:t>07775881380</w:t>
      </w:r>
    </w:p>
    <w:p w14:paraId="21E2BD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集团办公室</w:t>
      </w:r>
      <w:r>
        <w:rPr>
          <w:rFonts w:hint="eastAsia" w:ascii="宋体" w:hAnsi="宋体" w:eastAsia="宋体" w:cs="宋体"/>
          <w:b w:val="0"/>
          <w:bCs/>
          <w:sz w:val="24"/>
          <w:szCs w:val="24"/>
          <w:u w:val="single"/>
          <w:lang w:val="en-US" w:eastAsia="zh-CN"/>
        </w:rPr>
        <w:t>07775881239</w:t>
      </w:r>
    </w:p>
    <w:p w14:paraId="295899B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财务部</w:t>
      </w:r>
      <w:r>
        <w:rPr>
          <w:rFonts w:hint="eastAsia" w:ascii="宋体" w:hAnsi="宋体" w:eastAsia="宋体" w:cs="宋体"/>
          <w:b w:val="0"/>
          <w:bCs/>
          <w:sz w:val="24"/>
          <w:szCs w:val="24"/>
          <w:u w:val="single"/>
          <w:lang w:val="en-US" w:eastAsia="zh-CN"/>
        </w:rPr>
        <w:t>07775881235</w:t>
      </w:r>
    </w:p>
    <w:p w14:paraId="4756651C">
      <w:pPr>
        <w:pStyle w:val="2"/>
        <w:rPr>
          <w:rFonts w:hint="default"/>
          <w:lang w:val="en-US" w:eastAsia="zh-CN"/>
        </w:rPr>
      </w:pPr>
    </w:p>
    <w:p w14:paraId="7563CF94">
      <w:pPr>
        <w:pStyle w:val="2"/>
        <w:rPr>
          <w:rFonts w:hint="eastAsia"/>
          <w:lang w:val="en-US" w:eastAsia="zh-CN"/>
        </w:rPr>
      </w:pPr>
    </w:p>
    <w:p w14:paraId="5AD3C3F0">
      <w:pPr>
        <w:pStyle w:val="2"/>
        <w:rPr>
          <w:rFonts w:hint="eastAsia"/>
          <w:lang w:val="en-US" w:eastAsia="zh-CN"/>
        </w:rPr>
      </w:pPr>
    </w:p>
    <w:p w14:paraId="50863BC9">
      <w:pPr>
        <w:rPr>
          <w:rFonts w:hint="eastAsia"/>
          <w:lang w:val="en-US" w:eastAsia="zh-CN"/>
        </w:rPr>
      </w:pPr>
    </w:p>
    <w:p w14:paraId="2EEF3FC3">
      <w:pPr>
        <w:numPr>
          <w:ilvl w:val="0"/>
          <w:numId w:val="2"/>
        </w:numPr>
        <w:jc w:val="center"/>
        <w:rPr>
          <w:rFonts w:hint="eastAsia" w:ascii="宋体" w:hAnsi="宋体" w:eastAsia="宋体" w:cs="宋体"/>
          <w:b/>
          <w:bCs/>
          <w:kern w:val="2"/>
          <w:sz w:val="32"/>
          <w:szCs w:val="32"/>
          <w:shd w:val="clear"/>
          <w:lang w:val="en-US" w:eastAsia="zh-CN" w:bidi="ar-SA"/>
        </w:rPr>
      </w:pPr>
      <w:r>
        <w:rPr>
          <w:rFonts w:hint="eastAsia" w:ascii="宋体" w:hAnsi="宋体" w:eastAsia="宋体" w:cs="宋体"/>
          <w:b/>
          <w:bCs/>
          <w:kern w:val="2"/>
          <w:sz w:val="32"/>
          <w:szCs w:val="32"/>
          <w:shd w:val="clear"/>
          <w:lang w:val="en-US" w:eastAsia="zh-CN" w:bidi="ar-SA"/>
        </w:rPr>
        <w:t xml:space="preserve"> 采购需求</w:t>
      </w:r>
    </w:p>
    <w:p w14:paraId="232BA9D4">
      <w:pPr>
        <w:pStyle w:val="2"/>
        <w:numPr>
          <w:ilvl w:val="0"/>
          <w:numId w:val="0"/>
        </w:numPr>
        <w:rPr>
          <w:rFonts w:hint="eastAsia"/>
          <w:lang w:val="en-US" w:eastAsia="zh-CN"/>
        </w:rPr>
      </w:pPr>
    </w:p>
    <w:p w14:paraId="59CF2B99">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5A1CB5C4">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5C061D1">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290D449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7136"/>
      </w:tblGrid>
      <w:tr w14:paraId="5E0C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13589">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bidi="zh-CN"/>
              </w:rPr>
              <w:t>★</w:t>
            </w:r>
            <w:r>
              <w:rPr>
                <w:rFonts w:hint="eastAsia" w:ascii="宋体" w:hAnsi="宋体" w:eastAsia="宋体" w:cs="宋体"/>
                <w:b/>
                <w:bCs/>
                <w:i w:val="0"/>
                <w:iCs w:val="0"/>
                <w:color w:val="auto"/>
                <w:kern w:val="0"/>
                <w:sz w:val="24"/>
                <w:szCs w:val="24"/>
                <w:highlight w:val="none"/>
                <w:u w:val="none"/>
                <w:lang w:val="en-US" w:eastAsia="zh-CN" w:bidi="ar"/>
              </w:rPr>
              <w:t>项目及商务要求</w:t>
            </w:r>
          </w:p>
        </w:tc>
      </w:tr>
      <w:tr w14:paraId="5325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C30">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交付及撤展期</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73CE">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交付使用期：</w:t>
            </w:r>
            <w:r>
              <w:rPr>
                <w:rFonts w:hint="eastAsia" w:ascii="宋体" w:hAnsi="宋体" w:eastAsia="宋体" w:cs="宋体"/>
                <w:bCs/>
                <w:color w:val="auto"/>
                <w:sz w:val="24"/>
                <w:szCs w:val="24"/>
                <w:highlight w:val="none"/>
                <w:lang w:val="en-US" w:eastAsia="zh-CN"/>
              </w:rPr>
              <w:t>2024年11月3日前完成展位设计、展位搭建；</w:t>
            </w:r>
          </w:p>
          <w:p w14:paraId="238D3658">
            <w:pPr>
              <w:numPr>
                <w:ilvl w:val="0"/>
                <w:numId w:val="0"/>
              </w:numPr>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lang w:val="en-US" w:eastAsia="zh-CN"/>
              </w:rPr>
              <w:t>2.撤展期：2024年11月12日20：00前完成撤展</w:t>
            </w:r>
            <w:r>
              <w:rPr>
                <w:rFonts w:hint="eastAsia" w:ascii="宋体" w:hAnsi="宋体"/>
                <w:sz w:val="24"/>
                <w:szCs w:val="24"/>
              </w:rPr>
              <w:t>。</w:t>
            </w:r>
          </w:p>
        </w:tc>
      </w:tr>
      <w:tr w14:paraId="6E62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972B">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bidi="ar"/>
              </w:rPr>
              <w:t>报价要求</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B6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1.本次提供的报价需涵盖展位设计、搭建及用料、撤展等各项费用；</w:t>
            </w:r>
          </w:p>
          <w:p w14:paraId="0276C4D4">
            <w:pPr>
              <w:spacing w:line="360" w:lineRule="auto"/>
              <w:rPr>
                <w:rFonts w:hint="default"/>
                <w:sz w:val="24"/>
                <w:szCs w:val="24"/>
                <w:lang w:val="en-US" w:eastAsia="zh-CN"/>
              </w:rPr>
            </w:pPr>
            <w:r>
              <w:rPr>
                <w:rFonts w:hint="eastAsia" w:ascii="宋体" w:hAnsi="宋体" w:eastAsia="宋体" w:cs="宋体"/>
                <w:bCs/>
                <w:color w:val="auto"/>
                <w:sz w:val="24"/>
                <w:szCs w:val="24"/>
                <w:highlight w:val="none"/>
                <w:lang w:val="en-US" w:eastAsia="zh-CN"/>
              </w:rPr>
              <w:t>2.需为含税报价，提供合规等额增值税专用发票。</w:t>
            </w:r>
          </w:p>
        </w:tc>
      </w:tr>
      <w:tr w14:paraId="607F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3"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8C2">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项目执行要求</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E41E">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1.根据采购人需求、结合《第七届中国国际进口博览会参展商手册》完成本次展位设计、搭建布展、撤展工作；</w:t>
            </w:r>
          </w:p>
          <w:p w14:paraId="4AC6C4B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2.积极配合采购人的工作；</w:t>
            </w:r>
          </w:p>
          <w:p w14:paraId="436767A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3.认真贯彻执行参展手册内各项要求和规定，做到文明施工、安全、保质保量如期完成施工任务。</w:t>
            </w:r>
          </w:p>
          <w:p w14:paraId="64234D5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4.必须严格按照相关法规条文施工作业，注意环保要求：控制噪声，避免不安全因素发生。</w:t>
            </w:r>
          </w:p>
          <w:p w14:paraId="32699B42">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5.保证施工安全作业，加强对施工人员的安全教育及防范措施,确保施工中万无一失; 并负责其施工人员的安全保险</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施工过程中</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因</w:t>
            </w:r>
            <w:r>
              <w:rPr>
                <w:rFonts w:hint="eastAsia" w:ascii="宋体" w:hAnsi="宋体" w:eastAsia="宋体" w:cs="宋体"/>
                <w:bCs/>
                <w:color w:val="auto"/>
                <w:sz w:val="24"/>
                <w:szCs w:val="24"/>
                <w:highlight w:val="none"/>
                <w:lang w:val="en-US" w:eastAsia="zh-CN"/>
              </w:rPr>
              <w:t>施工方</w:t>
            </w:r>
            <w:r>
              <w:rPr>
                <w:rFonts w:hint="eastAsia" w:ascii="宋体" w:hAnsi="宋体" w:eastAsia="宋体" w:cs="宋体"/>
                <w:bCs/>
                <w:color w:val="auto"/>
                <w:sz w:val="24"/>
                <w:szCs w:val="24"/>
                <w:highlight w:val="none"/>
                <w:lang w:val="en-US" w:eastAsia="zh-Hans"/>
              </w:rPr>
              <w:t>施工产生的任何人员</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财产损害</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均由</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Hans"/>
              </w:rPr>
              <w:t>承担全部赔偿责任</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Hans"/>
              </w:rPr>
              <w:t>无关</w:t>
            </w:r>
            <w:r>
              <w:rPr>
                <w:rFonts w:hint="eastAsia" w:ascii="宋体" w:hAnsi="宋体" w:eastAsia="宋体" w:cs="宋体"/>
                <w:bCs/>
                <w:color w:val="auto"/>
                <w:sz w:val="24"/>
                <w:szCs w:val="24"/>
                <w:highlight w:val="none"/>
                <w:lang w:val="en-US" w:eastAsia="zh-CN"/>
              </w:rPr>
              <w:t>。</w:t>
            </w:r>
          </w:p>
          <w:p w14:paraId="4CA92750">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73C987A5">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2BF508AC">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51DD4D81">
      <w:pPr>
        <w:rPr>
          <w:rFonts w:hint="eastAsia"/>
          <w:lang w:val="en-US" w:eastAsia="zh-CN"/>
        </w:rPr>
      </w:pPr>
      <w:r>
        <w:rPr>
          <w:rFonts w:hint="eastAsia"/>
          <w:lang w:val="en-US" w:eastAsia="zh-CN"/>
        </w:rPr>
        <w:br w:type="page"/>
      </w:r>
    </w:p>
    <w:p w14:paraId="30FECB22">
      <w:pPr>
        <w:pStyle w:val="39"/>
        <w:rPr>
          <w:rFonts w:hint="eastAsia"/>
          <w:lang w:val="en-US" w:eastAsia="zh-CN"/>
        </w:rPr>
      </w:pPr>
      <w:r>
        <w:rPr>
          <w:rFonts w:hint="eastAsia"/>
          <w:lang w:val="en-US" w:eastAsia="zh-CN"/>
        </w:rPr>
        <w:t>第三章  供应商须知</w:t>
      </w:r>
    </w:p>
    <w:p w14:paraId="7F72360A">
      <w:pPr>
        <w:pStyle w:val="40"/>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0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87B7E47">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14:paraId="11E6FA80">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14:paraId="61023134">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1A75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6FA50FC">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14:paraId="32EAF2F4">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14:paraId="4AF8305F">
            <w:pPr>
              <w:pStyle w:val="12"/>
              <w:spacing w:line="360" w:lineRule="exact"/>
              <w:rPr>
                <w:rFonts w:hint="eastAsia"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广西蚂蚁洋货供应链管理有限公司</w:t>
            </w:r>
          </w:p>
          <w:p w14:paraId="78E62BFC">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贾女士</w:t>
            </w:r>
          </w:p>
          <w:p w14:paraId="54084C17">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15577199039</w:t>
            </w:r>
          </w:p>
        </w:tc>
      </w:tr>
      <w:tr w14:paraId="0E3B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0AB3953">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14:paraId="5FECDA9B">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14:paraId="5D3C0CBB">
            <w:pPr>
              <w:pStyle w:val="12"/>
              <w:spacing w:line="360" w:lineRule="exact"/>
              <w:rPr>
                <w:rFonts w:hint="default" w:ascii="宋体" w:hAnsi="宋体" w:eastAsia="宋体" w:cs="宋体"/>
                <w:sz w:val="21"/>
                <w:szCs w:val="21"/>
                <w:lang w:val="en-US"/>
              </w:rPr>
            </w:pPr>
            <w:r>
              <w:rPr>
                <w:rFonts w:hint="eastAsia" w:hAnsi="宋体" w:cs="宋体"/>
                <w:b w:val="0"/>
                <w:bCs/>
                <w:sz w:val="21"/>
                <w:szCs w:val="21"/>
                <w:lang w:val="en-US" w:eastAsia="zh-CN"/>
              </w:rPr>
              <w:t>蚂蚁洋货第七届中国国际进口博览会展位设计及搭建工程</w:t>
            </w:r>
          </w:p>
        </w:tc>
      </w:tr>
      <w:tr w14:paraId="59CB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0C93D8D5">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14:paraId="347E8219">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14:paraId="63851B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人民币叁拾陆万元整（￥：360000元）</w:t>
            </w:r>
          </w:p>
        </w:tc>
      </w:tr>
      <w:tr w14:paraId="2779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5AEB496">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14:paraId="2488DF24">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14:paraId="5BC69D22">
            <w:pPr>
              <w:pStyle w:val="12"/>
              <w:spacing w:line="36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人民币叁拾</w:t>
            </w:r>
            <w:r>
              <w:rPr>
                <w:rFonts w:hint="eastAsia" w:hAnsi="宋体" w:cs="宋体"/>
                <w:b w:val="0"/>
                <w:bCs/>
                <w:kern w:val="2"/>
                <w:sz w:val="21"/>
                <w:szCs w:val="21"/>
                <w:lang w:val="en-US" w:eastAsia="zh-CN" w:bidi="ar-SA"/>
              </w:rPr>
              <w:t>陆</w:t>
            </w:r>
            <w:r>
              <w:rPr>
                <w:rFonts w:hint="eastAsia" w:ascii="宋体" w:hAnsi="宋体" w:eastAsia="宋体" w:cs="宋体"/>
                <w:b w:val="0"/>
                <w:bCs/>
                <w:kern w:val="2"/>
                <w:sz w:val="21"/>
                <w:szCs w:val="21"/>
                <w:lang w:val="en-US" w:eastAsia="zh-CN" w:bidi="ar-SA"/>
              </w:rPr>
              <w:t>万元整（￥：3</w:t>
            </w:r>
            <w:r>
              <w:rPr>
                <w:rFonts w:hint="eastAsia" w:hAnsi="宋体" w:cs="宋体"/>
                <w:b w:val="0"/>
                <w:bCs/>
                <w:kern w:val="2"/>
                <w:sz w:val="21"/>
                <w:szCs w:val="21"/>
                <w:lang w:val="en-US" w:eastAsia="zh-CN" w:bidi="ar-SA"/>
              </w:rPr>
              <w:t>6</w:t>
            </w:r>
            <w:r>
              <w:rPr>
                <w:rFonts w:hint="eastAsia" w:ascii="宋体" w:hAnsi="宋体" w:eastAsia="宋体" w:cs="宋体"/>
                <w:b w:val="0"/>
                <w:bCs/>
                <w:kern w:val="2"/>
                <w:sz w:val="21"/>
                <w:szCs w:val="21"/>
                <w:lang w:val="en-US" w:eastAsia="zh-CN" w:bidi="ar-SA"/>
              </w:rPr>
              <w:t>0000元）</w:t>
            </w:r>
          </w:p>
        </w:tc>
      </w:tr>
      <w:tr w14:paraId="43C0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FA107E4">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14:paraId="572E4DA6">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14:paraId="1906AFC7">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14:paraId="5E9E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6F6BE76">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14:paraId="13FCEECF">
            <w:pPr>
              <w:pStyle w:val="12"/>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14:paraId="21FDAF88">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14:paraId="144C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604CA3F">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14:paraId="4A7FA247">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14:paraId="313E3146">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1.供应商应当具备下列条件：</w:t>
            </w:r>
          </w:p>
          <w:p w14:paraId="2DD2558B">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（1）国内注册有效的营业执照；</w:t>
            </w:r>
          </w:p>
          <w:p w14:paraId="607D9CDB">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（2）具有独立承担民事责任的能力；</w:t>
            </w:r>
          </w:p>
          <w:p w14:paraId="353CC89F">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（3）具有良好的商业信誉和健全的财务会计制度；</w:t>
            </w:r>
          </w:p>
          <w:p w14:paraId="0C229757">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（4）具有履行合同所必需的设备和专业技术能力；</w:t>
            </w:r>
          </w:p>
          <w:p w14:paraId="68BECBD2">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（5）有依法缴纳税收和社会保障资金的良好记录；</w:t>
            </w:r>
          </w:p>
          <w:p w14:paraId="5746FA47">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（6）参加采购活动前三年内，在经营活动中没有重大违法记录；</w:t>
            </w:r>
          </w:p>
          <w:p w14:paraId="0509A2FD">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（7）法律、行政法规规定的其他条件。</w:t>
            </w:r>
          </w:p>
          <w:p w14:paraId="0AF29061">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2.单位负责人为同一人或者存在直接控股、管理关系的不同供应商，不得参加同一合同项下的采购活动。</w:t>
            </w:r>
          </w:p>
          <w:p w14:paraId="02FD7C67">
            <w:pPr>
              <w:pStyle w:val="12"/>
              <w:spacing w:line="360" w:lineRule="exact"/>
              <w:jc w:val="both"/>
              <w:rPr>
                <w:rFonts w:hint="eastAsia" w:ascii="宋体" w:hAnsi="宋体" w:eastAsia="宋体" w:cs="宋体"/>
                <w:spacing w:val="6"/>
                <w:kern w:val="48"/>
                <w:lang w:eastAsia="zh-CN"/>
              </w:rPr>
            </w:pPr>
            <w:r>
              <w:rPr>
                <w:rFonts w:hint="eastAsia" w:ascii="宋体" w:hAnsi="宋体" w:eastAsia="宋体" w:cs="宋体"/>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tc>
      </w:tr>
      <w:tr w14:paraId="6779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059C6EC">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14:paraId="0996D912">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14:paraId="66032371">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rPr>
              <w:t>不接受联合体竞标</w:t>
            </w:r>
          </w:p>
        </w:tc>
      </w:tr>
      <w:tr w14:paraId="7B8D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F60774">
            <w:pPr>
              <w:pStyle w:val="12"/>
              <w:spacing w:line="360" w:lineRule="exact"/>
              <w:jc w:val="center"/>
              <w:rPr>
                <w:rFonts w:hint="default" w:ascii="宋体" w:hAnsi="宋体" w:eastAsia="宋体" w:cs="宋体"/>
                <w:lang w:val="en-US"/>
              </w:rPr>
            </w:pPr>
            <w:r>
              <w:rPr>
                <w:rFonts w:hint="eastAsia" w:hAnsi="宋体" w:cs="宋体"/>
                <w:lang w:val="en-US" w:eastAsia="zh-CN"/>
              </w:rPr>
              <w:t>6</w:t>
            </w:r>
          </w:p>
        </w:tc>
        <w:tc>
          <w:tcPr>
            <w:tcW w:w="1711" w:type="dxa"/>
            <w:vAlign w:val="center"/>
          </w:tcPr>
          <w:p w14:paraId="683DB4E6">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14:paraId="50A99D09">
            <w:pPr>
              <w:pStyle w:val="12"/>
              <w:spacing w:line="360" w:lineRule="exact"/>
              <w:rPr>
                <w:rFonts w:hint="default"/>
              </w:rPr>
            </w:pPr>
            <w:r>
              <w:rPr>
                <w:rFonts w:hint="eastAsia"/>
                <w:lang w:val="en-US" w:eastAsia="zh-CN"/>
              </w:rPr>
              <w:t>响应</w:t>
            </w:r>
            <w:r>
              <w:rPr>
                <w:rFonts w:hint="eastAsia"/>
              </w:rPr>
              <w:t>文件：</w:t>
            </w:r>
            <w:r>
              <w:rPr>
                <w:rFonts w:hint="eastAsia"/>
                <w:b/>
                <w:bCs/>
                <w:color w:val="FF0000"/>
              </w:rPr>
              <w:t>正本1份</w:t>
            </w:r>
            <w:r>
              <w:rPr>
                <w:rFonts w:hint="default"/>
                <w:b/>
                <w:bCs/>
                <w:color w:val="FF0000"/>
              </w:rPr>
              <w:t>，副本两份</w:t>
            </w:r>
          </w:p>
          <w:p w14:paraId="147F7E80">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107F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358BEB6">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14:paraId="0378B4EE">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14:paraId="0D2FA74C">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采用综合评分法</w:t>
            </w:r>
          </w:p>
        </w:tc>
      </w:tr>
      <w:tr w14:paraId="071E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256750F">
            <w:pPr>
              <w:pStyle w:val="12"/>
              <w:spacing w:line="360" w:lineRule="exact"/>
              <w:jc w:val="center"/>
              <w:rPr>
                <w:rFonts w:hint="default" w:ascii="宋体" w:hAnsi="宋体" w:eastAsia="宋体" w:cs="宋体"/>
                <w:lang w:val="en-US"/>
              </w:rPr>
            </w:pPr>
          </w:p>
        </w:tc>
        <w:tc>
          <w:tcPr>
            <w:tcW w:w="1711" w:type="dxa"/>
            <w:vAlign w:val="center"/>
          </w:tcPr>
          <w:p w14:paraId="41F5C1F3">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14:paraId="2D83ABA0">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2DC7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A41E5AB">
            <w:pPr>
              <w:pStyle w:val="12"/>
              <w:spacing w:line="360" w:lineRule="exact"/>
              <w:jc w:val="center"/>
              <w:rPr>
                <w:rFonts w:hint="default" w:ascii="宋体" w:hAnsi="宋体" w:eastAsia="宋体" w:cs="宋体"/>
                <w:lang w:val="en-US"/>
              </w:rPr>
            </w:pPr>
          </w:p>
        </w:tc>
        <w:tc>
          <w:tcPr>
            <w:tcW w:w="1711" w:type="dxa"/>
            <w:vAlign w:val="center"/>
          </w:tcPr>
          <w:p w14:paraId="4490649E">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14:paraId="6142C3B1">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14:paraId="7CE5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CE84E6">
            <w:pPr>
              <w:pStyle w:val="12"/>
              <w:spacing w:line="360" w:lineRule="exact"/>
              <w:jc w:val="center"/>
              <w:rPr>
                <w:rFonts w:hint="default" w:ascii="宋体" w:hAnsi="宋体" w:eastAsia="宋体" w:cs="宋体"/>
                <w:lang w:val="en-US"/>
              </w:rPr>
            </w:pPr>
          </w:p>
        </w:tc>
        <w:tc>
          <w:tcPr>
            <w:tcW w:w="1711" w:type="dxa"/>
            <w:vAlign w:val="center"/>
          </w:tcPr>
          <w:p w14:paraId="11957F6E">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14:paraId="4B0C1F2B">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10FC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B876326">
            <w:pPr>
              <w:pStyle w:val="12"/>
              <w:spacing w:line="360" w:lineRule="exact"/>
              <w:jc w:val="center"/>
              <w:rPr>
                <w:rFonts w:hint="default" w:ascii="宋体" w:hAnsi="宋体" w:eastAsia="宋体" w:cs="宋体"/>
                <w:lang w:val="en-US" w:eastAsia="zh-CN"/>
              </w:rPr>
            </w:pPr>
          </w:p>
        </w:tc>
        <w:tc>
          <w:tcPr>
            <w:tcW w:w="1711" w:type="dxa"/>
            <w:vAlign w:val="center"/>
          </w:tcPr>
          <w:p w14:paraId="4D11BDD3">
            <w:pPr>
              <w:pStyle w:val="12"/>
              <w:spacing w:line="360" w:lineRule="exact"/>
              <w:jc w:val="center"/>
              <w:rPr>
                <w:rFonts w:hint="eastAsia" w:ascii="宋体" w:hAnsi="宋体" w:eastAsia="宋体" w:cs="宋体"/>
              </w:rPr>
            </w:pPr>
            <w:r>
              <w:rPr>
                <w:rFonts w:hint="eastAsia" w:ascii="宋体" w:hAnsi="宋体" w:eastAsia="宋体" w:cs="宋体"/>
              </w:rPr>
              <w:t>响应文件提交</w:t>
            </w:r>
          </w:p>
          <w:p w14:paraId="5988AE01">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14:paraId="30F30564">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0612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453938B">
            <w:pPr>
              <w:pStyle w:val="12"/>
              <w:spacing w:line="360" w:lineRule="exact"/>
              <w:jc w:val="center"/>
              <w:rPr>
                <w:rFonts w:hint="default" w:ascii="宋体" w:hAnsi="宋体" w:eastAsia="宋体" w:cs="宋体"/>
                <w:lang w:val="en-US" w:eastAsia="zh-CN"/>
              </w:rPr>
            </w:pPr>
          </w:p>
        </w:tc>
        <w:tc>
          <w:tcPr>
            <w:tcW w:w="1711" w:type="dxa"/>
            <w:vAlign w:val="center"/>
          </w:tcPr>
          <w:p w14:paraId="1A3CEA7C">
            <w:pPr>
              <w:pStyle w:val="12"/>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14:paraId="5831EB2A">
            <w:pPr>
              <w:pStyle w:val="12"/>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14:paraId="50A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EB2EEFD">
            <w:pPr>
              <w:pStyle w:val="12"/>
              <w:adjustRightInd w:val="0"/>
              <w:spacing w:line="360" w:lineRule="exact"/>
              <w:jc w:val="center"/>
              <w:rPr>
                <w:rFonts w:hint="default" w:ascii="宋体" w:hAnsi="宋体" w:eastAsia="宋体" w:cs="宋体"/>
                <w:szCs w:val="21"/>
                <w:lang w:val="en-US" w:eastAsia="zh-CN"/>
              </w:rPr>
            </w:pPr>
          </w:p>
        </w:tc>
        <w:tc>
          <w:tcPr>
            <w:tcW w:w="1711" w:type="dxa"/>
            <w:vAlign w:val="center"/>
          </w:tcPr>
          <w:p w14:paraId="7B057B56">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176ECC76">
            <w:pPr>
              <w:pStyle w:val="12"/>
              <w:spacing w:line="360" w:lineRule="exact"/>
              <w:rPr>
                <w:rFonts w:hint="eastAsia" w:ascii="宋体" w:hAnsi="宋体" w:eastAsia="宋体" w:cs="宋体"/>
              </w:rPr>
            </w:pPr>
            <w:r>
              <w:rPr>
                <w:rFonts w:hint="eastAsia" w:ascii="宋体" w:hAnsi="宋体" w:eastAsia="宋体" w:cs="宋体"/>
                <w:szCs w:val="21"/>
              </w:rPr>
              <w:t>无</w:t>
            </w:r>
          </w:p>
        </w:tc>
      </w:tr>
    </w:tbl>
    <w:p w14:paraId="6DB1B525">
      <w:pPr>
        <w:rPr>
          <w:rFonts w:hint="eastAsia" w:ascii="宋体" w:hAnsi="宋体" w:eastAsia="宋体" w:cs="宋体"/>
          <w:lang w:val="en-US" w:eastAsia="zh-CN"/>
        </w:rPr>
      </w:pPr>
      <w:r>
        <w:rPr>
          <w:rFonts w:hint="eastAsia" w:ascii="宋体" w:hAnsi="宋体" w:eastAsia="宋体" w:cs="宋体"/>
          <w:lang w:val="en-US" w:eastAsia="zh-CN"/>
        </w:rPr>
        <w:br w:type="page"/>
      </w:r>
    </w:p>
    <w:p w14:paraId="23313C15">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66FED7DF">
      <w:pPr>
        <w:pStyle w:val="41"/>
        <w:rPr>
          <w:rFonts w:hint="default"/>
        </w:rPr>
      </w:pPr>
      <w:r>
        <w:rPr>
          <w:rFonts w:hint="default"/>
        </w:rPr>
        <w:t>1.项目概况</w:t>
      </w:r>
    </w:p>
    <w:p w14:paraId="320BA79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1627417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5D55474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E70960F">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CCB3B0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6706F6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14:paraId="3425930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14:paraId="5E77AE6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14:paraId="2FCBF218">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2AAAD78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0F1464BC">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49B2070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088A123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58658813">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6CBCF2D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4527A819">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6223824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4573B6E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0F5F6B91">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5AE24E0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13266D2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04632534">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0DCDF83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269087D3">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4424651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26C6DCF7">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2856A15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584C391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71C1A26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6C4B6EE">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72D3752C">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471754F9">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00AF8FD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79CFAF2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0B11991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52B720C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3F833BD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22E437D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68A1589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7D47E92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6CAFA99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5160DAF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564B188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448CB9E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4593E4E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603C593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181F09A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E45350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14:paraId="0CB1C19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48F4574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7F4DAD38">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60BB3E1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35C3E9A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606466C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5BBAC64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7349AC8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090E0B70">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41082A">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0B253134">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14157C8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14:paraId="15639034">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33CFF05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14DEAE2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51E3282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418982D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1C33E2F0">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37A5B782">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2A9D5D11">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7C65C34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6D3F59F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19DE5C0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73AF8E3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668E8DB1">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0CC7CD5E">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28A3927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6DD47B34">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2BB7CD0F">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355E4987">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7F680A1F">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2ADA745D">
      <w:pPr>
        <w:pStyle w:val="39"/>
        <w:rPr>
          <w:rFonts w:hint="eastAsia"/>
          <w:lang w:val="en-US" w:eastAsia="zh-CN"/>
        </w:rPr>
      </w:pPr>
      <w:r>
        <w:rPr>
          <w:rFonts w:hint="eastAsia"/>
          <w:lang w:val="en-US" w:eastAsia="zh-CN"/>
        </w:rPr>
        <w:t>第四章  评审办法</w:t>
      </w:r>
    </w:p>
    <w:p w14:paraId="2B1BF5CB">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14:paraId="5B783A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14:paraId="187616A3">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32841B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5D3C1783">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50F2C7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14:paraId="1B25331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w:t>
      </w:r>
      <w:r>
        <w:rPr>
          <w:rFonts w:hint="default" w:ascii="宋体" w:hAnsi="宋体" w:eastAsia="宋体" w:cs="宋体"/>
          <w:b w:val="0"/>
          <w:bCs w:val="0"/>
          <w:color w:val="FF0000"/>
          <w:kern w:val="2"/>
          <w:sz w:val="24"/>
          <w:szCs w:val="24"/>
          <w:lang w:eastAsia="zh-CN" w:bidi="zh-CN"/>
        </w:rPr>
        <w:t>，</w:t>
      </w:r>
      <w:r>
        <w:rPr>
          <w:rFonts w:hint="eastAsia" w:ascii="宋体" w:hAnsi="宋体" w:eastAsia="宋体" w:cs="宋体"/>
          <w:b w:val="0"/>
          <w:bCs w:val="0"/>
          <w:color w:val="FF0000"/>
          <w:kern w:val="2"/>
          <w:sz w:val="24"/>
          <w:szCs w:val="24"/>
          <w:lang w:val="en-US" w:eastAsia="zh-CN" w:bidi="zh-CN"/>
        </w:rPr>
        <w:t>按最终得分由高到低顺序推荐成交候选人。</w:t>
      </w:r>
    </w:p>
    <w:p w14:paraId="0370AD7F">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14:paraId="642FD8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488D6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1E03A5D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14:paraId="75C301D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14:paraId="2485F080">
      <w:pPr>
        <w:spacing w:line="380" w:lineRule="exact"/>
        <w:ind w:firstLine="420" w:firstLineChars="200"/>
        <w:rPr>
          <w:color w:val="000000"/>
        </w:rPr>
      </w:pPr>
      <w:r>
        <w:rPr>
          <w:rFonts w:hint="eastAsia"/>
          <w:color w:val="000000"/>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14:paraId="3B11F736">
      <w:pPr>
        <w:pStyle w:val="43"/>
        <w:spacing w:line="380" w:lineRule="exact"/>
        <w:rPr>
          <w:color w:val="000000"/>
        </w:rPr>
      </w:pPr>
      <w:bookmarkStart w:id="1" w:name="_Toc152045590"/>
      <w:bookmarkStart w:id="2" w:name="_Toc152042367"/>
      <w:bookmarkStart w:id="3" w:name="_Toc369951717"/>
      <w:bookmarkStart w:id="4" w:name="_Toc179632608"/>
      <w:bookmarkStart w:id="5" w:name="_Toc144974557"/>
      <w:bookmarkStart w:id="6" w:name="_Toc13168"/>
      <w:r>
        <w:rPr>
          <w:rFonts w:hint="eastAsia"/>
          <w:color w:val="000000"/>
          <w:lang w:val="en-US" w:eastAsia="zh-CN"/>
        </w:rPr>
        <w:t>21</w:t>
      </w:r>
      <w:r>
        <w:rPr>
          <w:rFonts w:hint="eastAsia"/>
          <w:color w:val="000000"/>
        </w:rPr>
        <w:t>. 评审标准</w:t>
      </w:r>
      <w:bookmarkEnd w:id="1"/>
      <w:bookmarkEnd w:id="2"/>
      <w:bookmarkEnd w:id="3"/>
      <w:bookmarkEnd w:id="4"/>
      <w:bookmarkEnd w:id="5"/>
      <w:bookmarkEnd w:id="6"/>
    </w:p>
    <w:p w14:paraId="3C486426">
      <w:pPr>
        <w:pStyle w:val="44"/>
        <w:spacing w:line="380" w:lineRule="exact"/>
        <w:rPr>
          <w:color w:val="000000"/>
        </w:rPr>
      </w:pPr>
      <w:bookmarkStart w:id="7" w:name="_Toc152045591"/>
      <w:bookmarkStart w:id="8" w:name="_Toc152042368"/>
      <w:bookmarkStart w:id="9" w:name="_Toc369951718"/>
      <w:bookmarkStart w:id="10" w:name="_Toc144974558"/>
      <w:bookmarkStart w:id="11" w:name="_Toc179632609"/>
      <w:bookmarkStart w:id="12" w:name="_Toc7104"/>
      <w:r>
        <w:rPr>
          <w:rFonts w:hint="eastAsia"/>
          <w:color w:val="000000"/>
        </w:rPr>
        <w:t>2</w:t>
      </w:r>
      <w:r>
        <w:rPr>
          <w:rFonts w:hint="eastAsia"/>
          <w:color w:val="000000"/>
          <w:lang w:val="en-US" w:eastAsia="zh-CN"/>
        </w:rPr>
        <w:t>1</w:t>
      </w:r>
      <w:r>
        <w:rPr>
          <w:rFonts w:hint="eastAsia"/>
          <w:color w:val="000000"/>
        </w:rPr>
        <w:t>.1 初步评审标准</w:t>
      </w:r>
      <w:bookmarkEnd w:id="7"/>
      <w:bookmarkEnd w:id="8"/>
      <w:bookmarkEnd w:id="9"/>
      <w:bookmarkEnd w:id="10"/>
      <w:bookmarkEnd w:id="11"/>
      <w:bookmarkEnd w:id="12"/>
    </w:p>
    <w:p w14:paraId="3987E0A7">
      <w:pPr>
        <w:spacing w:line="380" w:lineRule="exact"/>
        <w:ind w:firstLine="420" w:firstLineChars="200"/>
        <w:rPr>
          <w:rFonts w:hint="eastAsia"/>
          <w:color w:val="000000"/>
        </w:rPr>
      </w:pPr>
      <w:r>
        <w:rPr>
          <w:rFonts w:hint="eastAsia"/>
          <w:color w:val="000000"/>
        </w:rPr>
        <w:t>2.1.1 资格评审标准：见评标办法</w:t>
      </w:r>
      <w:r>
        <w:rPr>
          <w:rFonts w:hint="eastAsia"/>
          <w:color w:val="000000"/>
          <w:lang w:eastAsia="zh-CN"/>
        </w:rPr>
        <w:t>表</w:t>
      </w:r>
      <w:r>
        <w:rPr>
          <w:rFonts w:hint="eastAsia"/>
          <w:color w:val="000000"/>
        </w:rPr>
        <w:t>。</w:t>
      </w:r>
    </w:p>
    <w:p w14:paraId="489330BF">
      <w:pPr>
        <w:spacing w:line="380" w:lineRule="exact"/>
        <w:ind w:firstLine="420" w:firstLineChars="200"/>
        <w:rPr>
          <w:color w:val="000000"/>
        </w:rPr>
      </w:pPr>
      <w:r>
        <w:rPr>
          <w:rFonts w:hint="eastAsia"/>
          <w:color w:val="000000"/>
        </w:rPr>
        <w:t>2.1.2 形式评审标准：见评标办法</w:t>
      </w:r>
      <w:r>
        <w:rPr>
          <w:rFonts w:hint="eastAsia"/>
          <w:color w:val="000000"/>
          <w:lang w:eastAsia="zh-CN"/>
        </w:rPr>
        <w:t>表</w:t>
      </w:r>
      <w:r>
        <w:rPr>
          <w:rFonts w:hint="eastAsia"/>
          <w:color w:val="000000"/>
        </w:rPr>
        <w:t>。</w:t>
      </w:r>
    </w:p>
    <w:p w14:paraId="79FDAAC0">
      <w:pPr>
        <w:spacing w:line="380" w:lineRule="exact"/>
        <w:ind w:firstLine="420" w:firstLineChars="200"/>
        <w:rPr>
          <w:color w:val="000000"/>
        </w:rPr>
      </w:pPr>
      <w:r>
        <w:rPr>
          <w:rFonts w:hint="eastAsia"/>
          <w:color w:val="000000"/>
        </w:rPr>
        <w:t>2.1.3 响应性评审标准：见评标办法</w:t>
      </w:r>
      <w:r>
        <w:rPr>
          <w:rFonts w:hint="eastAsia"/>
          <w:color w:val="000000"/>
          <w:lang w:eastAsia="zh-CN"/>
        </w:rPr>
        <w:t>表</w:t>
      </w:r>
      <w:r>
        <w:rPr>
          <w:rFonts w:hint="eastAsia"/>
          <w:color w:val="000000"/>
        </w:rPr>
        <w:t>。</w:t>
      </w:r>
    </w:p>
    <w:p w14:paraId="0B19B171">
      <w:pPr>
        <w:pStyle w:val="44"/>
        <w:spacing w:line="380" w:lineRule="exact"/>
        <w:rPr>
          <w:color w:val="000000"/>
        </w:rPr>
      </w:pPr>
      <w:bookmarkStart w:id="13" w:name="_Toc152045592"/>
      <w:bookmarkStart w:id="14" w:name="_Toc152042369"/>
      <w:bookmarkStart w:id="15" w:name="_Toc10873"/>
      <w:bookmarkStart w:id="16" w:name="_Toc369951719"/>
      <w:bookmarkStart w:id="17" w:name="_Toc144974559"/>
      <w:bookmarkStart w:id="18" w:name="_Toc179632610"/>
      <w:r>
        <w:rPr>
          <w:rFonts w:hint="eastAsia"/>
          <w:color w:val="000000"/>
        </w:rPr>
        <w:t>2</w:t>
      </w:r>
      <w:r>
        <w:rPr>
          <w:rFonts w:hint="eastAsia"/>
          <w:color w:val="000000"/>
          <w:lang w:val="en-US" w:eastAsia="zh-CN"/>
        </w:rPr>
        <w:t>1</w:t>
      </w:r>
      <w:r>
        <w:rPr>
          <w:rFonts w:hint="eastAsia"/>
          <w:color w:val="000000"/>
        </w:rPr>
        <w:t>.2 详细评审标准</w:t>
      </w:r>
      <w:bookmarkEnd w:id="13"/>
      <w:bookmarkEnd w:id="14"/>
      <w:bookmarkEnd w:id="15"/>
      <w:bookmarkEnd w:id="16"/>
      <w:bookmarkEnd w:id="17"/>
      <w:bookmarkEnd w:id="18"/>
    </w:p>
    <w:p w14:paraId="33BB7DB9">
      <w:pPr>
        <w:spacing w:line="380" w:lineRule="exact"/>
        <w:ind w:firstLine="315" w:firstLineChars="150"/>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color w:val="000000"/>
        </w:rPr>
        <w:t>见评标办法</w:t>
      </w:r>
      <w:r>
        <w:rPr>
          <w:rFonts w:hint="eastAsia"/>
          <w:color w:val="000000"/>
          <w:lang w:eastAsia="zh-CN"/>
        </w:rPr>
        <w:t>表</w:t>
      </w:r>
      <w:r>
        <w:rPr>
          <w:rFonts w:hint="eastAsia"/>
          <w:color w:val="000000"/>
        </w:rPr>
        <w:t>。</w:t>
      </w:r>
    </w:p>
    <w:p w14:paraId="20DA3A3A">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1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14:paraId="4AD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14:paraId="4F3E03F2">
            <w:pPr>
              <w:pStyle w:val="42"/>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14:paraId="2DA2625E">
            <w:pPr>
              <w:pStyle w:val="42"/>
              <w:jc w:val="center"/>
              <w:rPr>
                <w:rFonts w:hint="eastAsia" w:ascii="宋体" w:hAnsi="宋体"/>
                <w:b/>
                <w:color w:val="000000"/>
              </w:rPr>
            </w:pPr>
            <w:r>
              <w:rPr>
                <w:rFonts w:ascii="宋体" w:hAnsi="宋体" w:eastAsia="宋体" w:cs="宋体"/>
                <w:b/>
                <w:color w:val="000000"/>
                <w:sz w:val="21"/>
              </w:rPr>
              <w:t>评审因素</w:t>
            </w:r>
          </w:p>
        </w:tc>
        <w:tc>
          <w:tcPr>
            <w:tcW w:w="6147" w:type="dxa"/>
            <w:gridSpan w:val="2"/>
            <w:vAlign w:val="center"/>
          </w:tcPr>
          <w:p w14:paraId="5D85B957">
            <w:pPr>
              <w:pStyle w:val="25"/>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14:paraId="1786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04A53B34">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14:paraId="3FE4F39C">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14:paraId="6A785EFC">
            <w:pPr>
              <w:pStyle w:val="42"/>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14:paraId="5E11B949">
            <w:pPr>
              <w:pStyle w:val="42"/>
              <w:rPr>
                <w:rFonts w:hint="eastAsia" w:ascii="宋体" w:hAnsi="宋体"/>
                <w:b/>
                <w:color w:val="000000"/>
              </w:rPr>
            </w:pPr>
            <w:r>
              <w:rPr>
                <w:rFonts w:ascii="宋体" w:hAnsi="宋体" w:eastAsia="宋体" w:cs="宋体"/>
                <w:color w:val="000000"/>
                <w:sz w:val="21"/>
              </w:rPr>
              <w:t>具备有效的营业执照</w:t>
            </w:r>
          </w:p>
        </w:tc>
      </w:tr>
      <w:tr w14:paraId="103B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14:paraId="3BF59172">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25F7C20B">
            <w:pPr>
              <w:pStyle w:val="25"/>
              <w:ind w:firstLine="918"/>
              <w:jc w:val="center"/>
              <w:rPr>
                <w:rFonts w:hint="eastAsia" w:ascii="宋体" w:hAnsi="宋体"/>
                <w:b/>
                <w:color w:val="000000"/>
                <w:lang w:val="en-US" w:eastAsia="zh-CN"/>
              </w:rPr>
            </w:pPr>
          </w:p>
        </w:tc>
        <w:tc>
          <w:tcPr>
            <w:tcW w:w="1444" w:type="dxa"/>
            <w:vAlign w:val="center"/>
          </w:tcPr>
          <w:p w14:paraId="7555944B">
            <w:pPr>
              <w:pStyle w:val="42"/>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14:paraId="3DA2D30B">
            <w:pPr>
              <w:pStyle w:val="42"/>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14:paraId="392F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14:paraId="09AC361B">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4E43581C">
            <w:pPr>
              <w:pStyle w:val="25"/>
              <w:ind w:firstLine="918"/>
              <w:jc w:val="center"/>
              <w:rPr>
                <w:rFonts w:hint="eastAsia" w:ascii="宋体" w:hAnsi="宋体"/>
                <w:b/>
                <w:color w:val="000000"/>
                <w:lang w:val="en-US" w:eastAsia="zh-CN"/>
              </w:rPr>
            </w:pPr>
          </w:p>
        </w:tc>
        <w:tc>
          <w:tcPr>
            <w:tcW w:w="1444" w:type="dxa"/>
            <w:vAlign w:val="center"/>
          </w:tcPr>
          <w:p w14:paraId="270D7352">
            <w:pPr>
              <w:pStyle w:val="42"/>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14:paraId="03A21E16">
            <w:pPr>
              <w:pStyle w:val="42"/>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14:paraId="718AA2E4">
            <w:pPr>
              <w:pStyle w:val="42"/>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14:paraId="3D1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50EF3295">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209" w:type="dxa"/>
            <w:vMerge w:val="restart"/>
            <w:vAlign w:val="center"/>
          </w:tcPr>
          <w:p w14:paraId="54F644CF">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444" w:type="dxa"/>
            <w:vAlign w:val="center"/>
          </w:tcPr>
          <w:p w14:paraId="3464DD89">
            <w:pPr>
              <w:pStyle w:val="42"/>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14:paraId="1690D85E">
            <w:pPr>
              <w:pStyle w:val="42"/>
              <w:rPr>
                <w:rFonts w:hint="eastAsia" w:ascii="宋体" w:hAnsi="宋体" w:eastAsia="宋体" w:cs="宋体"/>
                <w:color w:val="000000"/>
                <w:sz w:val="21"/>
              </w:rPr>
            </w:pPr>
            <w:r>
              <w:rPr>
                <w:rFonts w:hint="eastAsia" w:ascii="宋体" w:hAnsi="宋体" w:eastAsia="宋体" w:cs="宋体"/>
                <w:color w:val="000000"/>
                <w:sz w:val="21"/>
              </w:rPr>
              <w:t>与营业执照一致</w:t>
            </w:r>
          </w:p>
        </w:tc>
      </w:tr>
      <w:tr w14:paraId="415C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D0B2B34">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14:paraId="700FAAF5">
            <w:pPr>
              <w:pStyle w:val="25"/>
              <w:ind w:firstLine="810"/>
              <w:rPr>
                <w:rFonts w:ascii="宋体" w:hAnsi="宋体" w:eastAsia="宋体" w:cs="宋体"/>
                <w:color w:val="000000"/>
                <w:sz w:val="21"/>
                <w:szCs w:val="24"/>
                <w:lang w:val="en-US" w:eastAsia="zh-CN"/>
              </w:rPr>
            </w:pPr>
          </w:p>
        </w:tc>
        <w:tc>
          <w:tcPr>
            <w:tcW w:w="1444" w:type="dxa"/>
            <w:vAlign w:val="center"/>
          </w:tcPr>
          <w:p w14:paraId="108C255B">
            <w:pPr>
              <w:pStyle w:val="42"/>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14:paraId="3A40B5C8">
            <w:pPr>
              <w:pStyle w:val="42"/>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14:paraId="7FE8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0BD3E9C4">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14:paraId="5C639622">
            <w:pPr>
              <w:pStyle w:val="25"/>
              <w:ind w:firstLine="810"/>
              <w:rPr>
                <w:rFonts w:ascii="宋体" w:hAnsi="宋体" w:eastAsia="宋体" w:cs="宋体"/>
                <w:color w:val="000000"/>
                <w:sz w:val="21"/>
                <w:szCs w:val="24"/>
                <w:lang w:val="en-US" w:eastAsia="zh-CN"/>
              </w:rPr>
            </w:pPr>
          </w:p>
        </w:tc>
        <w:tc>
          <w:tcPr>
            <w:tcW w:w="1444" w:type="dxa"/>
            <w:vAlign w:val="center"/>
          </w:tcPr>
          <w:p w14:paraId="41FC8C77">
            <w:pPr>
              <w:pStyle w:val="42"/>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14:paraId="7BC2CB90">
            <w:pPr>
              <w:pStyle w:val="42"/>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14:paraId="664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211162DF">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209" w:type="dxa"/>
            <w:vMerge w:val="restart"/>
            <w:vAlign w:val="center"/>
          </w:tcPr>
          <w:p w14:paraId="2FA33A5C">
            <w:pPr>
              <w:pStyle w:val="25"/>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444" w:type="dxa"/>
            <w:vAlign w:val="center"/>
          </w:tcPr>
          <w:p w14:paraId="2F1A67F6">
            <w:pPr>
              <w:pStyle w:val="42"/>
              <w:jc w:val="center"/>
              <w:rPr>
                <w:rFonts w:hint="eastAsia" w:ascii="宋体" w:hAnsi="宋体" w:eastAsia="宋体" w:cs="宋体"/>
                <w:color w:val="000000"/>
                <w:sz w:val="21"/>
              </w:rPr>
            </w:pPr>
            <w:r>
              <w:rPr>
                <w:rFonts w:ascii="宋体" w:hAnsi="宋体" w:eastAsia="宋体" w:cs="宋体"/>
                <w:color w:val="000000"/>
                <w:sz w:val="21"/>
              </w:rPr>
              <w:t>投标内容</w:t>
            </w:r>
          </w:p>
        </w:tc>
        <w:tc>
          <w:tcPr>
            <w:tcW w:w="4703" w:type="dxa"/>
            <w:vAlign w:val="center"/>
          </w:tcPr>
          <w:p w14:paraId="6EDE46B5">
            <w:pPr>
              <w:pStyle w:val="42"/>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14:paraId="0740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14534A6C">
            <w:pPr>
              <w:pStyle w:val="25"/>
              <w:ind w:firstLine="918"/>
              <w:rPr>
                <w:rFonts w:hint="eastAsia" w:ascii="宋体" w:hAnsi="宋体"/>
                <w:b/>
                <w:color w:val="000000"/>
                <w:lang w:val="en-US" w:eastAsia="zh-CN"/>
              </w:rPr>
            </w:pPr>
          </w:p>
        </w:tc>
        <w:tc>
          <w:tcPr>
            <w:tcW w:w="1209" w:type="dxa"/>
            <w:vMerge w:val="continue"/>
            <w:vAlign w:val="top"/>
          </w:tcPr>
          <w:p w14:paraId="238B2342">
            <w:pPr>
              <w:pStyle w:val="25"/>
              <w:ind w:firstLine="810"/>
              <w:rPr>
                <w:rFonts w:ascii="宋体" w:hAnsi="宋体" w:eastAsia="宋体" w:cs="宋体"/>
                <w:color w:val="000000"/>
                <w:sz w:val="21"/>
                <w:szCs w:val="24"/>
                <w:lang w:val="en-US" w:eastAsia="zh-CN"/>
              </w:rPr>
            </w:pPr>
          </w:p>
        </w:tc>
        <w:tc>
          <w:tcPr>
            <w:tcW w:w="1444" w:type="dxa"/>
            <w:vAlign w:val="center"/>
          </w:tcPr>
          <w:p w14:paraId="275ED64F">
            <w:pPr>
              <w:pStyle w:val="42"/>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14:paraId="2248D631">
            <w:pPr>
              <w:pStyle w:val="42"/>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根据交付使用期时间节点完成执行。</w:t>
            </w:r>
          </w:p>
        </w:tc>
      </w:tr>
      <w:tr w14:paraId="7578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174325D">
            <w:pPr>
              <w:pStyle w:val="25"/>
              <w:ind w:firstLine="918"/>
              <w:rPr>
                <w:rFonts w:hint="eastAsia" w:ascii="宋体" w:hAnsi="宋体"/>
                <w:b/>
                <w:color w:val="000000"/>
                <w:lang w:val="en-US" w:eastAsia="zh-CN"/>
              </w:rPr>
            </w:pPr>
          </w:p>
        </w:tc>
        <w:tc>
          <w:tcPr>
            <w:tcW w:w="1209" w:type="dxa"/>
            <w:vMerge w:val="continue"/>
            <w:vAlign w:val="top"/>
          </w:tcPr>
          <w:p w14:paraId="0FEA7917">
            <w:pPr>
              <w:pStyle w:val="25"/>
              <w:ind w:firstLine="810"/>
              <w:rPr>
                <w:rFonts w:ascii="宋体" w:hAnsi="宋体" w:eastAsia="宋体" w:cs="宋体"/>
                <w:color w:val="000000"/>
                <w:sz w:val="21"/>
                <w:szCs w:val="24"/>
                <w:lang w:val="en-US" w:eastAsia="zh-CN"/>
              </w:rPr>
            </w:pPr>
          </w:p>
        </w:tc>
        <w:tc>
          <w:tcPr>
            <w:tcW w:w="1444" w:type="dxa"/>
            <w:vAlign w:val="center"/>
          </w:tcPr>
          <w:p w14:paraId="72BEC7ED">
            <w:pPr>
              <w:pStyle w:val="42"/>
              <w:jc w:val="center"/>
              <w:rPr>
                <w:rFonts w:hint="eastAsia" w:ascii="宋体" w:hAnsi="宋体" w:eastAsia="宋体" w:cs="宋体"/>
                <w:color w:val="000000"/>
                <w:sz w:val="21"/>
              </w:rPr>
            </w:pPr>
            <w:r>
              <w:rPr>
                <w:rFonts w:ascii="宋体" w:hAnsi="宋体" w:eastAsia="宋体" w:cs="宋体"/>
                <w:color w:val="000000"/>
                <w:sz w:val="21"/>
              </w:rPr>
              <w:t>工程质量</w:t>
            </w:r>
          </w:p>
        </w:tc>
        <w:tc>
          <w:tcPr>
            <w:tcW w:w="4703" w:type="dxa"/>
            <w:vAlign w:val="center"/>
          </w:tcPr>
          <w:p w14:paraId="218A9CE7">
            <w:pPr>
              <w:pStyle w:val="42"/>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国家标准、《第七届中国国际进口博览会参展商手册》要求。</w:t>
            </w:r>
          </w:p>
        </w:tc>
      </w:tr>
      <w:tr w14:paraId="282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379AB600">
            <w:pPr>
              <w:pStyle w:val="25"/>
              <w:ind w:firstLine="918"/>
              <w:rPr>
                <w:rFonts w:hint="eastAsia" w:ascii="宋体" w:hAnsi="宋体"/>
                <w:b/>
                <w:color w:val="000000"/>
                <w:lang w:val="en-US" w:eastAsia="zh-CN"/>
              </w:rPr>
            </w:pPr>
          </w:p>
        </w:tc>
        <w:tc>
          <w:tcPr>
            <w:tcW w:w="1209" w:type="dxa"/>
            <w:vMerge w:val="continue"/>
            <w:vAlign w:val="top"/>
          </w:tcPr>
          <w:p w14:paraId="7CC7E7D3">
            <w:pPr>
              <w:pStyle w:val="25"/>
              <w:ind w:firstLine="810"/>
              <w:rPr>
                <w:rFonts w:ascii="宋体" w:hAnsi="宋体" w:eastAsia="宋体" w:cs="宋体"/>
                <w:color w:val="000000"/>
                <w:sz w:val="21"/>
                <w:szCs w:val="24"/>
                <w:lang w:val="en-US" w:eastAsia="zh-CN"/>
              </w:rPr>
            </w:pPr>
          </w:p>
        </w:tc>
        <w:tc>
          <w:tcPr>
            <w:tcW w:w="1444" w:type="dxa"/>
            <w:vAlign w:val="center"/>
          </w:tcPr>
          <w:p w14:paraId="7CC049AC">
            <w:pPr>
              <w:pStyle w:val="42"/>
              <w:jc w:val="center"/>
              <w:rPr>
                <w:rFonts w:hint="eastAsia" w:ascii="宋体" w:hAnsi="宋体" w:eastAsia="宋体" w:cs="宋体"/>
                <w:color w:val="000000"/>
                <w:sz w:val="21"/>
              </w:rPr>
            </w:pPr>
            <w:r>
              <w:rPr>
                <w:rFonts w:ascii="宋体" w:hAnsi="宋体" w:eastAsia="宋体" w:cs="宋体"/>
                <w:color w:val="000000"/>
                <w:sz w:val="21"/>
              </w:rPr>
              <w:t>投标有效期</w:t>
            </w:r>
          </w:p>
        </w:tc>
        <w:tc>
          <w:tcPr>
            <w:tcW w:w="4703" w:type="dxa"/>
            <w:vAlign w:val="center"/>
          </w:tcPr>
          <w:p w14:paraId="3C12DD58">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14:paraId="750C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57BA9CAD">
            <w:pPr>
              <w:pStyle w:val="25"/>
              <w:ind w:firstLine="918"/>
              <w:rPr>
                <w:rFonts w:hint="eastAsia" w:ascii="宋体" w:hAnsi="宋体"/>
                <w:b/>
                <w:color w:val="000000"/>
                <w:lang w:val="en-US" w:eastAsia="zh-CN"/>
              </w:rPr>
            </w:pPr>
          </w:p>
        </w:tc>
        <w:tc>
          <w:tcPr>
            <w:tcW w:w="1209" w:type="dxa"/>
            <w:vMerge w:val="continue"/>
            <w:vAlign w:val="top"/>
          </w:tcPr>
          <w:p w14:paraId="2026E88A">
            <w:pPr>
              <w:pStyle w:val="25"/>
              <w:ind w:firstLine="810"/>
              <w:rPr>
                <w:rFonts w:ascii="宋体" w:hAnsi="宋体" w:eastAsia="宋体" w:cs="宋体"/>
                <w:color w:val="000000"/>
                <w:sz w:val="21"/>
                <w:szCs w:val="24"/>
                <w:lang w:val="en-US" w:eastAsia="zh-CN"/>
              </w:rPr>
            </w:pPr>
          </w:p>
        </w:tc>
        <w:tc>
          <w:tcPr>
            <w:tcW w:w="1444" w:type="dxa"/>
            <w:vAlign w:val="center"/>
          </w:tcPr>
          <w:p w14:paraId="2F012691">
            <w:pPr>
              <w:pStyle w:val="42"/>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14:paraId="4615667C">
            <w:pPr>
              <w:pStyle w:val="42"/>
              <w:rPr>
                <w:rFonts w:hint="eastAsia" w:ascii="宋体" w:hAnsi="宋体" w:eastAsia="宋体" w:cs="宋体"/>
                <w:color w:val="000000"/>
                <w:sz w:val="21"/>
              </w:rPr>
            </w:pPr>
            <w:r>
              <w:rPr>
                <w:rFonts w:ascii="宋体" w:hAnsi="宋体" w:eastAsia="宋体" w:cs="宋体"/>
                <w:color w:val="000000"/>
                <w:sz w:val="21"/>
              </w:rPr>
              <w:t>投标函附录中的相关承诺符合或优于第</w:t>
            </w:r>
            <w:r>
              <w:rPr>
                <w:rFonts w:hint="eastAsia" w:ascii="宋体" w:hAnsi="宋体" w:eastAsia="宋体" w:cs="宋体"/>
                <w:color w:val="000000"/>
                <w:sz w:val="21"/>
                <w:lang w:eastAsia="zh-CN"/>
              </w:rPr>
              <w:t>七</w:t>
            </w:r>
            <w:r>
              <w:rPr>
                <w:rFonts w:ascii="宋体" w:hAnsi="宋体" w:eastAsia="宋体" w:cs="宋体"/>
                <w:color w:val="000000"/>
                <w:sz w:val="21"/>
              </w:rPr>
              <w:t>章“合同条款及格式”的相关规定</w:t>
            </w:r>
          </w:p>
        </w:tc>
      </w:tr>
      <w:tr w14:paraId="0A45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43DDC09A">
            <w:pPr>
              <w:pStyle w:val="25"/>
              <w:ind w:firstLine="918"/>
              <w:rPr>
                <w:rFonts w:hint="eastAsia" w:ascii="宋体" w:hAnsi="宋体"/>
                <w:b/>
                <w:color w:val="000000"/>
                <w:lang w:val="en-US" w:eastAsia="zh-CN"/>
              </w:rPr>
            </w:pPr>
          </w:p>
        </w:tc>
        <w:tc>
          <w:tcPr>
            <w:tcW w:w="1209" w:type="dxa"/>
            <w:vMerge w:val="continue"/>
            <w:vAlign w:val="top"/>
          </w:tcPr>
          <w:p w14:paraId="232C438D">
            <w:pPr>
              <w:pStyle w:val="25"/>
              <w:ind w:firstLine="810"/>
              <w:rPr>
                <w:rFonts w:ascii="宋体" w:hAnsi="宋体" w:eastAsia="宋体" w:cs="宋体"/>
                <w:color w:val="000000"/>
                <w:sz w:val="21"/>
                <w:szCs w:val="24"/>
                <w:lang w:val="en-US" w:eastAsia="zh-CN"/>
              </w:rPr>
            </w:pPr>
          </w:p>
        </w:tc>
        <w:tc>
          <w:tcPr>
            <w:tcW w:w="1444" w:type="dxa"/>
            <w:vAlign w:val="center"/>
          </w:tcPr>
          <w:p w14:paraId="08F8E678">
            <w:pPr>
              <w:pStyle w:val="42"/>
              <w:jc w:val="center"/>
              <w:rPr>
                <w:rFonts w:hint="eastAsia" w:ascii="宋体" w:hAnsi="宋体" w:eastAsia="宋体" w:cs="宋体"/>
                <w:color w:val="000000"/>
                <w:sz w:val="21"/>
              </w:rPr>
            </w:pPr>
            <w:r>
              <w:rPr>
                <w:rFonts w:ascii="宋体" w:hAnsi="宋体" w:eastAsia="宋体" w:cs="宋体"/>
                <w:color w:val="000000"/>
                <w:sz w:val="21"/>
              </w:rPr>
              <w:t>投标价格</w:t>
            </w:r>
          </w:p>
        </w:tc>
        <w:tc>
          <w:tcPr>
            <w:tcW w:w="4703" w:type="dxa"/>
            <w:vAlign w:val="center"/>
          </w:tcPr>
          <w:p w14:paraId="1BB2C94C">
            <w:pPr>
              <w:pStyle w:val="42"/>
              <w:rPr>
                <w:rFonts w:hint="eastAsia" w:ascii="宋体" w:hAnsi="宋体" w:eastAsia="宋体" w:cs="宋体"/>
                <w:color w:val="000000"/>
                <w:sz w:val="21"/>
              </w:rPr>
            </w:pPr>
            <w:r>
              <w:rPr>
                <w:rFonts w:ascii="宋体" w:hAnsi="宋体" w:eastAsia="宋体" w:cs="宋体"/>
                <w:color w:val="000000"/>
                <w:sz w:val="21"/>
              </w:rPr>
              <w:t>低于（含等于）招标人公布的招标控制价且无否决投标条件的相应情况。</w:t>
            </w:r>
          </w:p>
        </w:tc>
      </w:tr>
      <w:tr w14:paraId="5DE9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14:paraId="5AFCBD51">
            <w:pPr>
              <w:pStyle w:val="42"/>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14:paraId="55BB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14:paraId="4F60C66C">
            <w:pPr>
              <w:pStyle w:val="42"/>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209" w:type="dxa"/>
            <w:vAlign w:val="center"/>
          </w:tcPr>
          <w:p w14:paraId="6FEC1271">
            <w:pPr>
              <w:pStyle w:val="42"/>
              <w:jc w:val="center"/>
              <w:rPr>
                <w:rFonts w:ascii="宋体" w:hAnsi="宋体" w:eastAsia="宋体" w:cs="宋体"/>
                <w:color w:val="000000"/>
                <w:sz w:val="21"/>
              </w:rPr>
            </w:pPr>
            <w:r>
              <w:rPr>
                <w:rFonts w:ascii="宋体" w:hAnsi="宋体" w:eastAsia="宋体" w:cs="宋体"/>
                <w:color w:val="000000"/>
                <w:sz w:val="21"/>
              </w:rPr>
              <w:t>详细评审</w:t>
            </w:r>
          </w:p>
        </w:tc>
        <w:tc>
          <w:tcPr>
            <w:tcW w:w="6147" w:type="dxa"/>
            <w:gridSpan w:val="2"/>
            <w:vAlign w:val="center"/>
          </w:tcPr>
          <w:p w14:paraId="315C66EC">
            <w:pPr>
              <w:pStyle w:val="42"/>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14:paraId="4CAA75E6">
            <w:pPr>
              <w:tabs>
                <w:tab w:val="left" w:pos="1080"/>
              </w:tabs>
              <w:spacing w:line="320" w:lineRule="exact"/>
              <w:rPr>
                <w:rFonts w:hint="eastAsia" w:ascii="宋体" w:hAnsi="宋体" w:eastAsia="宋体" w:cs="宋体"/>
                <w:color w:val="000000"/>
              </w:rPr>
            </w:pPr>
            <w:r>
              <w:rPr>
                <w:rFonts w:hint="eastAsia" w:ascii="宋体" w:hAnsi="宋体" w:eastAsia="宋体" w:cs="宋体"/>
                <w:color w:val="000000"/>
                <w:szCs w:val="21"/>
              </w:rPr>
              <w:t>分值构成（总分100分）其中：</w:t>
            </w:r>
          </w:p>
          <w:p w14:paraId="2F431DE8">
            <w:pPr>
              <w:widowControl/>
              <w:jc w:val="left"/>
              <w:rPr>
                <w:rFonts w:hint="eastAsia" w:ascii="宋体" w:hAnsi="宋体" w:eastAsia="宋体" w:cs="宋体"/>
                <w:color w:val="000000"/>
              </w:rPr>
            </w:pPr>
            <w:r>
              <w:rPr>
                <w:rFonts w:hint="eastAsia" w:ascii="宋体" w:hAnsi="宋体" w:eastAsia="宋体" w:cs="宋体"/>
                <w:color w:val="000000"/>
                <w:kern w:val="0"/>
                <w:szCs w:val="21"/>
                <w:lang w:bidi="ar"/>
              </w:rPr>
              <w:t>（1）技术标分值：</w:t>
            </w:r>
            <w:r>
              <w:rPr>
                <w:rFonts w:hint="eastAsia" w:ascii="宋体" w:hAnsi="宋体" w:eastAsia="宋体" w:cs="宋体"/>
                <w:color w:val="000000"/>
                <w:kern w:val="0"/>
                <w:szCs w:val="21"/>
                <w:lang w:val="en-US" w:eastAsia="zh-CN" w:bidi="ar"/>
              </w:rPr>
              <w:t>60</w:t>
            </w:r>
            <w:r>
              <w:rPr>
                <w:rFonts w:hint="eastAsia" w:ascii="宋体" w:hAnsi="宋体" w:eastAsia="宋体" w:cs="宋体"/>
                <w:color w:val="000000"/>
                <w:kern w:val="0"/>
                <w:szCs w:val="21"/>
                <w:lang w:bidi="ar"/>
              </w:rPr>
              <w:t xml:space="preserve">分 </w:t>
            </w:r>
          </w:p>
          <w:p w14:paraId="475FB7C9">
            <w:pPr>
              <w:widowControl/>
              <w:jc w:val="left"/>
              <w:rPr>
                <w:rFonts w:ascii="宋体" w:hAnsi="宋体" w:cs="宋体"/>
                <w:b/>
                <w:color w:val="000000"/>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价格</w:t>
            </w:r>
            <w:r>
              <w:rPr>
                <w:rFonts w:hint="eastAsia" w:ascii="宋体" w:hAnsi="宋体" w:eastAsia="宋体" w:cs="宋体"/>
                <w:color w:val="000000"/>
                <w:kern w:val="0"/>
                <w:szCs w:val="21"/>
                <w:lang w:bidi="ar"/>
              </w:rPr>
              <w:t>标分值：</w:t>
            </w:r>
            <w:r>
              <w:rPr>
                <w:rFonts w:hint="eastAsia" w:ascii="宋体" w:hAnsi="宋体" w:eastAsia="宋体" w:cs="宋体"/>
                <w:color w:val="000000"/>
                <w:kern w:val="0"/>
                <w:szCs w:val="21"/>
                <w:lang w:val="en-US" w:eastAsia="zh-CN" w:bidi="ar"/>
              </w:rPr>
              <w:t>40</w:t>
            </w:r>
            <w:r>
              <w:rPr>
                <w:rFonts w:hint="eastAsia" w:ascii="宋体" w:hAnsi="宋体" w:eastAsia="宋体" w:cs="宋体"/>
                <w:color w:val="000000"/>
                <w:kern w:val="0"/>
                <w:szCs w:val="21"/>
                <w:lang w:bidi="ar"/>
              </w:rPr>
              <w:t>分</w:t>
            </w:r>
          </w:p>
        </w:tc>
      </w:tr>
      <w:tr w14:paraId="570C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56104B68">
            <w:pPr>
              <w:pStyle w:val="42"/>
              <w:jc w:val="center"/>
              <w:rPr>
                <w:rFonts w:hint="eastAsia" w:ascii="宋体" w:hAnsi="宋体" w:eastAsia="宋体" w:cs="宋体"/>
                <w:color w:val="000000"/>
                <w:sz w:val="21"/>
              </w:rPr>
            </w:pPr>
            <w:r>
              <w:rPr>
                <w:rFonts w:hint="eastAsia" w:ascii="宋体" w:hAnsi="宋体" w:eastAsia="宋体" w:cs="宋体"/>
                <w:color w:val="000000"/>
                <w:sz w:val="21"/>
              </w:rPr>
              <w:t>2.2.1</w:t>
            </w:r>
          </w:p>
        </w:tc>
        <w:tc>
          <w:tcPr>
            <w:tcW w:w="1209" w:type="dxa"/>
            <w:vMerge w:val="restart"/>
            <w:vAlign w:val="center"/>
          </w:tcPr>
          <w:p w14:paraId="725E281A">
            <w:pPr>
              <w:pStyle w:val="42"/>
              <w:jc w:val="center"/>
              <w:rPr>
                <w:rFonts w:hint="eastAsia" w:ascii="宋体" w:hAnsi="宋体" w:eastAsia="宋体" w:cs="宋体"/>
                <w:color w:val="000000"/>
                <w:sz w:val="21"/>
              </w:rPr>
            </w:pPr>
            <w:r>
              <w:rPr>
                <w:rFonts w:hint="eastAsia" w:ascii="宋体" w:hAnsi="宋体" w:eastAsia="宋体" w:cs="宋体"/>
                <w:color w:val="000000"/>
                <w:sz w:val="21"/>
              </w:rPr>
              <w:t>技术标评分标准</w:t>
            </w:r>
            <w:r>
              <w:rPr>
                <w:rFonts w:hint="eastAsia" w:ascii="宋体" w:hAnsi="宋体" w:eastAsia="宋体" w:cs="宋体"/>
                <w:color w:val="000000"/>
                <w:sz w:val="21"/>
                <w:szCs w:val="21"/>
              </w:rPr>
              <w:t>（满分</w:t>
            </w:r>
            <w:r>
              <w:rPr>
                <w:rFonts w:hint="eastAsia" w:ascii="宋体" w:hAnsi="宋体" w:eastAsia="宋体" w:cs="宋体"/>
                <w:color w:val="000000"/>
                <w:sz w:val="21"/>
                <w:szCs w:val="21"/>
                <w:lang w:val="en-US" w:eastAsia="zh-CN"/>
              </w:rPr>
              <w:t>60</w:t>
            </w:r>
            <w:r>
              <w:rPr>
                <w:rFonts w:hint="eastAsia" w:ascii="宋体" w:hAnsi="宋体" w:eastAsia="宋体" w:cs="宋体"/>
                <w:color w:val="000000"/>
                <w:sz w:val="21"/>
                <w:szCs w:val="21"/>
              </w:rPr>
              <w:t>分）</w:t>
            </w:r>
          </w:p>
        </w:tc>
        <w:tc>
          <w:tcPr>
            <w:tcW w:w="1444" w:type="dxa"/>
            <w:vAlign w:val="center"/>
          </w:tcPr>
          <w:p w14:paraId="74A1C20A">
            <w:pPr>
              <w:tabs>
                <w:tab w:val="left" w:pos="1080"/>
              </w:tabs>
              <w:spacing w:line="400" w:lineRule="exact"/>
              <w:rPr>
                <w:rFonts w:hint="eastAsia" w:ascii="宋体" w:hAnsi="宋体" w:eastAsia="宋体" w:cs="宋体"/>
                <w:color w:val="auto"/>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项目设计</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p>
        </w:tc>
        <w:tc>
          <w:tcPr>
            <w:tcW w:w="4703" w:type="dxa"/>
            <w:vAlign w:val="top"/>
          </w:tcPr>
          <w:p w14:paraId="37BB4A5F">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1-10</w:t>
            </w:r>
            <w:r>
              <w:rPr>
                <w:rFonts w:hint="eastAsia" w:ascii="宋体" w:hAnsi="宋体" w:eastAsia="宋体" w:cs="宋体"/>
                <w:color w:val="auto"/>
                <w:szCs w:val="21"/>
              </w:rPr>
              <w:t>分)：对项目认识不足，表述不清晰，措施不具体；施工段划分不合理。</w:t>
            </w:r>
          </w:p>
          <w:p w14:paraId="14A9CB03">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11-15</w:t>
            </w:r>
            <w:r>
              <w:rPr>
                <w:rFonts w:hint="eastAsia" w:ascii="宋体" w:hAnsi="宋体" w:eastAsia="宋体" w:cs="宋体"/>
                <w:color w:val="auto"/>
                <w:szCs w:val="21"/>
              </w:rPr>
              <w:t>分)：对项目总体有认识，措施一般但部分不具体：施工段划分较合理，符合规范要求。</w:t>
            </w:r>
          </w:p>
          <w:p w14:paraId="4F324EDE">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16-20</w:t>
            </w:r>
            <w:r>
              <w:rPr>
                <w:rFonts w:hint="eastAsia" w:ascii="宋体" w:hAnsi="宋体" w:eastAsia="宋体" w:cs="宋体"/>
                <w:color w:val="auto"/>
                <w:szCs w:val="21"/>
              </w:rPr>
              <w:t>分)：对项目总体有深刻认识，表述清晰、完整、严谨、合理，措施先进、具体、有效、成熟，采用了已论证的新技术、新工艺、新材料、新设备；施工段划分呼应总体表述，划分清晰、合理，符合规范要求。</w:t>
            </w:r>
          </w:p>
        </w:tc>
      </w:tr>
      <w:tr w14:paraId="18AC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C026C2D">
            <w:pPr>
              <w:pStyle w:val="25"/>
              <w:ind w:firstLine="918"/>
              <w:rPr>
                <w:rFonts w:hint="eastAsia" w:ascii="宋体" w:hAnsi="宋体" w:eastAsia="宋体" w:cs="宋体"/>
                <w:b/>
                <w:color w:val="000000"/>
                <w:lang w:val="en-US" w:eastAsia="zh-CN"/>
              </w:rPr>
            </w:pPr>
          </w:p>
        </w:tc>
        <w:tc>
          <w:tcPr>
            <w:tcW w:w="1209" w:type="dxa"/>
            <w:vMerge w:val="continue"/>
            <w:vAlign w:val="top"/>
          </w:tcPr>
          <w:p w14:paraId="678F3ACC">
            <w:pPr>
              <w:pStyle w:val="25"/>
              <w:ind w:firstLine="810"/>
              <w:rPr>
                <w:rFonts w:hint="eastAsia" w:ascii="宋体" w:hAnsi="宋体" w:eastAsia="宋体" w:cs="宋体"/>
                <w:color w:val="000000"/>
                <w:sz w:val="21"/>
                <w:szCs w:val="24"/>
                <w:lang w:val="en-US" w:eastAsia="zh-CN"/>
              </w:rPr>
            </w:pPr>
          </w:p>
        </w:tc>
        <w:tc>
          <w:tcPr>
            <w:tcW w:w="1444" w:type="dxa"/>
            <w:vAlign w:val="center"/>
          </w:tcPr>
          <w:p w14:paraId="67DE6A84">
            <w:pPr>
              <w:numPr>
                <w:ilvl w:val="0"/>
                <w:numId w:val="0"/>
              </w:numPr>
              <w:tabs>
                <w:tab w:val="left" w:pos="1080"/>
              </w:tabs>
              <w:spacing w:line="36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2、主要施工方法</w:t>
            </w:r>
          </w:p>
          <w:p w14:paraId="155C254D">
            <w:pPr>
              <w:numPr>
                <w:ilvl w:val="0"/>
                <w:numId w:val="0"/>
              </w:numPr>
              <w:tabs>
                <w:tab w:val="left" w:pos="1080"/>
              </w:tabs>
              <w:spacing w:line="36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（满分20分）</w:t>
            </w:r>
          </w:p>
        </w:tc>
        <w:tc>
          <w:tcPr>
            <w:tcW w:w="4703" w:type="dxa"/>
            <w:vAlign w:val="top"/>
          </w:tcPr>
          <w:p w14:paraId="63B8FB88">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1-10</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各主要分部施工方法不够符合项目实际，有施工技术方案，但不够具体；有一定的措施但部分不具体；施工段划分不够合理。</w:t>
            </w:r>
          </w:p>
          <w:p w14:paraId="23528104">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11-15</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各主要分部施工方法符合项目实际，有施工技术方案，工艺、方法合理；措施具体、有效；施工段划分清晰，基本符合规范要求。</w:t>
            </w:r>
          </w:p>
          <w:p w14:paraId="50399C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16-20</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各主要分部施工方法符合项目</w:t>
            </w:r>
          </w:p>
          <w:p w14:paraId="1D15F5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rPr>
              <w:t>实际，有详尽的施工技术方案，方法科学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合理可行；能指导具体施工并确保安全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具体、有效、成熟；施工段划分呼应总体表述，划分清晰、合理，符合规范要求。</w:t>
            </w:r>
          </w:p>
        </w:tc>
      </w:tr>
      <w:tr w14:paraId="0107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3827E5C0">
            <w:pPr>
              <w:pStyle w:val="25"/>
              <w:ind w:firstLine="918"/>
              <w:rPr>
                <w:rFonts w:hint="eastAsia" w:ascii="宋体" w:hAnsi="宋体" w:eastAsia="宋体" w:cs="宋体"/>
                <w:b/>
                <w:color w:val="000000"/>
                <w:lang w:val="en-US" w:eastAsia="zh-CN"/>
              </w:rPr>
            </w:pPr>
          </w:p>
        </w:tc>
        <w:tc>
          <w:tcPr>
            <w:tcW w:w="1209" w:type="dxa"/>
            <w:vMerge w:val="continue"/>
            <w:vAlign w:val="top"/>
          </w:tcPr>
          <w:p w14:paraId="1A6AA9B6">
            <w:pPr>
              <w:pStyle w:val="25"/>
              <w:ind w:firstLine="810"/>
              <w:rPr>
                <w:rFonts w:hint="eastAsia" w:ascii="宋体" w:hAnsi="宋体" w:eastAsia="宋体" w:cs="宋体"/>
                <w:color w:val="000000"/>
                <w:sz w:val="21"/>
                <w:szCs w:val="24"/>
                <w:lang w:val="en-US" w:eastAsia="zh-CN"/>
              </w:rPr>
            </w:pPr>
          </w:p>
        </w:tc>
        <w:tc>
          <w:tcPr>
            <w:tcW w:w="1444" w:type="dxa"/>
            <w:vAlign w:val="center"/>
          </w:tcPr>
          <w:p w14:paraId="4E3209A0">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 w:val="21"/>
                <w:szCs w:val="21"/>
                <w:highlight w:val="none"/>
              </w:rPr>
              <w:t>确保工程质量的技术组织措施</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满分2</w:t>
            </w:r>
            <w:r>
              <w:rPr>
                <w:rFonts w:hint="eastAsia" w:ascii="宋体" w:hAnsi="宋体" w:eastAsia="宋体" w:cs="宋体"/>
                <w:color w:val="auto"/>
                <w:szCs w:val="21"/>
              </w:rPr>
              <w:t>0分）</w:t>
            </w:r>
          </w:p>
        </w:tc>
        <w:tc>
          <w:tcPr>
            <w:tcW w:w="4703" w:type="dxa"/>
            <w:vAlign w:val="top"/>
          </w:tcPr>
          <w:p w14:paraId="48F1C5BF">
            <w:pPr>
              <w:tabs>
                <w:tab w:val="left" w:pos="108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1-10</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有专门的质量技术管理班子和制度，具体措施可行，基本满足招标文件的质量要求，没有质量违约责任承诺。</w:t>
            </w:r>
          </w:p>
          <w:p w14:paraId="7DC0A2B6">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11-15</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有专门的质量技术管理班子和制度，且人员配备合理，制度健全。针对项目实际提出可行技术保证措施和手段、具体的保证措施，满足招标文件的质量要求及施工验收规范要求。</w:t>
            </w:r>
          </w:p>
          <w:p w14:paraId="590530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pacing w:val="89"/>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16-20</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有专门的质量技术管理班子和制度，且人员配备合理，制度健全。主要工序有质量技术提出先进、可行、具体的保证措施保证措施和手段，能有效保证技术质量，达到超过招标文件的质量要求及施工验收规范要求。</w:t>
            </w:r>
          </w:p>
        </w:tc>
      </w:tr>
      <w:tr w14:paraId="65D9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530" w:type="dxa"/>
            <w:vAlign w:val="center"/>
          </w:tcPr>
          <w:p w14:paraId="6DEEFF08">
            <w:pPr>
              <w:tabs>
                <w:tab w:val="left" w:pos="1080"/>
              </w:tabs>
              <w:spacing w:line="320" w:lineRule="exact"/>
              <w:ind w:firstLine="210" w:firstLineChars="100"/>
              <w:jc w:val="center"/>
              <w:rPr>
                <w:rFonts w:hint="eastAsia" w:ascii="宋体" w:hAnsi="宋体" w:eastAsia="宋体" w:cs="宋体"/>
                <w:color w:val="000000"/>
                <w:szCs w:val="21"/>
              </w:rPr>
            </w:pPr>
            <w:r>
              <w:rPr>
                <w:rFonts w:hint="eastAsia" w:ascii="宋体" w:hAnsi="宋体" w:eastAsia="宋体" w:cs="宋体"/>
                <w:color w:val="000000"/>
                <w:szCs w:val="21"/>
              </w:rPr>
              <w:t>2.2.2</w:t>
            </w:r>
          </w:p>
        </w:tc>
        <w:tc>
          <w:tcPr>
            <w:tcW w:w="1209" w:type="dxa"/>
            <w:vAlign w:val="center"/>
          </w:tcPr>
          <w:p w14:paraId="7FCF28A8">
            <w:pPr>
              <w:tabs>
                <w:tab w:val="left" w:pos="1080"/>
              </w:tabs>
              <w:spacing w:line="3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价格标评分标准（满分40分）</w:t>
            </w:r>
          </w:p>
          <w:p w14:paraId="3438318C">
            <w:pPr>
              <w:tabs>
                <w:tab w:val="left" w:pos="1080"/>
              </w:tabs>
              <w:spacing w:line="320" w:lineRule="exact"/>
              <w:rPr>
                <w:rFonts w:hint="eastAsia" w:ascii="宋体" w:hAnsi="宋体" w:eastAsia="宋体" w:cs="宋体"/>
                <w:color w:val="000000"/>
                <w:szCs w:val="21"/>
              </w:rPr>
            </w:pPr>
          </w:p>
        </w:tc>
        <w:tc>
          <w:tcPr>
            <w:tcW w:w="6147" w:type="dxa"/>
            <w:gridSpan w:val="2"/>
            <w:vAlign w:val="center"/>
          </w:tcPr>
          <w:p w14:paraId="349F3088">
            <w:pPr>
              <w:tabs>
                <w:tab w:val="left" w:pos="1080"/>
              </w:tabs>
              <w:spacing w:line="32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）评标基准价的确定：</w:t>
            </w:r>
          </w:p>
          <w:p w14:paraId="465275D9">
            <w:pPr>
              <w:tabs>
                <w:tab w:val="left" w:pos="1080"/>
              </w:tabs>
              <w:spacing w:line="320" w:lineRule="exact"/>
              <w:rPr>
                <w:rFonts w:hint="eastAsia" w:eastAsia="宋体"/>
                <w:lang w:val="en-US" w:eastAsia="zh-CN"/>
              </w:rPr>
            </w:pPr>
            <w:r>
              <w:rPr>
                <w:rFonts w:hint="eastAsia" w:ascii="宋体" w:hAnsi="宋体" w:eastAsia="宋体" w:cs="宋体"/>
                <w:b/>
                <w:color w:val="auto"/>
                <w:szCs w:val="21"/>
              </w:rPr>
              <w:t>1.除初步评审为废标之外，供应商的评标价在招标人设定的招标控制价范围的，参加评标基准价计算，不在此范围内的，不参加评标基准价计算</w:t>
            </w:r>
            <w:r>
              <w:rPr>
                <w:rFonts w:hint="eastAsia" w:ascii="宋体" w:hAnsi="宋体" w:eastAsia="宋体" w:cs="宋体"/>
                <w:b/>
                <w:color w:val="auto"/>
                <w:szCs w:val="21"/>
                <w:lang w:eastAsia="zh-CN"/>
              </w:rPr>
              <w:t>。</w:t>
            </w:r>
          </w:p>
          <w:p w14:paraId="598DC300">
            <w:pPr>
              <w:pStyle w:val="2"/>
              <w:rPr>
                <w:rFonts w:hint="default"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报价得分=（评标基准价/某供应商报价）×</w:t>
            </w:r>
            <w:r>
              <w:rPr>
                <w:rFonts w:hint="eastAsia" w:ascii="宋体" w:hAnsi="宋体" w:eastAsia="宋体" w:cs="宋体"/>
                <w:sz w:val="21"/>
                <w:szCs w:val="21"/>
                <w:lang w:val="en-US" w:eastAsia="zh-CN"/>
              </w:rPr>
              <w:t>40</w:t>
            </w:r>
          </w:p>
          <w:p w14:paraId="32131789">
            <w:pPr>
              <w:pStyle w:val="42"/>
              <w:rPr>
                <w:rFonts w:hint="eastAsia" w:ascii="宋体" w:hAnsi="宋体" w:eastAsia="宋体" w:cs="宋体"/>
                <w:color w:val="auto"/>
                <w:spacing w:val="89"/>
                <w:sz w:val="21"/>
              </w:rPr>
            </w:pPr>
            <w:r>
              <w:rPr>
                <w:rFonts w:hint="eastAsia" w:ascii="宋体" w:hAnsi="宋体" w:eastAsia="宋体" w:cs="宋体"/>
                <w:bCs/>
                <w:color w:val="auto"/>
                <w:sz w:val="21"/>
                <w:szCs w:val="21"/>
                <w:lang w:val="en-US" w:eastAsia="zh-CN"/>
              </w:rPr>
              <w:t>注：评标基准价是指经评审的最低报价</w:t>
            </w:r>
          </w:p>
        </w:tc>
      </w:tr>
    </w:tbl>
    <w:p w14:paraId="5CFE4E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p>
    <w:p w14:paraId="4CD92D64">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14:paraId="41CD231B">
      <w:pPr>
        <w:rPr>
          <w:rFonts w:hint="eastAsia"/>
          <w:lang w:val="en-US" w:eastAsia="zh-CN"/>
        </w:rPr>
      </w:pPr>
    </w:p>
    <w:p w14:paraId="516B1D5F">
      <w:pPr>
        <w:rPr>
          <w:rFonts w:hint="eastAsia"/>
          <w:lang w:val="en-US" w:eastAsia="zh-CN"/>
        </w:rPr>
      </w:pPr>
    </w:p>
    <w:p w14:paraId="551EECD4">
      <w:pPr>
        <w:rPr>
          <w:rFonts w:hint="eastAsia" w:ascii="宋体" w:hAnsi="宋体" w:eastAsia="宋体" w:cs="宋体"/>
          <w:b/>
          <w:bCs/>
          <w:sz w:val="32"/>
          <w:szCs w:val="32"/>
          <w:lang w:val="en-US" w:eastAsia="zh-CN"/>
        </w:rPr>
      </w:pPr>
    </w:p>
    <w:p w14:paraId="619FFD8F">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E6125DB">
      <w:pPr>
        <w:rPr>
          <w:rFonts w:hint="eastAsia" w:ascii="宋体" w:hAnsi="宋体" w:eastAsia="宋体" w:cs="宋体"/>
          <w:b/>
          <w:bCs/>
          <w:sz w:val="32"/>
          <w:szCs w:val="32"/>
          <w:lang w:val="en-US" w:eastAsia="zh-CN"/>
        </w:rPr>
      </w:pPr>
    </w:p>
    <w:p w14:paraId="0FDAEB24">
      <w:pPr>
        <w:rPr>
          <w:rFonts w:hint="eastAsia" w:ascii="宋体" w:hAnsi="宋体" w:eastAsia="宋体" w:cs="宋体"/>
          <w:b/>
          <w:bCs/>
          <w:sz w:val="32"/>
          <w:szCs w:val="32"/>
          <w:lang w:val="en-US" w:eastAsia="zh-CN"/>
        </w:rPr>
      </w:pPr>
    </w:p>
    <w:p w14:paraId="6AC0FB5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092B4047">
      <w:pPr>
        <w:rPr>
          <w:rFonts w:hint="eastAsia" w:ascii="宋体" w:hAnsi="宋体" w:eastAsia="宋体" w:cs="宋体"/>
          <w:b w:val="0"/>
          <w:bCs w:val="0"/>
          <w:sz w:val="32"/>
          <w:szCs w:val="32"/>
          <w:lang w:val="en-US" w:eastAsia="zh-CN"/>
        </w:rPr>
      </w:pPr>
    </w:p>
    <w:p w14:paraId="6601926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2C4C2AE7">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05C7F31E">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7363219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2881BAE8">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4BAA649A">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C8EAD84">
      <w:pPr>
        <w:rPr>
          <w:rFonts w:hint="eastAsia"/>
          <w:lang w:val="en-US" w:eastAsia="zh-CN"/>
        </w:rPr>
      </w:pPr>
      <w:r>
        <w:rPr>
          <w:rFonts w:hint="eastAsia"/>
          <w:lang w:val="en-US" w:eastAsia="zh-CN"/>
        </w:rPr>
        <w:br w:type="page"/>
      </w:r>
    </w:p>
    <w:p w14:paraId="53979A8A">
      <w:pPr>
        <w:spacing w:line="360" w:lineRule="auto"/>
        <w:rPr>
          <w:rFonts w:hint="eastAsia" w:ascii="宋体" w:hAnsi="宋体" w:eastAsia="宋体" w:cs="宋体"/>
          <w:b w:val="0"/>
          <w:bCs w:val="0"/>
          <w:sz w:val="32"/>
          <w:szCs w:val="32"/>
        </w:rPr>
      </w:pPr>
      <w:bookmarkStart w:id="19" w:name="_Toc31728084"/>
      <w:bookmarkStart w:id="20" w:name="_Toc30694"/>
      <w:bookmarkStart w:id="21" w:name="_Toc44229899"/>
      <w:bookmarkStart w:id="22" w:name="_Toc35611438"/>
      <w:bookmarkStart w:id="23" w:name="_Toc35611516"/>
      <w:bookmarkStart w:id="24" w:name="_Toc31723070"/>
      <w:r>
        <w:rPr>
          <w:rFonts w:hint="eastAsia" w:ascii="宋体" w:hAnsi="宋体" w:eastAsia="宋体" w:cs="宋体"/>
          <w:b w:val="0"/>
          <w:bCs w:val="0"/>
          <w:sz w:val="32"/>
          <w:szCs w:val="32"/>
        </w:rPr>
        <w:t>一、资格证明文件格式</w:t>
      </w:r>
      <w:bookmarkEnd w:id="19"/>
      <w:bookmarkEnd w:id="20"/>
      <w:bookmarkEnd w:id="21"/>
      <w:bookmarkEnd w:id="22"/>
      <w:bookmarkEnd w:id="23"/>
      <w:bookmarkEnd w:id="24"/>
    </w:p>
    <w:p w14:paraId="755A6A3A">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06E987BA">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72671D8">
      <w:pPr>
        <w:snapToGrid w:val="0"/>
        <w:spacing w:before="120" w:beforeLines="50" w:after="50" w:line="360" w:lineRule="auto"/>
        <w:rPr>
          <w:rFonts w:hint="eastAsia" w:ascii="宋体" w:hAnsi="宋体" w:eastAsia="宋体" w:cs="宋体"/>
          <w:sz w:val="32"/>
          <w:szCs w:val="32"/>
        </w:rPr>
      </w:pPr>
    </w:p>
    <w:p w14:paraId="699A90D6">
      <w:pPr>
        <w:snapToGrid w:val="0"/>
        <w:spacing w:before="120" w:beforeLines="50" w:after="50" w:line="360" w:lineRule="auto"/>
        <w:rPr>
          <w:rFonts w:hint="eastAsia" w:ascii="宋体" w:hAnsi="宋体" w:eastAsia="宋体" w:cs="宋体"/>
          <w:sz w:val="32"/>
          <w:szCs w:val="32"/>
        </w:rPr>
      </w:pPr>
    </w:p>
    <w:p w14:paraId="00874A3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32814E64">
      <w:pPr>
        <w:snapToGrid w:val="0"/>
        <w:spacing w:before="120" w:beforeLines="50" w:after="50" w:line="360" w:lineRule="auto"/>
        <w:rPr>
          <w:rFonts w:hint="eastAsia" w:ascii="宋体" w:hAnsi="宋体" w:eastAsia="宋体" w:cs="宋体"/>
          <w:bCs/>
          <w:sz w:val="32"/>
          <w:szCs w:val="32"/>
        </w:rPr>
      </w:pPr>
    </w:p>
    <w:p w14:paraId="1478D520">
      <w:pPr>
        <w:snapToGrid w:val="0"/>
        <w:spacing w:before="120" w:beforeLines="50" w:after="50" w:line="360" w:lineRule="auto"/>
        <w:rPr>
          <w:rFonts w:hint="eastAsia" w:ascii="宋体" w:hAnsi="宋体" w:eastAsia="宋体" w:cs="宋体"/>
          <w:bCs/>
          <w:sz w:val="32"/>
          <w:szCs w:val="32"/>
        </w:rPr>
      </w:pPr>
    </w:p>
    <w:p w14:paraId="70AFF9A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6B1C084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442211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44F984E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E13DC50">
      <w:pPr>
        <w:pStyle w:val="7"/>
        <w:snapToGrid w:val="0"/>
        <w:spacing w:before="50" w:after="50" w:line="360" w:lineRule="auto"/>
        <w:ind w:firstLine="1280" w:firstLineChars="400"/>
        <w:rPr>
          <w:rFonts w:hint="eastAsia" w:ascii="宋体" w:hAnsi="宋体" w:eastAsia="宋体" w:cs="宋体"/>
          <w:bCs/>
          <w:sz w:val="32"/>
          <w:szCs w:val="32"/>
        </w:rPr>
      </w:pPr>
    </w:p>
    <w:p w14:paraId="105CF5B3">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2B2E534E">
      <w:pPr>
        <w:rPr>
          <w:rFonts w:hint="eastAsia" w:ascii="宋体" w:hAnsi="宋体" w:eastAsia="宋体" w:cs="宋体"/>
          <w:sz w:val="32"/>
          <w:szCs w:val="32"/>
        </w:rPr>
      </w:pPr>
      <w:r>
        <w:rPr>
          <w:rFonts w:hint="eastAsia" w:ascii="宋体" w:hAnsi="宋体" w:eastAsia="宋体" w:cs="宋体"/>
          <w:sz w:val="32"/>
          <w:szCs w:val="32"/>
        </w:rPr>
        <w:br w:type="page"/>
      </w:r>
    </w:p>
    <w:p w14:paraId="6FE21557">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1B38945F">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14:paraId="3896E14E">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3B92DDDA">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7909897C">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04E4F93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45A9023E">
      <w:pPr>
        <w:rPr>
          <w:rFonts w:hint="eastAsia" w:ascii="宋体" w:hAnsi="宋体" w:eastAsia="宋体" w:cs="宋体"/>
          <w:b/>
          <w:bCs/>
          <w:sz w:val="32"/>
          <w:szCs w:val="32"/>
          <w:lang w:val="en-US" w:eastAsia="zh-CN"/>
        </w:rPr>
      </w:pPr>
    </w:p>
    <w:p w14:paraId="247A9F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1F1307F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7F408A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1DCA22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23644B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69E831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37EE32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1222EC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7862A2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5E8D77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2C5281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6786FC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7EA88B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1D16A3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48AFD7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62A9C3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2861DB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1092EE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7FBC67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12C3FC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61D43D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61314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5752F1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AE2A9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024CE5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2157DD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355A0C67">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1EA59375">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01265BB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4BE2D83D">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7EC3BB1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07CD64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1586C9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43D09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502539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104D8B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4706E1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0DE6FD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32F925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1FA75943">
      <w:pPr>
        <w:pStyle w:val="6"/>
        <w:rPr>
          <w:rFonts w:hint="eastAsia"/>
          <w:color w:val="000000" w:themeColor="text1"/>
          <w:sz w:val="28"/>
          <w:szCs w:val="28"/>
          <w14:textFill>
            <w14:solidFill>
              <w14:schemeClr w14:val="tx1"/>
            </w14:solidFill>
          </w14:textFill>
        </w:rPr>
      </w:pPr>
    </w:p>
    <w:p w14:paraId="57B0A5DD">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26FBB10C">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E548B21">
      <w:pPr>
        <w:pStyle w:val="6"/>
        <w:rPr>
          <w:rFonts w:hint="eastAsia"/>
        </w:rPr>
      </w:pPr>
    </w:p>
    <w:p w14:paraId="796F92E4">
      <w:pPr>
        <w:pStyle w:val="6"/>
        <w:rPr>
          <w:rFonts w:hint="eastAsia"/>
        </w:rPr>
      </w:pPr>
    </w:p>
    <w:p w14:paraId="43031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739B1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0A7FBBE9">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78FA40E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37941F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0B94E7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134A87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01ED2B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59A45D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555418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482079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6B3DF7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13A410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3ED873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5FCD03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B253D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59B89A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3B3E8712">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0B291ED5">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4AEE52BB">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0E9C59A2">
      <w:pPr>
        <w:snapToGrid w:val="0"/>
        <w:spacing w:before="120" w:beforeLines="50" w:after="50" w:line="360" w:lineRule="auto"/>
        <w:rPr>
          <w:rFonts w:hint="eastAsia" w:ascii="宋体" w:hAnsi="宋体" w:eastAsia="宋体" w:cs="宋体"/>
          <w:sz w:val="32"/>
          <w:szCs w:val="32"/>
        </w:rPr>
      </w:pPr>
    </w:p>
    <w:p w14:paraId="758F8A15">
      <w:pPr>
        <w:snapToGrid w:val="0"/>
        <w:spacing w:before="120" w:beforeLines="50" w:after="50" w:line="360" w:lineRule="auto"/>
        <w:rPr>
          <w:rFonts w:hint="eastAsia" w:ascii="宋体" w:hAnsi="宋体" w:eastAsia="宋体" w:cs="宋体"/>
          <w:sz w:val="32"/>
          <w:szCs w:val="32"/>
        </w:rPr>
      </w:pPr>
    </w:p>
    <w:p w14:paraId="4C85266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3E5083B5">
      <w:pPr>
        <w:snapToGrid w:val="0"/>
        <w:spacing w:before="120" w:beforeLines="50" w:after="50" w:line="360" w:lineRule="auto"/>
        <w:rPr>
          <w:rFonts w:hint="eastAsia" w:ascii="宋体" w:hAnsi="宋体" w:eastAsia="宋体" w:cs="宋体"/>
          <w:bCs/>
          <w:sz w:val="32"/>
          <w:szCs w:val="32"/>
        </w:rPr>
      </w:pPr>
    </w:p>
    <w:p w14:paraId="6B0ABCFE">
      <w:pPr>
        <w:snapToGrid w:val="0"/>
        <w:spacing w:before="120" w:beforeLines="50" w:after="50" w:line="360" w:lineRule="auto"/>
        <w:rPr>
          <w:rFonts w:hint="eastAsia" w:ascii="宋体" w:hAnsi="宋体" w:eastAsia="宋体" w:cs="宋体"/>
          <w:bCs/>
          <w:sz w:val="32"/>
          <w:szCs w:val="32"/>
        </w:rPr>
      </w:pPr>
    </w:p>
    <w:p w14:paraId="38D221A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7ECAFBB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550EA7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4FFEFDBF">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09F32769">
      <w:pPr>
        <w:pStyle w:val="7"/>
        <w:snapToGrid w:val="0"/>
        <w:spacing w:before="50" w:after="50" w:line="360" w:lineRule="auto"/>
        <w:ind w:firstLine="1280" w:firstLineChars="400"/>
        <w:rPr>
          <w:rFonts w:hint="eastAsia" w:ascii="宋体" w:hAnsi="宋体" w:eastAsia="宋体" w:cs="宋体"/>
          <w:bCs/>
          <w:sz w:val="32"/>
          <w:szCs w:val="32"/>
        </w:rPr>
      </w:pPr>
    </w:p>
    <w:p w14:paraId="69A45A16">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AFADE4E">
      <w:pPr>
        <w:rPr>
          <w:rFonts w:hint="eastAsia"/>
          <w:lang w:val="en-US" w:eastAsia="zh-CN"/>
        </w:rPr>
      </w:pPr>
      <w:r>
        <w:rPr>
          <w:rFonts w:hint="eastAsia" w:ascii="宋体" w:hAnsi="宋体" w:eastAsia="宋体" w:cs="宋体"/>
          <w:sz w:val="32"/>
          <w:szCs w:val="32"/>
        </w:rPr>
        <w:br w:type="page"/>
      </w:r>
    </w:p>
    <w:p w14:paraId="207DE7A2">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2EF18359">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545FF3B5">
      <w:pPr>
        <w:rPr>
          <w:rFonts w:hint="eastAsia"/>
          <w:lang w:val="en-US" w:eastAsia="zh-CN"/>
        </w:rPr>
      </w:pPr>
      <w:r>
        <w:rPr>
          <w:rFonts w:hint="eastAsia" w:ascii="宋体" w:hAnsi="宋体" w:eastAsia="宋体" w:cs="宋体"/>
          <w:b w:val="0"/>
          <w:bCs w:val="0"/>
          <w:sz w:val="32"/>
          <w:szCs w:val="32"/>
          <w:lang w:val="en-US" w:eastAsia="zh-CN"/>
        </w:rPr>
        <w:br w:type="page"/>
      </w:r>
    </w:p>
    <w:p w14:paraId="400FF8D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598C288E">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蚂蚁洋货第七届中国国际进口博览会展位设计及搭建工程</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5"/>
        <w:gridCol w:w="2"/>
      </w:tblGrid>
      <w:tr w14:paraId="5B4F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02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（报价内容）</w:t>
            </w:r>
          </w:p>
        </w:tc>
      </w:tr>
      <w:tr w14:paraId="4A5E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299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bCs w:val="0"/>
                <w:color w:val="auto"/>
                <w:kern w:val="0"/>
                <w:sz w:val="24"/>
                <w:szCs w:val="24"/>
                <w:highlight w:val="none"/>
                <w:u w:val="none"/>
                <w:lang w:val="en-US" w:eastAsia="zh-CN" w:bidi="ar"/>
              </w:rPr>
              <w:t>本</w:t>
            </w:r>
            <w:r>
              <w:rPr>
                <w:rFonts w:hint="eastAsia" w:ascii="宋体" w:hAnsi="宋体" w:eastAsia="宋体" w:cs="宋体"/>
                <w:bCs w:val="0"/>
                <w:color w:val="auto"/>
                <w:kern w:val="0"/>
                <w:sz w:val="24"/>
                <w:szCs w:val="24"/>
                <w:highlight w:val="none"/>
                <w:u w:val="none"/>
                <w:lang w:bidi="ar"/>
              </w:rPr>
              <w:t>报价</w:t>
            </w:r>
            <w:r>
              <w:rPr>
                <w:rFonts w:hint="eastAsia" w:ascii="宋体" w:hAnsi="宋体" w:eastAsia="宋体" w:cs="宋体"/>
                <w:bCs w:val="0"/>
                <w:color w:val="auto"/>
                <w:kern w:val="0"/>
                <w:sz w:val="24"/>
                <w:szCs w:val="24"/>
                <w:highlight w:val="none"/>
                <w:u w:val="none"/>
                <w:lang w:val="en-US" w:eastAsia="zh-CN" w:bidi="ar"/>
              </w:rPr>
              <w:t>包</w:t>
            </w:r>
            <w:r>
              <w:rPr>
                <w:rFonts w:hint="eastAsia" w:ascii="宋体" w:hAnsi="宋体" w:eastAsia="宋体" w:cs="宋体"/>
                <w:bCs w:val="0"/>
                <w:color w:val="auto"/>
                <w:kern w:val="0"/>
                <w:sz w:val="24"/>
                <w:szCs w:val="24"/>
                <w:highlight w:val="none"/>
                <w:u w:val="none"/>
                <w:lang w:bidi="ar"/>
              </w:rPr>
              <w:t>含以下部分：</w:t>
            </w:r>
          </w:p>
          <w:p w14:paraId="79093842">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1.本次提供的报价需涵盖展位设计、搭建及用料、撤展等各项费用，并需逐项列出；</w:t>
            </w:r>
          </w:p>
          <w:p w14:paraId="372581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 w:val="24"/>
                <w:szCs w:val="24"/>
                <w:highlight w:val="none"/>
                <w:lang w:val="en-US" w:eastAsia="zh-CN"/>
              </w:rPr>
              <w:t>2.需税价分离，总数为含税报价，提供合规等额增值税专用发票。</w:t>
            </w:r>
          </w:p>
        </w:tc>
      </w:tr>
    </w:tbl>
    <w:p w14:paraId="5638C1F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78196DD8">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5B1078E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22A38D46">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2FF934A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510A6CC3">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蚂蚁洋货第七届中国国际进口博览会展位设计及搭建工程</w:t>
      </w:r>
      <w:r>
        <w:rPr>
          <w:rFonts w:hint="eastAsia" w:ascii="宋体" w:hAnsi="宋体" w:eastAsia="宋体" w:cs="宋体"/>
          <w:b w:val="0"/>
          <w:bCs w:val="0"/>
          <w:sz w:val="28"/>
          <w:szCs w:val="28"/>
          <w:lang w:val="en-US" w:eastAsia="zh-CN"/>
        </w:rPr>
        <w:t xml:space="preserve"> </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35"/>
        <w:gridCol w:w="2857"/>
        <w:gridCol w:w="2674"/>
        <w:gridCol w:w="1207"/>
      </w:tblGrid>
      <w:tr w14:paraId="49C4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5" w:type="dxa"/>
            <w:vAlign w:val="center"/>
          </w:tcPr>
          <w:p w14:paraId="3434F4F0">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735" w:type="dxa"/>
            <w:vAlign w:val="center"/>
          </w:tcPr>
          <w:p w14:paraId="6B0FC6CF">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内容名称</w:t>
            </w:r>
          </w:p>
        </w:tc>
        <w:tc>
          <w:tcPr>
            <w:tcW w:w="2857" w:type="dxa"/>
            <w:vAlign w:val="center"/>
          </w:tcPr>
          <w:p w14:paraId="5C1556EF">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竞争性磋商</w:t>
            </w:r>
            <w:r>
              <w:rPr>
                <w:rFonts w:hint="eastAsia" w:ascii="宋体" w:hAnsi="宋体" w:eastAsia="宋体" w:cs="宋体"/>
                <w:b/>
                <w:bCs/>
                <w:sz w:val="18"/>
                <w:szCs w:val="18"/>
              </w:rPr>
              <w:t>文件商务要求</w:t>
            </w:r>
          </w:p>
        </w:tc>
        <w:tc>
          <w:tcPr>
            <w:tcW w:w="2674" w:type="dxa"/>
            <w:vAlign w:val="center"/>
          </w:tcPr>
          <w:p w14:paraId="1BBE8FBF">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供应商的承诺</w:t>
            </w:r>
          </w:p>
        </w:tc>
        <w:tc>
          <w:tcPr>
            <w:tcW w:w="1207" w:type="dxa"/>
            <w:vAlign w:val="center"/>
          </w:tcPr>
          <w:p w14:paraId="28612D7E">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偏离说明</w:t>
            </w:r>
          </w:p>
        </w:tc>
      </w:tr>
      <w:tr w14:paraId="5C1F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14:paraId="7A3A5D4D">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735" w:type="dxa"/>
            <w:vAlign w:val="center"/>
          </w:tcPr>
          <w:p w14:paraId="089220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rPr>
            </w:pPr>
            <w:r>
              <w:rPr>
                <w:rFonts w:hint="eastAsia" w:ascii="宋体" w:hAnsi="宋体" w:eastAsia="宋体" w:cs="宋体"/>
                <w:b w:val="0"/>
                <w:bCs w:val="0"/>
                <w:i w:val="0"/>
                <w:iCs w:val="0"/>
                <w:color w:val="auto"/>
                <w:kern w:val="0"/>
                <w:sz w:val="18"/>
                <w:szCs w:val="18"/>
                <w:highlight w:val="none"/>
                <w:u w:val="none"/>
                <w:lang w:val="en-US" w:eastAsia="zh-CN" w:bidi="ar"/>
              </w:rPr>
              <w:t>交付及撤展期</w:t>
            </w:r>
          </w:p>
        </w:tc>
        <w:tc>
          <w:tcPr>
            <w:tcW w:w="2857" w:type="dxa"/>
            <w:vAlign w:val="center"/>
          </w:tcPr>
          <w:p w14:paraId="25073A00">
            <w:pPr>
              <w:numPr>
                <w:ilvl w:val="0"/>
                <w:numId w:val="0"/>
              </w:numPr>
              <w:spacing w:line="360" w:lineRule="auto"/>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1.交付使用期：2024年11月3日前完成展位设计、展位搭建；</w:t>
            </w:r>
          </w:p>
          <w:p w14:paraId="2DC55AB7">
            <w:pPr>
              <w:numPr>
                <w:ilvl w:val="0"/>
                <w:numId w:val="0"/>
              </w:numPr>
              <w:spacing w:line="360" w:lineRule="auto"/>
              <w:jc w:val="left"/>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2.撤展期：2024年11月12日20：00前完成撤展。</w:t>
            </w:r>
          </w:p>
        </w:tc>
        <w:tc>
          <w:tcPr>
            <w:tcW w:w="2674" w:type="dxa"/>
            <w:vAlign w:val="center"/>
          </w:tcPr>
          <w:p w14:paraId="6526B496">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78501CF">
            <w:pPr>
              <w:snapToGrid w:val="0"/>
              <w:spacing w:before="120" w:beforeLines="50" w:line="360" w:lineRule="auto"/>
              <w:jc w:val="center"/>
              <w:rPr>
                <w:rFonts w:hint="eastAsia" w:ascii="宋体" w:hAnsi="宋体" w:eastAsia="宋体" w:cs="宋体"/>
                <w:sz w:val="18"/>
                <w:szCs w:val="18"/>
              </w:rPr>
            </w:pPr>
          </w:p>
        </w:tc>
      </w:tr>
      <w:tr w14:paraId="7D8C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14:paraId="34FD8BB0">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735" w:type="dxa"/>
            <w:vAlign w:val="center"/>
          </w:tcPr>
          <w:p w14:paraId="6CD707D9">
            <w:pPr>
              <w:widowControl/>
              <w:adjustRightInd w:val="0"/>
              <w:snapToGrid w:val="0"/>
              <w:spacing w:line="240" w:lineRule="auto"/>
              <w:jc w:val="center"/>
              <w:rPr>
                <w:rFonts w:hint="eastAsia" w:ascii="宋体" w:hAnsi="宋体" w:eastAsia="宋体" w:cs="宋体"/>
                <w:b w:val="0"/>
                <w:bCs w:val="0"/>
                <w:sz w:val="18"/>
                <w:szCs w:val="18"/>
              </w:rPr>
            </w:pPr>
            <w:r>
              <w:rPr>
                <w:rFonts w:hint="eastAsia" w:ascii="宋体" w:hAnsi="宋体" w:eastAsia="宋体" w:cs="宋体"/>
                <w:b w:val="0"/>
                <w:bCs w:val="0"/>
                <w:color w:val="auto"/>
                <w:sz w:val="18"/>
                <w:szCs w:val="18"/>
                <w:highlight w:val="none"/>
              </w:rPr>
              <w:t>报价要求</w:t>
            </w:r>
          </w:p>
        </w:tc>
        <w:tc>
          <w:tcPr>
            <w:tcW w:w="2857" w:type="dxa"/>
            <w:vAlign w:val="center"/>
          </w:tcPr>
          <w:p w14:paraId="22678AB9">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1.本次提供的报价需涵盖展位设计、搭建及用料、撤展等各项费用；2.需为含税报价，提供合规等额增值税专用发票。</w:t>
            </w:r>
          </w:p>
        </w:tc>
        <w:tc>
          <w:tcPr>
            <w:tcW w:w="2674" w:type="dxa"/>
            <w:vAlign w:val="center"/>
          </w:tcPr>
          <w:p w14:paraId="19D2EF06">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A45BB29">
            <w:pPr>
              <w:snapToGrid w:val="0"/>
              <w:spacing w:before="120" w:beforeLines="50" w:line="360" w:lineRule="auto"/>
              <w:jc w:val="center"/>
              <w:rPr>
                <w:rFonts w:hint="eastAsia" w:ascii="宋体" w:hAnsi="宋体" w:eastAsia="宋体" w:cs="宋体"/>
                <w:sz w:val="18"/>
                <w:szCs w:val="18"/>
              </w:rPr>
            </w:pPr>
          </w:p>
        </w:tc>
      </w:tr>
      <w:tr w14:paraId="1B56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14:paraId="41FE3D18">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735" w:type="dxa"/>
            <w:vMerge w:val="restart"/>
            <w:vAlign w:val="center"/>
          </w:tcPr>
          <w:p w14:paraId="7F0CD1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项目执行要求</w:t>
            </w:r>
          </w:p>
        </w:tc>
        <w:tc>
          <w:tcPr>
            <w:tcW w:w="2857" w:type="dxa"/>
            <w:vAlign w:val="center"/>
          </w:tcPr>
          <w:p w14:paraId="4696EFBD">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根据采购人需求、结合《第七届中国国际进口博览会参展商手册》要求完成本次展位设计、搭建布展、撤展工作；</w:t>
            </w:r>
          </w:p>
        </w:tc>
        <w:tc>
          <w:tcPr>
            <w:tcW w:w="2674" w:type="dxa"/>
            <w:vAlign w:val="center"/>
          </w:tcPr>
          <w:p w14:paraId="6EEDA23D">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6EE51D0">
            <w:pPr>
              <w:snapToGrid w:val="0"/>
              <w:spacing w:before="120" w:beforeLines="50" w:line="360" w:lineRule="auto"/>
              <w:jc w:val="center"/>
              <w:rPr>
                <w:rFonts w:hint="eastAsia" w:ascii="宋体" w:hAnsi="宋体" w:eastAsia="宋体" w:cs="宋体"/>
                <w:sz w:val="18"/>
                <w:szCs w:val="18"/>
              </w:rPr>
            </w:pPr>
          </w:p>
        </w:tc>
      </w:tr>
      <w:tr w14:paraId="7C2D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5" w:type="dxa"/>
            <w:vAlign w:val="center"/>
          </w:tcPr>
          <w:p w14:paraId="7C459ED6">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735" w:type="dxa"/>
            <w:vMerge w:val="continue"/>
            <w:vAlign w:val="center"/>
          </w:tcPr>
          <w:p w14:paraId="1C54C5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37D1C0AE">
            <w:pPr>
              <w:snapToGrid w:val="0"/>
              <w:spacing w:before="120" w:beforeLines="50" w:line="360" w:lineRule="auto"/>
              <w:jc w:val="both"/>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积极配合采购人的工作；</w:t>
            </w:r>
          </w:p>
        </w:tc>
        <w:tc>
          <w:tcPr>
            <w:tcW w:w="2674" w:type="dxa"/>
            <w:vAlign w:val="center"/>
          </w:tcPr>
          <w:p w14:paraId="08E451BF">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6DE228F8">
            <w:pPr>
              <w:snapToGrid w:val="0"/>
              <w:spacing w:before="120" w:beforeLines="50" w:line="360" w:lineRule="auto"/>
              <w:jc w:val="center"/>
              <w:rPr>
                <w:rFonts w:hint="eastAsia" w:ascii="宋体" w:hAnsi="宋体" w:eastAsia="宋体" w:cs="宋体"/>
                <w:sz w:val="18"/>
                <w:szCs w:val="18"/>
              </w:rPr>
            </w:pPr>
          </w:p>
        </w:tc>
      </w:tr>
      <w:tr w14:paraId="7089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5" w:type="dxa"/>
            <w:vAlign w:val="center"/>
          </w:tcPr>
          <w:p w14:paraId="6C8DD38E">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735" w:type="dxa"/>
            <w:vMerge w:val="continue"/>
            <w:vAlign w:val="center"/>
          </w:tcPr>
          <w:p w14:paraId="2FEF1F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2A3629AC">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认真贯彻执行参展手册内各项要求和规定，做到文明施工、安全、保质保量如期完成施工任务。</w:t>
            </w:r>
          </w:p>
        </w:tc>
        <w:tc>
          <w:tcPr>
            <w:tcW w:w="2674" w:type="dxa"/>
            <w:vAlign w:val="center"/>
          </w:tcPr>
          <w:p w14:paraId="2189CC55">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4A8AE6D7">
            <w:pPr>
              <w:snapToGrid w:val="0"/>
              <w:spacing w:before="120" w:beforeLines="50" w:line="360" w:lineRule="auto"/>
              <w:jc w:val="center"/>
              <w:rPr>
                <w:rFonts w:hint="eastAsia" w:ascii="宋体" w:hAnsi="宋体" w:eastAsia="宋体" w:cs="宋体"/>
                <w:sz w:val="18"/>
                <w:szCs w:val="18"/>
              </w:rPr>
            </w:pPr>
          </w:p>
        </w:tc>
      </w:tr>
      <w:tr w14:paraId="16B9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25" w:type="dxa"/>
            <w:vAlign w:val="center"/>
          </w:tcPr>
          <w:p w14:paraId="68CDAC74">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735" w:type="dxa"/>
            <w:vMerge w:val="continue"/>
            <w:vAlign w:val="center"/>
          </w:tcPr>
          <w:p w14:paraId="494312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3D6D3F41">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必须严格按照相关法规条文施工作业，注意环保要求：控制噪声，避免不安全因素发生。</w:t>
            </w:r>
          </w:p>
        </w:tc>
        <w:tc>
          <w:tcPr>
            <w:tcW w:w="2674" w:type="dxa"/>
            <w:vAlign w:val="center"/>
          </w:tcPr>
          <w:p w14:paraId="5CEBB558">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3163751B">
            <w:pPr>
              <w:snapToGrid w:val="0"/>
              <w:spacing w:before="120" w:beforeLines="50" w:line="360" w:lineRule="auto"/>
              <w:jc w:val="center"/>
              <w:rPr>
                <w:rFonts w:hint="eastAsia" w:ascii="宋体" w:hAnsi="宋体" w:eastAsia="宋体" w:cs="宋体"/>
                <w:sz w:val="18"/>
                <w:szCs w:val="18"/>
              </w:rPr>
            </w:pPr>
          </w:p>
        </w:tc>
      </w:tr>
      <w:tr w14:paraId="6646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725" w:type="dxa"/>
            <w:vAlign w:val="center"/>
          </w:tcPr>
          <w:p w14:paraId="36E2008F">
            <w:pPr>
              <w:snapToGrid w:val="0"/>
              <w:spacing w:before="120" w:beforeLines="50"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p>
        </w:tc>
        <w:tc>
          <w:tcPr>
            <w:tcW w:w="1735" w:type="dxa"/>
            <w:vMerge w:val="continue"/>
            <w:vAlign w:val="center"/>
          </w:tcPr>
          <w:p w14:paraId="3DF8C2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lang w:val="en-US" w:eastAsia="zh-CN"/>
              </w:rPr>
            </w:pPr>
          </w:p>
        </w:tc>
        <w:tc>
          <w:tcPr>
            <w:tcW w:w="2857" w:type="dxa"/>
            <w:vAlign w:val="center"/>
          </w:tcPr>
          <w:p w14:paraId="2D9EB9A9">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保证施工安全作业，加强对施工人员的安全教育及防范措施,确保施工中万无一失; 并负责其施工人员的安全保险</w:t>
            </w:r>
            <w:r>
              <w:rPr>
                <w:rFonts w:hint="default"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lang w:val="en-US" w:eastAsia="zh-Hans"/>
              </w:rPr>
              <w:t>施工过程中</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因</w:t>
            </w:r>
            <w:r>
              <w:rPr>
                <w:rFonts w:hint="eastAsia" w:ascii="宋体" w:hAnsi="宋体" w:eastAsia="宋体" w:cs="宋体"/>
                <w:bCs/>
                <w:color w:val="auto"/>
                <w:sz w:val="18"/>
                <w:szCs w:val="18"/>
                <w:highlight w:val="none"/>
                <w:lang w:val="en-US" w:eastAsia="zh-CN"/>
              </w:rPr>
              <w:t>施工方</w:t>
            </w:r>
            <w:r>
              <w:rPr>
                <w:rFonts w:hint="eastAsia" w:ascii="宋体" w:hAnsi="宋体" w:eastAsia="宋体" w:cs="宋体"/>
                <w:bCs/>
                <w:color w:val="auto"/>
                <w:sz w:val="18"/>
                <w:szCs w:val="18"/>
                <w:highlight w:val="none"/>
                <w:lang w:val="en-US" w:eastAsia="zh-Hans"/>
              </w:rPr>
              <w:t>施工产生的任何人员</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财产损害</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均由</w:t>
            </w:r>
            <w:r>
              <w:rPr>
                <w:rFonts w:hint="eastAsia" w:ascii="宋体" w:hAnsi="宋体" w:eastAsia="宋体" w:cs="宋体"/>
                <w:bCs/>
                <w:color w:val="auto"/>
                <w:sz w:val="18"/>
                <w:szCs w:val="18"/>
                <w:highlight w:val="none"/>
                <w:lang w:val="en-US" w:eastAsia="zh-CN"/>
              </w:rPr>
              <w:t>供应商</w:t>
            </w:r>
            <w:r>
              <w:rPr>
                <w:rFonts w:hint="eastAsia" w:ascii="宋体" w:hAnsi="宋体" w:eastAsia="宋体" w:cs="宋体"/>
                <w:bCs/>
                <w:color w:val="auto"/>
                <w:sz w:val="18"/>
                <w:szCs w:val="18"/>
                <w:highlight w:val="none"/>
                <w:lang w:val="en-US" w:eastAsia="zh-Hans"/>
              </w:rPr>
              <w:t>承担全部赔偿责任</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与</w:t>
            </w:r>
            <w:r>
              <w:rPr>
                <w:rFonts w:hint="eastAsia" w:ascii="宋体" w:hAnsi="宋体" w:eastAsia="宋体" w:cs="宋体"/>
                <w:bCs/>
                <w:color w:val="auto"/>
                <w:sz w:val="18"/>
                <w:szCs w:val="18"/>
                <w:highlight w:val="none"/>
                <w:lang w:val="en-US" w:eastAsia="zh-CN"/>
              </w:rPr>
              <w:t>采购人</w:t>
            </w:r>
            <w:r>
              <w:rPr>
                <w:rFonts w:hint="eastAsia" w:ascii="宋体" w:hAnsi="宋体" w:eastAsia="宋体" w:cs="宋体"/>
                <w:bCs/>
                <w:color w:val="auto"/>
                <w:sz w:val="18"/>
                <w:szCs w:val="18"/>
                <w:highlight w:val="none"/>
                <w:lang w:val="en-US" w:eastAsia="zh-Hans"/>
              </w:rPr>
              <w:t>无关</w:t>
            </w:r>
            <w:r>
              <w:rPr>
                <w:rFonts w:hint="eastAsia" w:ascii="宋体" w:hAnsi="宋体" w:eastAsia="宋体" w:cs="宋体"/>
                <w:bCs/>
                <w:color w:val="auto"/>
                <w:sz w:val="18"/>
                <w:szCs w:val="18"/>
                <w:highlight w:val="none"/>
                <w:lang w:val="en-US" w:eastAsia="zh-CN"/>
              </w:rPr>
              <w:t>。</w:t>
            </w:r>
          </w:p>
        </w:tc>
        <w:tc>
          <w:tcPr>
            <w:tcW w:w="2674" w:type="dxa"/>
            <w:vAlign w:val="center"/>
          </w:tcPr>
          <w:p w14:paraId="2DB80442">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03C0F16B">
            <w:pPr>
              <w:snapToGrid w:val="0"/>
              <w:spacing w:before="120" w:beforeLines="50" w:line="360" w:lineRule="auto"/>
              <w:jc w:val="center"/>
              <w:rPr>
                <w:rFonts w:hint="eastAsia" w:ascii="宋体" w:hAnsi="宋体" w:eastAsia="宋体" w:cs="宋体"/>
                <w:sz w:val="18"/>
                <w:szCs w:val="18"/>
              </w:rPr>
            </w:pPr>
          </w:p>
        </w:tc>
      </w:tr>
    </w:tbl>
    <w:p w14:paraId="12E21446">
      <w:pPr>
        <w:pStyle w:val="15"/>
        <w:rPr>
          <w:rFonts w:hint="eastAsia" w:ascii="Times New Roman" w:hAnsi="Times New Roman" w:eastAsia="宋体" w:cs="Times New Roman"/>
        </w:rPr>
      </w:pPr>
    </w:p>
    <w:p w14:paraId="257819A1">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1E206CC2">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5034596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0FA505EE">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3B2049C6">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3C554BE3">
      <w:pPr>
        <w:pStyle w:val="6"/>
        <w:rPr>
          <w:rFonts w:hint="eastAsia" w:ascii="宋体" w:hAnsi="宋体" w:eastAsia="宋体" w:cs="宋体"/>
          <w:kern w:val="0"/>
          <w:sz w:val="24"/>
          <w:szCs w:val="24"/>
        </w:rPr>
      </w:pPr>
    </w:p>
    <w:p w14:paraId="2826470B"/>
    <w:p w14:paraId="625765C6">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38E6981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6964969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1AEC010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5019B89A">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1B01593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8446">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14:paraId="4A720954">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AD54">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14:paraId="5F356462">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14:paraId="5F356462">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14:paraId="52141CEE">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14:paraId="52141CEE">
                    <w:pPr>
                      <w:spacing w:line="360" w:lineRule="exact"/>
                      <w:ind w:right="180"/>
                      <w:jc w:val="right"/>
                      <w:rPr>
                        <w:sz w:val="18"/>
                        <w:szCs w:val="18"/>
                      </w:rPr>
                    </w:pPr>
                  </w:p>
                </w:txbxContent>
              </v:textbox>
              <w10:wrap type="square"/>
            </v:shape>
          </w:pict>
        </mc:Fallback>
      </mc:AlternateContent>
    </w:r>
  </w:p>
  <w:p w14:paraId="22EA396D">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DFF6D1E"/>
    <w:multiLevelType w:val="singleLevel"/>
    <w:tmpl w:val="ADFF6D1E"/>
    <w:lvl w:ilvl="0" w:tentative="0">
      <w:start w:val="2"/>
      <w:numFmt w:val="chineseCounting"/>
      <w:suff w:val="space"/>
      <w:lvlText w:val="第%1章"/>
      <w:lvlJc w:val="left"/>
      <w:rPr>
        <w:rFonts w:hint="eastAsia"/>
      </w:rPr>
    </w:lvl>
  </w:abstractNum>
  <w:abstractNum w:abstractNumId="2">
    <w:nsid w:val="C40A277D"/>
    <w:multiLevelType w:val="singleLevel"/>
    <w:tmpl w:val="C40A277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NGJlMzU3MmEzMGQwN2RiNzg0OGEwNmI3NDFlNj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4D6A89"/>
    <w:rsid w:val="06551E88"/>
    <w:rsid w:val="06886D38"/>
    <w:rsid w:val="06971594"/>
    <w:rsid w:val="06B57D92"/>
    <w:rsid w:val="06BD483D"/>
    <w:rsid w:val="06C242C5"/>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060B1D"/>
    <w:rsid w:val="1B254619"/>
    <w:rsid w:val="1B3072A4"/>
    <w:rsid w:val="1B3A39A7"/>
    <w:rsid w:val="1BA442B5"/>
    <w:rsid w:val="1BE624A8"/>
    <w:rsid w:val="1C2503CF"/>
    <w:rsid w:val="1C3A461F"/>
    <w:rsid w:val="1C583DAC"/>
    <w:rsid w:val="1C735BE1"/>
    <w:rsid w:val="1C7F25A2"/>
    <w:rsid w:val="1C99577A"/>
    <w:rsid w:val="1DA510CB"/>
    <w:rsid w:val="1DD41F50"/>
    <w:rsid w:val="1E2C54FA"/>
    <w:rsid w:val="1E553EB9"/>
    <w:rsid w:val="1E73148F"/>
    <w:rsid w:val="1EF652E1"/>
    <w:rsid w:val="1F2B0E21"/>
    <w:rsid w:val="1F793F7F"/>
    <w:rsid w:val="1F836367"/>
    <w:rsid w:val="1F861028"/>
    <w:rsid w:val="1FA2571F"/>
    <w:rsid w:val="20096994"/>
    <w:rsid w:val="205A54F3"/>
    <w:rsid w:val="20B31DCB"/>
    <w:rsid w:val="20E716DD"/>
    <w:rsid w:val="21093804"/>
    <w:rsid w:val="21197F58"/>
    <w:rsid w:val="216D5F5C"/>
    <w:rsid w:val="216E62F3"/>
    <w:rsid w:val="21916B6D"/>
    <w:rsid w:val="21A64B78"/>
    <w:rsid w:val="21B13D1D"/>
    <w:rsid w:val="21CA55C5"/>
    <w:rsid w:val="21F97026"/>
    <w:rsid w:val="2204269B"/>
    <w:rsid w:val="22387007"/>
    <w:rsid w:val="22606ABC"/>
    <w:rsid w:val="22650C06"/>
    <w:rsid w:val="22AB2AC4"/>
    <w:rsid w:val="22C24A6D"/>
    <w:rsid w:val="22FF7597"/>
    <w:rsid w:val="231625B2"/>
    <w:rsid w:val="237A23D8"/>
    <w:rsid w:val="23C24296"/>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8C3BD0"/>
    <w:rsid w:val="2ADA6A24"/>
    <w:rsid w:val="2AF56E78"/>
    <w:rsid w:val="2B151288"/>
    <w:rsid w:val="2B2758B4"/>
    <w:rsid w:val="2B4420B5"/>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13306A"/>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9325F"/>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7B754E"/>
    <w:rsid w:val="4B8F7597"/>
    <w:rsid w:val="4BB530E0"/>
    <w:rsid w:val="4BC16D1C"/>
    <w:rsid w:val="4BCA17A7"/>
    <w:rsid w:val="4BE24E3A"/>
    <w:rsid w:val="4C1D08F9"/>
    <w:rsid w:val="4C40574E"/>
    <w:rsid w:val="4C5A28C7"/>
    <w:rsid w:val="4C7E0836"/>
    <w:rsid w:val="4CCC524F"/>
    <w:rsid w:val="4D1C0BC5"/>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771CA2"/>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1C75E8"/>
    <w:rsid w:val="5C6137C8"/>
    <w:rsid w:val="5C725F5D"/>
    <w:rsid w:val="5C8C5A76"/>
    <w:rsid w:val="5CE255E1"/>
    <w:rsid w:val="5D1A67DC"/>
    <w:rsid w:val="5D2907BD"/>
    <w:rsid w:val="5E007D69"/>
    <w:rsid w:val="5E0400DD"/>
    <w:rsid w:val="5E6827D5"/>
    <w:rsid w:val="5E7F7D22"/>
    <w:rsid w:val="5EC01341"/>
    <w:rsid w:val="5F0454F9"/>
    <w:rsid w:val="5F070097"/>
    <w:rsid w:val="5F507BA7"/>
    <w:rsid w:val="5F9F13B6"/>
    <w:rsid w:val="5FEE7037"/>
    <w:rsid w:val="601302A4"/>
    <w:rsid w:val="601E0974"/>
    <w:rsid w:val="6020197C"/>
    <w:rsid w:val="6037271C"/>
    <w:rsid w:val="603969F6"/>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39D2B4A"/>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E66EDE"/>
    <w:rsid w:val="6BFE5571"/>
    <w:rsid w:val="6C2D3F35"/>
    <w:rsid w:val="6C420E9C"/>
    <w:rsid w:val="6C4C6E1C"/>
    <w:rsid w:val="6C6A3F4B"/>
    <w:rsid w:val="6CA40DC2"/>
    <w:rsid w:val="6CBF4F2D"/>
    <w:rsid w:val="6CD05DCC"/>
    <w:rsid w:val="6D0205BA"/>
    <w:rsid w:val="6D845474"/>
    <w:rsid w:val="6DBE774E"/>
    <w:rsid w:val="6DE61751"/>
    <w:rsid w:val="6DE96CB8"/>
    <w:rsid w:val="6DF167E1"/>
    <w:rsid w:val="6E9E4186"/>
    <w:rsid w:val="6EFE5F84"/>
    <w:rsid w:val="6F5C60D4"/>
    <w:rsid w:val="6F627207"/>
    <w:rsid w:val="6F8A62CB"/>
    <w:rsid w:val="6F8C3A16"/>
    <w:rsid w:val="6FD2187C"/>
    <w:rsid w:val="70005BAF"/>
    <w:rsid w:val="70081862"/>
    <w:rsid w:val="703029D2"/>
    <w:rsid w:val="703778D2"/>
    <w:rsid w:val="706C0B9A"/>
    <w:rsid w:val="70734B34"/>
    <w:rsid w:val="707F24A7"/>
    <w:rsid w:val="709A3D9E"/>
    <w:rsid w:val="70AD066A"/>
    <w:rsid w:val="70C473C9"/>
    <w:rsid w:val="70D078E2"/>
    <w:rsid w:val="70E414CB"/>
    <w:rsid w:val="71044D9D"/>
    <w:rsid w:val="71055CE7"/>
    <w:rsid w:val="71226BED"/>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348765D"/>
    <w:rsid w:val="73642249"/>
    <w:rsid w:val="737F7858"/>
    <w:rsid w:val="73B02321"/>
    <w:rsid w:val="73E65158"/>
    <w:rsid w:val="73FFD671"/>
    <w:rsid w:val="74045844"/>
    <w:rsid w:val="742749F8"/>
    <w:rsid w:val="744857BB"/>
    <w:rsid w:val="74783628"/>
    <w:rsid w:val="74A2511E"/>
    <w:rsid w:val="751F4274"/>
    <w:rsid w:val="757165DA"/>
    <w:rsid w:val="75CA5D3F"/>
    <w:rsid w:val="75FD6864"/>
    <w:rsid w:val="761C62F6"/>
    <w:rsid w:val="76273A62"/>
    <w:rsid w:val="765C411D"/>
    <w:rsid w:val="765C6F7D"/>
    <w:rsid w:val="766559B4"/>
    <w:rsid w:val="766E5645"/>
    <w:rsid w:val="7673220A"/>
    <w:rsid w:val="76AD08F4"/>
    <w:rsid w:val="76DC3792"/>
    <w:rsid w:val="76F61CB7"/>
    <w:rsid w:val="77055092"/>
    <w:rsid w:val="77056E1C"/>
    <w:rsid w:val="77094A2E"/>
    <w:rsid w:val="770B7945"/>
    <w:rsid w:val="770C1A51"/>
    <w:rsid w:val="771760BD"/>
    <w:rsid w:val="77583A51"/>
    <w:rsid w:val="776B58C1"/>
    <w:rsid w:val="77A94A1A"/>
    <w:rsid w:val="77AA0845"/>
    <w:rsid w:val="77D97C19"/>
    <w:rsid w:val="78077A4A"/>
    <w:rsid w:val="78167F51"/>
    <w:rsid w:val="782E7E31"/>
    <w:rsid w:val="78383184"/>
    <w:rsid w:val="78795CD6"/>
    <w:rsid w:val="790D5F92"/>
    <w:rsid w:val="79340D5C"/>
    <w:rsid w:val="794357FD"/>
    <w:rsid w:val="798950D1"/>
    <w:rsid w:val="798B1458"/>
    <w:rsid w:val="799856B5"/>
    <w:rsid w:val="79DDEB7F"/>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2C1078"/>
    <w:rsid w:val="7D596D6C"/>
    <w:rsid w:val="7D787E00"/>
    <w:rsid w:val="7D9F1826"/>
    <w:rsid w:val="7DAF234C"/>
    <w:rsid w:val="7DBB0DEA"/>
    <w:rsid w:val="7DCA65AC"/>
    <w:rsid w:val="7DE329CE"/>
    <w:rsid w:val="7E3A03D7"/>
    <w:rsid w:val="7E3A13EE"/>
    <w:rsid w:val="7E453A68"/>
    <w:rsid w:val="7E680042"/>
    <w:rsid w:val="7E6E98E4"/>
    <w:rsid w:val="7EBB3930"/>
    <w:rsid w:val="7EE94CBB"/>
    <w:rsid w:val="7F37016E"/>
    <w:rsid w:val="7F686EE0"/>
    <w:rsid w:val="7F7D13C9"/>
    <w:rsid w:val="7FAD7090"/>
    <w:rsid w:val="954F8667"/>
    <w:rsid w:val="BCFD8597"/>
    <w:rsid w:val="DFBFF38C"/>
    <w:rsid w:val="EDBD9E94"/>
    <w:rsid w:val="EFBFC6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9917</Words>
  <Characters>10608</Characters>
  <Lines>54</Lines>
  <Paragraphs>15</Paragraphs>
  <TotalTime>30</TotalTime>
  <ScaleCrop>false</ScaleCrop>
  <LinksUpToDate>false</LinksUpToDate>
  <CharactersWithSpaces>11588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Tukky</cp:lastModifiedBy>
  <cp:lastPrinted>2023-09-10T06:08:00Z</cp:lastPrinted>
  <dcterms:modified xsi:type="dcterms:W3CDTF">2024-10-14T03:05:17Z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0B65CE578B024B7A818315A2147D2230_13</vt:lpwstr>
  </property>
</Properties>
</file>