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E1465">
      <w:pPr>
        <w:pStyle w:val="6"/>
        <w:rPr>
          <w:rFonts w:hint="eastAsia"/>
          <w:lang w:val="en-US" w:eastAsia="zh-CN"/>
        </w:rPr>
      </w:pPr>
    </w:p>
    <w:p w14:paraId="0B8309E4">
      <w:pPr>
        <w:pStyle w:val="48"/>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u w:val="single"/>
          <w:lang w:val="en-US" w:eastAsia="zh-CN"/>
        </w:rPr>
        <w:t>中国东盟国际（农产品）冷链集拼物流中心集疏运仓库及配套项目工程设计招标代理服务</w:t>
      </w:r>
      <w:r>
        <w:rPr>
          <w:rFonts w:hint="eastAsia" w:ascii="宋体" w:hAnsi="宋体" w:eastAsia="宋体" w:cs="宋体"/>
          <w:b/>
          <w:bCs/>
          <w:color w:val="auto"/>
          <w:spacing w:val="0"/>
          <w:w w:val="100"/>
          <w:kern w:val="0"/>
          <w:position w:val="0"/>
          <w:sz w:val="32"/>
          <w:szCs w:val="32"/>
          <w:highlight w:val="none"/>
          <w:lang w:val="en-US" w:eastAsia="zh-CN"/>
        </w:rPr>
        <w:t>采购项目</w:t>
      </w:r>
    </w:p>
    <w:p w14:paraId="0962D380">
      <w:pPr>
        <w:snapToGrid w:val="0"/>
        <w:spacing w:before="120" w:beforeLines="50" w:line="360" w:lineRule="auto"/>
        <w:jc w:val="both"/>
        <w:rPr>
          <w:rFonts w:hint="eastAsia" w:ascii="宋体" w:hAnsi="宋体" w:eastAsia="宋体" w:cs="宋体"/>
          <w:b/>
          <w:sz w:val="72"/>
          <w:szCs w:val="72"/>
          <w:lang w:val="en-US" w:eastAsia="zh-CN"/>
        </w:rPr>
      </w:pPr>
    </w:p>
    <w:p w14:paraId="5EB3C500">
      <w:pPr>
        <w:snapToGrid w:val="0"/>
        <w:spacing w:before="120" w:beforeLines="50" w:line="360" w:lineRule="auto"/>
        <w:jc w:val="center"/>
        <w:rPr>
          <w:rFonts w:hint="eastAsia" w:ascii="宋体" w:hAnsi="宋体" w:eastAsia="宋体" w:cs="宋体"/>
          <w:b/>
          <w:sz w:val="72"/>
          <w:szCs w:val="72"/>
          <w:lang w:val="en-US" w:eastAsia="zh-CN"/>
        </w:rPr>
      </w:pPr>
    </w:p>
    <w:p w14:paraId="285BBB74">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询比采购文件</w:t>
      </w:r>
    </w:p>
    <w:p w14:paraId="04F318B3">
      <w:pPr>
        <w:pStyle w:val="6"/>
        <w:rPr>
          <w:rFonts w:hint="eastAsia" w:ascii="宋体" w:hAnsi="宋体" w:eastAsia="宋体" w:cs="宋体"/>
          <w:b/>
          <w:bCs/>
          <w:sz w:val="36"/>
          <w:szCs w:val="36"/>
          <w:lang w:val="en-US" w:eastAsia="zh-CN"/>
        </w:rPr>
      </w:pPr>
    </w:p>
    <w:p w14:paraId="2BED28FC">
      <w:pPr>
        <w:pStyle w:val="3"/>
        <w:numPr>
          <w:ilvl w:val="0"/>
          <w:numId w:val="0"/>
        </w:numPr>
        <w:ind w:leftChars="0"/>
        <w:jc w:val="both"/>
        <w:rPr>
          <w:rFonts w:hint="eastAsia"/>
          <w:lang w:val="en-US" w:eastAsia="zh-CN"/>
        </w:rPr>
      </w:pPr>
    </w:p>
    <w:p w14:paraId="46028D67">
      <w:pPr>
        <w:rPr>
          <w:rFonts w:hint="eastAsia"/>
          <w:lang w:val="en-US" w:eastAsia="zh-CN"/>
        </w:rPr>
      </w:pPr>
    </w:p>
    <w:p w14:paraId="06DD23C9">
      <w:pPr>
        <w:pStyle w:val="7"/>
        <w:rPr>
          <w:rFonts w:hint="eastAsia"/>
          <w:lang w:val="en-US" w:eastAsia="zh-CN"/>
        </w:rPr>
      </w:pPr>
    </w:p>
    <w:p w14:paraId="5A3B3F08">
      <w:pPr>
        <w:rPr>
          <w:rFonts w:hint="eastAsia"/>
          <w:lang w:val="en-US" w:eastAsia="zh-CN"/>
        </w:rPr>
      </w:pPr>
    </w:p>
    <w:p w14:paraId="40D0765B">
      <w:pPr>
        <w:pStyle w:val="7"/>
        <w:rPr>
          <w:rFonts w:hint="eastAsia"/>
          <w:lang w:val="en-US" w:eastAsia="zh-CN"/>
        </w:rPr>
      </w:pPr>
    </w:p>
    <w:p w14:paraId="2D56737A">
      <w:pPr>
        <w:rPr>
          <w:rFonts w:hint="eastAsia"/>
          <w:lang w:val="en-US" w:eastAsia="zh-CN"/>
        </w:rPr>
      </w:pPr>
    </w:p>
    <w:p w14:paraId="0887EE43">
      <w:pPr>
        <w:pStyle w:val="7"/>
        <w:rPr>
          <w:rFonts w:hint="eastAsia"/>
          <w:lang w:val="en-US" w:eastAsia="zh-CN"/>
        </w:rPr>
      </w:pPr>
    </w:p>
    <w:p w14:paraId="03695B1C">
      <w:pPr>
        <w:rPr>
          <w:rFonts w:hint="eastAsia"/>
          <w:lang w:val="en-US" w:eastAsia="zh-CN"/>
        </w:rPr>
      </w:pPr>
    </w:p>
    <w:p w14:paraId="660FBA3F">
      <w:pPr>
        <w:pStyle w:val="7"/>
        <w:rPr>
          <w:rFonts w:hint="eastAsia"/>
          <w:lang w:val="en-US" w:eastAsia="zh-CN"/>
        </w:rPr>
      </w:pPr>
    </w:p>
    <w:p w14:paraId="0690C259">
      <w:pPr>
        <w:rPr>
          <w:rFonts w:hint="eastAsia"/>
          <w:lang w:val="en-US" w:eastAsia="zh-CN"/>
        </w:rPr>
      </w:pPr>
    </w:p>
    <w:p w14:paraId="70D49393">
      <w:pPr>
        <w:pStyle w:val="7"/>
        <w:rPr>
          <w:rFonts w:hint="eastAsia"/>
          <w:lang w:val="en-US" w:eastAsia="zh-CN"/>
        </w:rPr>
      </w:pPr>
    </w:p>
    <w:p w14:paraId="57127A3A">
      <w:pPr>
        <w:rPr>
          <w:rFonts w:hint="eastAsia"/>
          <w:lang w:val="en-US" w:eastAsia="zh-CN"/>
        </w:rPr>
      </w:pPr>
    </w:p>
    <w:p w14:paraId="190F8C0F">
      <w:pPr>
        <w:pStyle w:val="7"/>
        <w:rPr>
          <w:rFonts w:hint="eastAsia"/>
          <w:lang w:val="en-US" w:eastAsia="zh-CN"/>
        </w:rPr>
      </w:pPr>
    </w:p>
    <w:p w14:paraId="1BCE3241">
      <w:pPr>
        <w:rPr>
          <w:rFonts w:hint="eastAsia"/>
          <w:lang w:val="en-US" w:eastAsia="zh-CN"/>
        </w:rPr>
      </w:pPr>
    </w:p>
    <w:p w14:paraId="1B7CD383">
      <w:pPr>
        <w:rPr>
          <w:rFonts w:hint="default" w:ascii="宋体" w:hAnsi="宋体" w:eastAsia="宋体" w:cs="宋体"/>
          <w:b/>
          <w:bCs/>
          <w:sz w:val="32"/>
          <w:szCs w:val="32"/>
          <w:u w:val="single"/>
          <w:lang w:val="en-US" w:eastAsia="zh-CN"/>
        </w:rPr>
      </w:pPr>
      <w:r>
        <w:rPr>
          <w:rFonts w:hint="eastAsia" w:ascii="宋体" w:hAnsi="宋体" w:eastAsia="宋体" w:cs="宋体"/>
          <w:b/>
          <w:bCs/>
          <w:sz w:val="32"/>
          <w:szCs w:val="32"/>
          <w:lang w:val="en-US" w:eastAsia="zh-CN"/>
        </w:rPr>
        <w:t>采购人：</w:t>
      </w:r>
      <w:r>
        <w:rPr>
          <w:rFonts w:hint="eastAsia" w:ascii="宋体" w:hAnsi="宋体" w:eastAsia="宋体" w:cs="宋体"/>
          <w:b/>
          <w:bCs/>
          <w:sz w:val="32"/>
          <w:szCs w:val="32"/>
          <w:u w:val="single"/>
          <w:lang w:val="en-US" w:eastAsia="zh-CN"/>
        </w:rPr>
        <w:t>广西自贸区产融城市运营管理有限公司</w:t>
      </w:r>
    </w:p>
    <w:p w14:paraId="0B11E612">
      <w:pPr>
        <w:rPr>
          <w:rFonts w:hint="eastAsia" w:ascii="宋体" w:hAnsi="宋体" w:eastAsia="宋体" w:cs="宋体"/>
          <w:b/>
          <w:bCs/>
          <w:sz w:val="36"/>
          <w:szCs w:val="36"/>
          <w:lang w:val="en-US" w:eastAsia="zh-CN"/>
        </w:rPr>
      </w:pPr>
    </w:p>
    <w:p w14:paraId="0D51D645">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2024年11月</w:t>
      </w:r>
    </w:p>
    <w:p w14:paraId="3555283A">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274C43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7B10E63C">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498A38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FF"/>
          <w:sz w:val="24"/>
          <w:szCs w:val="24"/>
          <w:u w:val="single"/>
          <w:lang w:val="en-US" w:eastAsia="zh-CN"/>
        </w:rPr>
        <w:t>中国东盟国际（农产品）冷链集拼物流中心集疏运仓库及配套项目工程设计招标代理服务</w:t>
      </w:r>
      <w:r>
        <w:rPr>
          <w:rFonts w:hint="eastAsia" w:ascii="宋体" w:hAnsi="宋体" w:eastAsia="宋体" w:cs="宋体"/>
          <w:bCs/>
          <w:color w:val="000000"/>
          <w:sz w:val="24"/>
          <w:szCs w:val="24"/>
          <w:lang w:val="en-US" w:eastAsia="zh-CN"/>
        </w:rPr>
        <w:t>采购项目</w:t>
      </w:r>
      <w:r>
        <w:rPr>
          <w:rFonts w:hint="eastAsia" w:ascii="宋体" w:hAnsi="宋体" w:eastAsia="宋体" w:cs="宋体"/>
          <w:bCs/>
          <w:color w:val="000000"/>
          <w:sz w:val="24"/>
          <w:szCs w:val="24"/>
        </w:rPr>
        <w:t>的潜</w:t>
      </w:r>
      <w:r>
        <w:rPr>
          <w:rFonts w:hint="eastAsia" w:ascii="宋体" w:hAnsi="宋体" w:eastAsia="宋体" w:cs="宋体"/>
          <w:bCs/>
          <w:sz w:val="24"/>
          <w:szCs w:val="24"/>
        </w:rPr>
        <w:t>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sz w:val="24"/>
          <w:szCs w:val="24"/>
          <w:u w:val="none"/>
          <w:lang w:val="en-US" w:eastAsia="zh-CN"/>
        </w:rPr>
        <w:t>获取（下载）</w:t>
      </w:r>
      <w:r>
        <w:rPr>
          <w:rFonts w:hint="default" w:ascii="宋体" w:hAnsi="宋体" w:eastAsia="宋体" w:cs="宋体"/>
          <w:b w:val="0"/>
          <w:bCs/>
          <w:sz w:val="24"/>
          <w:szCs w:val="24"/>
          <w:u w:val="none"/>
          <w:lang w:eastAsia="zh-CN"/>
        </w:rPr>
        <w:t>采购</w:t>
      </w:r>
      <w:r>
        <w:rPr>
          <w:rFonts w:hint="eastAsia" w:ascii="宋体" w:hAnsi="宋体" w:eastAsia="宋体" w:cs="宋体"/>
          <w:b w:val="0"/>
          <w:bCs/>
          <w:sz w:val="24"/>
          <w:szCs w:val="24"/>
          <w:u w:val="none"/>
          <w:lang w:val="en-US" w:eastAsia="zh-CN"/>
        </w:rPr>
        <w:t>文件</w:t>
      </w:r>
      <w:r>
        <w:rPr>
          <w:rFonts w:hint="eastAsia" w:ascii="宋体" w:hAnsi="宋体" w:eastAsia="宋体" w:cs="宋体"/>
          <w:b w:val="0"/>
          <w:bCs/>
          <w:sz w:val="24"/>
          <w:szCs w:val="24"/>
          <w:lang w:val="en-US" w:eastAsia="zh-CN"/>
        </w:rPr>
        <w:t>，并于截止日期</w:t>
      </w:r>
      <w:r>
        <w:rPr>
          <w:rFonts w:hint="eastAsia" w:ascii="宋体" w:hAnsi="宋体" w:eastAsia="宋体" w:cs="宋体"/>
          <w:b w:val="0"/>
          <w:bCs/>
          <w:color w:val="FF0000"/>
          <w:sz w:val="24"/>
          <w:szCs w:val="24"/>
          <w:u w:val="single"/>
          <w:lang w:val="en-US" w:eastAsia="zh-CN"/>
        </w:rPr>
        <w:t>2024年12月2日15时30分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7FCF2BA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378F45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bookmarkStart w:id="0" w:name="OLE_LINK1"/>
      <w:r>
        <w:rPr>
          <w:rFonts w:hint="eastAsia" w:ascii="宋体" w:hAnsi="宋体" w:eastAsia="宋体" w:cs="宋体"/>
          <w:b w:val="0"/>
          <w:bCs/>
          <w:color w:val="0000FF"/>
          <w:sz w:val="24"/>
          <w:szCs w:val="24"/>
          <w:u w:val="single"/>
          <w:lang w:val="en-US" w:eastAsia="zh-CN"/>
        </w:rPr>
        <w:t>中国东盟国际（农产品）冷链集拼物流中心集疏运仓库及配套项目工程设计</w:t>
      </w:r>
      <w:bookmarkEnd w:id="0"/>
      <w:r>
        <w:rPr>
          <w:rFonts w:hint="eastAsia" w:ascii="宋体" w:hAnsi="宋体" w:eastAsia="宋体" w:cs="宋体"/>
          <w:b w:val="0"/>
          <w:bCs/>
          <w:color w:val="0000FF"/>
          <w:sz w:val="24"/>
          <w:szCs w:val="24"/>
          <w:u w:val="single"/>
          <w:lang w:val="en-US" w:eastAsia="zh-CN"/>
        </w:rPr>
        <w:t>招标代理服务</w:t>
      </w:r>
    </w:p>
    <w:p w14:paraId="3738FA9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拟委托招标代理项目概况：</w:t>
      </w:r>
      <w:r>
        <w:rPr>
          <w:rFonts w:hint="eastAsia" w:ascii="宋体" w:hAnsi="宋体" w:eastAsia="宋体" w:cs="宋体"/>
          <w:b w:val="0"/>
          <w:bCs/>
          <w:sz w:val="24"/>
          <w:szCs w:val="24"/>
          <w:u w:val="single"/>
          <w:lang w:val="en-US" w:eastAsia="zh-CN"/>
        </w:rPr>
        <w:t>中国东盟国际（农产品）冷链集拼物流中心集疏运仓库及配套项目工程设计项目，设计费预算约为115万元，包括方案设计、初步设计、施工图设计等内容。</w:t>
      </w:r>
    </w:p>
    <w:p w14:paraId="04C9B0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w:t>
      </w:r>
      <w:r>
        <w:rPr>
          <w:rFonts w:hint="eastAsia" w:ascii="宋体" w:hAnsi="宋体" w:eastAsia="宋体" w:cs="宋体"/>
          <w:b w:val="0"/>
          <w:bCs/>
          <w:color w:val="0000FF"/>
          <w:sz w:val="24"/>
          <w:szCs w:val="24"/>
          <w:lang w:val="en-US" w:eastAsia="zh-CN"/>
        </w:rPr>
        <w:t>询比</w:t>
      </w:r>
    </w:p>
    <w:p w14:paraId="6EEE73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0000FF"/>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 w:val="0"/>
          <w:bCs/>
          <w:color w:val="0000FF"/>
          <w:sz w:val="24"/>
          <w:szCs w:val="24"/>
          <w:lang w:val="en-US" w:eastAsia="zh-CN"/>
        </w:rPr>
        <w:t>综合评分法，</w:t>
      </w:r>
      <w:r>
        <w:rPr>
          <w:rFonts w:hint="eastAsia" w:ascii="宋体" w:hAnsi="宋体" w:eastAsia="宋体" w:cs="宋体"/>
          <w:bCs/>
          <w:color w:val="0000FF"/>
          <w:sz w:val="24"/>
          <w:szCs w:val="24"/>
        </w:rPr>
        <w:t>满足采购文件的实质要求，且经评审</w:t>
      </w:r>
      <w:r>
        <w:rPr>
          <w:rFonts w:hint="eastAsia" w:ascii="宋体" w:hAnsi="宋体" w:eastAsia="宋体" w:cs="宋体"/>
          <w:bCs/>
          <w:color w:val="0000FF"/>
          <w:sz w:val="24"/>
          <w:szCs w:val="24"/>
          <w:lang w:val="en-US" w:eastAsia="zh-CN"/>
        </w:rPr>
        <w:t>得分最高</w:t>
      </w:r>
      <w:r>
        <w:rPr>
          <w:rFonts w:hint="eastAsia" w:ascii="宋体" w:hAnsi="宋体" w:eastAsia="宋体" w:cs="宋体"/>
          <w:bCs/>
          <w:color w:val="0000FF"/>
          <w:sz w:val="24"/>
          <w:szCs w:val="24"/>
        </w:rPr>
        <w:t>的供应商为成交供应商</w:t>
      </w:r>
    </w:p>
    <w:p w14:paraId="758E73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FF0000"/>
          <w:kern w:val="2"/>
          <w:sz w:val="24"/>
          <w:szCs w:val="24"/>
          <w:lang w:val="en-US" w:eastAsia="zh-CN" w:bidi="ar-SA"/>
        </w:rPr>
      </w:pPr>
      <w:r>
        <w:rPr>
          <w:rFonts w:hint="default" w:ascii="宋体" w:hAnsi="宋体" w:eastAsia="宋体" w:cs="宋体"/>
          <w:b w:val="0"/>
          <w:bCs/>
          <w:color w:val="FF0000"/>
          <w:kern w:val="2"/>
          <w:sz w:val="24"/>
          <w:szCs w:val="24"/>
          <w:lang w:eastAsia="zh-CN" w:bidi="ar-SA"/>
        </w:rPr>
        <w:t>最高限</w:t>
      </w:r>
      <w:r>
        <w:rPr>
          <w:rFonts w:hint="eastAsia" w:ascii="宋体" w:hAnsi="宋体" w:eastAsia="宋体" w:cs="宋体"/>
          <w:b w:val="0"/>
          <w:bCs/>
          <w:color w:val="FF0000"/>
          <w:kern w:val="2"/>
          <w:sz w:val="24"/>
          <w:szCs w:val="24"/>
          <w:lang w:val="en-US" w:eastAsia="zh-CN" w:bidi="ar-SA"/>
        </w:rPr>
        <w:t>价：12150.00元</w:t>
      </w:r>
    </w:p>
    <w:p w14:paraId="664D12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r>
        <w:rPr>
          <w:rFonts w:hint="default" w:ascii="宋体" w:hAnsi="宋体" w:eastAsia="宋体" w:cs="宋体"/>
          <w:b w:val="0"/>
          <w:bCs/>
          <w:sz w:val="24"/>
          <w:szCs w:val="24"/>
          <w:lang w:eastAsia="zh-CN"/>
        </w:rPr>
        <w:t>详见“第二章 采购需求”</w:t>
      </w:r>
      <w:r>
        <w:rPr>
          <w:rFonts w:hint="eastAsia" w:ascii="宋体" w:hAnsi="宋体" w:eastAsia="宋体" w:cs="宋体"/>
          <w:b w:val="0"/>
          <w:bCs/>
          <w:sz w:val="24"/>
          <w:szCs w:val="24"/>
          <w:lang w:val="en-US" w:eastAsia="zh-CN"/>
        </w:rPr>
        <w:t>。</w:t>
      </w:r>
    </w:p>
    <w:p w14:paraId="5146CF1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FF"/>
          <w:sz w:val="24"/>
          <w:szCs w:val="24"/>
          <w:highlight w:val="none"/>
          <w:u w:val="single"/>
          <w:lang w:val="en-US" w:eastAsia="zh-CN"/>
        </w:rPr>
      </w:pPr>
      <w:r>
        <w:rPr>
          <w:rFonts w:hint="eastAsia" w:ascii="宋体" w:hAnsi="宋体" w:eastAsia="宋体" w:cs="宋体"/>
          <w:b w:val="0"/>
          <w:bCs/>
          <w:color w:val="0000FF"/>
          <w:sz w:val="24"/>
          <w:szCs w:val="24"/>
          <w:lang w:val="en-US" w:eastAsia="zh-CN"/>
        </w:rPr>
        <w:t>合同履行期限：</w:t>
      </w:r>
      <w:r>
        <w:rPr>
          <w:rFonts w:hint="eastAsia" w:ascii="宋体" w:hAnsi="宋体" w:eastAsia="宋体" w:cs="宋体"/>
          <w:bCs/>
          <w:color w:val="0000FF"/>
          <w:sz w:val="24"/>
          <w:szCs w:val="24"/>
          <w:highlight w:val="none"/>
          <w:u w:val="none"/>
        </w:rPr>
        <w:t>自签订合同之日起至完成公开招标全过程</w:t>
      </w:r>
      <w:r>
        <w:rPr>
          <w:rFonts w:hint="eastAsia" w:ascii="宋体" w:hAnsi="宋体" w:eastAsia="宋体" w:cs="宋体"/>
          <w:b w:val="0"/>
          <w:bCs/>
          <w:color w:val="0000FF"/>
          <w:sz w:val="24"/>
          <w:szCs w:val="24"/>
          <w:highlight w:val="none"/>
          <w:u w:val="none"/>
          <w:lang w:val="en-US" w:eastAsia="zh-CN"/>
        </w:rPr>
        <w:t>。</w:t>
      </w:r>
    </w:p>
    <w:p w14:paraId="1E6EC0C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宋体" w:hAnsi="宋体" w:eastAsia="宋体" w:cs="宋体"/>
          <w:b w:val="0"/>
          <w:bCs/>
          <w:sz w:val="24"/>
          <w:szCs w:val="24"/>
          <w:highlight w:val="none"/>
          <w:lang w:val="en-US" w:eastAsia="zh-CN"/>
        </w:rPr>
        <w:t>本项目不接受联合体。</w:t>
      </w:r>
    </w:p>
    <w:p w14:paraId="75D98D1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4B185383">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default"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国内注册（指按国家有关规定要求注册），具有有效的招标代理经营范围的营业执照。</w:t>
      </w:r>
    </w:p>
    <w:p w14:paraId="4BE9932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66FF59F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3F385B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4、参加采购活动前三年内，在经营活动中没有重大违法记录（由竞标人提供“信用中国”网站https://www.creditchina.gov.cn/下载的信用报告并加盖公章）。</w:t>
      </w:r>
    </w:p>
    <w:p w14:paraId="4744057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7CA48D6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43439E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413D0BE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2005B1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sz w:val="24"/>
          <w:szCs w:val="24"/>
          <w:u w:val="single"/>
          <w:lang w:val="en-US" w:eastAsia="zh-CN"/>
        </w:rPr>
        <w:t>2024年11月28日</w:t>
      </w:r>
      <w:r>
        <w:rPr>
          <w:rFonts w:hint="eastAsia" w:ascii="宋体" w:hAnsi="宋体" w:eastAsia="宋体" w:cs="宋体"/>
          <w:b w:val="0"/>
          <w:bCs/>
          <w:sz w:val="24"/>
          <w:szCs w:val="24"/>
          <w:lang w:val="en-US" w:eastAsia="zh-CN"/>
        </w:rPr>
        <w:t>至</w:t>
      </w:r>
      <w:r>
        <w:rPr>
          <w:rFonts w:hint="eastAsia" w:ascii="宋体" w:hAnsi="宋体" w:eastAsia="宋体" w:cs="宋体"/>
          <w:b w:val="0"/>
          <w:bCs/>
          <w:sz w:val="24"/>
          <w:szCs w:val="24"/>
          <w:u w:val="single"/>
          <w:lang w:val="en-US" w:eastAsia="zh-CN"/>
        </w:rPr>
        <w:t>2024年12月2日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21F1D3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sz w:val="24"/>
          <w:szCs w:val="24"/>
          <w:u w:val="single"/>
          <w:lang w:val="en-US" w:eastAsia="zh-CN"/>
        </w:rPr>
        <w:t>获取（下载）。</w:t>
      </w:r>
    </w:p>
    <w:p w14:paraId="69E273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2024年12月2日15时30分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5FE9EFE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452A5F6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7E5890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2024年12月2日15时30分</w:t>
      </w:r>
      <w:r>
        <w:rPr>
          <w:rFonts w:hint="eastAsia" w:ascii="宋体" w:hAnsi="宋体" w:eastAsia="宋体" w:cs="宋体"/>
          <w:b w:val="0"/>
          <w:bCs/>
          <w:sz w:val="24"/>
          <w:szCs w:val="24"/>
          <w:lang w:val="en-US" w:eastAsia="zh-CN"/>
        </w:rPr>
        <w:t>（北京时间）</w:t>
      </w:r>
    </w:p>
    <w:p w14:paraId="3DD597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提交响应文件地点：广西钦州市保税港区二号路自贸中心24楼集团办公室 ，联系人及电话：曾斌繁0777-58181239</w:t>
      </w:r>
    </w:p>
    <w:p w14:paraId="12C2AAF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459A29E8">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3F41A75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14F147A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2024年12月2日15时30分</w:t>
      </w:r>
      <w:r>
        <w:rPr>
          <w:rFonts w:hint="eastAsia" w:ascii="宋体" w:hAnsi="宋体" w:eastAsia="宋体" w:cs="宋体"/>
          <w:b w:val="0"/>
          <w:bCs/>
          <w:sz w:val="24"/>
          <w:szCs w:val="24"/>
          <w:lang w:val="en-US" w:eastAsia="zh-CN"/>
        </w:rPr>
        <w:t>（北京时间）后；</w:t>
      </w:r>
    </w:p>
    <w:p w14:paraId="16E19CE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79FE5E0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6070C98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3FFAD0F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34B6ED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14:paraId="6F5C9D3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5D69553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0AAFA57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646491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名称：广西自贸区产融城市运营管理有限公司</w:t>
      </w:r>
    </w:p>
    <w:p w14:paraId="128A91B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广西钦州市保税港区二号路自贸中心23楼风控审计部</w:t>
      </w:r>
    </w:p>
    <w:p w14:paraId="711977A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0777-5881380裴炳昌</w:t>
      </w:r>
    </w:p>
    <w:p w14:paraId="407741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2C17959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广西自贸区钦州港区开发投资集团有限责任公司集团办公室</w:t>
      </w:r>
    </w:p>
    <w:p w14:paraId="4B4B71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广西钦州市保税港区二号路自贸中心24楼</w:t>
      </w:r>
    </w:p>
    <w:p w14:paraId="6E67E3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0777-58181239曾斌繁</w:t>
      </w:r>
    </w:p>
    <w:p w14:paraId="124F0A9A">
      <w:pPr>
        <w:jc w:val="left"/>
        <w:rPr>
          <w:rFonts w:hint="eastAsia" w:ascii="宋体" w:hAnsi="宋体" w:eastAsia="宋体" w:cs="宋体"/>
          <w:b/>
          <w:bCs/>
          <w:sz w:val="36"/>
          <w:szCs w:val="36"/>
          <w:lang w:val="en-US" w:eastAsia="zh-CN"/>
        </w:rPr>
      </w:pPr>
    </w:p>
    <w:p w14:paraId="50D7837A">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19E790DE">
      <w:pPr>
        <w:pStyle w:val="39"/>
        <w:ind w:firstLine="0" w:firstLineChars="0"/>
        <w:jc w:val="center"/>
        <w:rPr>
          <w:rFonts w:hint="default"/>
          <w:lang w:eastAsia="zh-CN"/>
        </w:rPr>
      </w:pPr>
      <w:r>
        <w:rPr>
          <w:rFonts w:hint="eastAsia"/>
          <w:lang w:val="en-US" w:eastAsia="zh-CN"/>
        </w:rPr>
        <w:t>第</w:t>
      </w:r>
      <w:r>
        <w:rPr>
          <w:rFonts w:hint="default"/>
          <w:lang w:eastAsia="zh-CN"/>
        </w:rPr>
        <w:t>二</w:t>
      </w:r>
      <w:r>
        <w:rPr>
          <w:rFonts w:hint="eastAsia"/>
          <w:lang w:val="en-US" w:eastAsia="zh-CN"/>
        </w:rPr>
        <w:t xml:space="preserve">章  </w:t>
      </w:r>
      <w:r>
        <w:rPr>
          <w:rFonts w:hint="default"/>
          <w:lang w:eastAsia="zh-CN"/>
        </w:rPr>
        <w:t>采购需求</w:t>
      </w:r>
    </w:p>
    <w:p w14:paraId="615C1D0C">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p>
    <w:p w14:paraId="3625FD85">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6ED95428">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528AA626">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14:paraId="3D85CC99">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14:paraId="52B838B0">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bCs/>
          <w:kern w:val="2"/>
          <w:sz w:val="28"/>
          <w:szCs w:val="28"/>
          <w:lang w:val="en-US" w:eastAsia="zh-CN" w:bidi="zh-CN"/>
        </w:rPr>
        <w:t>采购需求表</w:t>
      </w:r>
    </w:p>
    <w:tbl>
      <w:tblPr>
        <w:tblStyle w:val="21"/>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AE8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E95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bidi="zh-CN"/>
              </w:rPr>
              <w:t>★</w:t>
            </w:r>
            <w:r>
              <w:rPr>
                <w:rFonts w:hint="eastAsia" w:ascii="宋体" w:hAnsi="宋体" w:eastAsia="宋体" w:cs="宋体"/>
                <w:b/>
                <w:bCs/>
                <w:i w:val="0"/>
                <w:iCs w:val="0"/>
                <w:color w:val="auto"/>
                <w:kern w:val="0"/>
                <w:sz w:val="24"/>
                <w:szCs w:val="24"/>
                <w:highlight w:val="none"/>
                <w:u w:val="none"/>
                <w:lang w:val="en-US" w:eastAsia="zh-CN" w:bidi="ar"/>
              </w:rPr>
              <w:t>项目及商务要求</w:t>
            </w:r>
          </w:p>
        </w:tc>
      </w:tr>
      <w:tr w14:paraId="312B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81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1329">
            <w:pPr>
              <w:keepNext w:val="0"/>
              <w:keepLines w:val="0"/>
              <w:pageBreakBefore w:val="0"/>
              <w:kinsoku/>
              <w:wordWrap/>
              <w:overflowPunct/>
              <w:topLinePunct w:val="0"/>
              <w:autoSpaceDE/>
              <w:autoSpaceDN/>
              <w:bidi w:val="0"/>
              <w:spacing w:line="240" w:lineRule="auto"/>
              <w:jc w:val="left"/>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自签订合同之日起至完成公开招标全过程。</w:t>
            </w:r>
          </w:p>
        </w:tc>
      </w:tr>
      <w:tr w14:paraId="31D08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A8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val="0"/>
                <w:color w:val="auto"/>
                <w:sz w:val="24"/>
                <w:szCs w:val="24"/>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E19D">
            <w:pPr>
              <w:keepNext w:val="0"/>
              <w:keepLines w:val="0"/>
              <w:pageBreakBefore w:val="0"/>
              <w:kinsoku/>
              <w:wordWrap/>
              <w:overflowPunct/>
              <w:topLinePunct w:val="0"/>
              <w:autoSpaceDE/>
              <w:autoSpaceDN/>
              <w:bidi w:val="0"/>
              <w:spacing w:line="240" w:lineRule="auto"/>
              <w:jc w:val="left"/>
              <w:rPr>
                <w:rFonts w:hint="default"/>
                <w:color w:val="auto"/>
                <w:sz w:val="24"/>
                <w:szCs w:val="24"/>
                <w:lang w:val="en-US" w:eastAsia="zh-CN"/>
              </w:rPr>
            </w:pPr>
            <w:r>
              <w:rPr>
                <w:rFonts w:hint="eastAsia" w:ascii="宋体" w:hAnsi="宋体" w:eastAsia="宋体" w:cs="宋体"/>
                <w:b w:val="0"/>
                <w:bCs/>
                <w:sz w:val="24"/>
                <w:szCs w:val="24"/>
                <w:lang w:val="en-US" w:eastAsia="zh-CN"/>
              </w:rPr>
              <w:t>需为含税报价，提供增值税专用发票。</w:t>
            </w:r>
          </w:p>
        </w:tc>
      </w:tr>
      <w:tr w14:paraId="7A1B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B8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color w:val="auto"/>
                <w:kern w:val="0"/>
                <w:sz w:val="24"/>
                <w:szCs w:val="24"/>
                <w:highlight w:val="none"/>
                <w:u w:val="none"/>
                <w:lang w:val="en-US" w:eastAsia="zh-CN"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2508">
            <w:pPr>
              <w:pStyle w:val="7"/>
              <w:keepNext w:val="0"/>
              <w:keepLines w:val="0"/>
              <w:pageBreakBefore w:val="0"/>
              <w:kinsoku/>
              <w:wordWrap/>
              <w:overflowPunct/>
              <w:topLinePunct w:val="0"/>
              <w:autoSpaceDE/>
              <w:autoSpaceDN/>
              <w:bidi w:val="0"/>
              <w:spacing w:line="240" w:lineRule="auto"/>
              <w:ind w:left="0" w:leftChars="0" w:firstLine="0" w:firstLineChars="0"/>
              <w:jc w:val="left"/>
              <w:rPr>
                <w:rFonts w:hint="default"/>
                <w:sz w:val="24"/>
                <w:szCs w:val="24"/>
                <w:lang w:val="en-US" w:eastAsia="zh-CN"/>
              </w:rPr>
            </w:pPr>
            <w:r>
              <w:rPr>
                <w:rFonts w:hint="eastAsia" w:ascii="宋体" w:hAnsi="宋体" w:eastAsia="宋体" w:cs="宋体"/>
                <w:b w:val="0"/>
                <w:bCs/>
                <w:sz w:val="24"/>
                <w:szCs w:val="24"/>
                <w:lang w:val="en-US" w:eastAsia="zh-CN"/>
              </w:rPr>
              <w:t>合法合规完成公开招标全过程。包括但不限于设计费采购</w:t>
            </w:r>
            <w:r>
              <w:rPr>
                <w:rFonts w:hint="eastAsia" w:ascii="宋体" w:hAnsi="宋体" w:eastAsia="宋体" w:cs="宋体"/>
                <w:b/>
                <w:bCs w:val="0"/>
                <w:color w:val="0000FF"/>
                <w:sz w:val="24"/>
                <w:szCs w:val="24"/>
                <w:lang w:val="en-US" w:eastAsia="zh-CN"/>
              </w:rPr>
              <w:t>预算编制</w:t>
            </w:r>
            <w:r>
              <w:rPr>
                <w:rFonts w:hint="eastAsia" w:ascii="宋体" w:hAnsi="宋体" w:eastAsia="宋体" w:cs="宋体"/>
                <w:b w:val="0"/>
                <w:bCs/>
                <w:sz w:val="24"/>
                <w:szCs w:val="24"/>
                <w:lang w:val="en-US" w:eastAsia="zh-CN"/>
              </w:rPr>
              <w:t>、招标文件编制、组织答疑、开标、评标，办理中标通知书、协助委托人签订中标合同、处理投标人提出的异议并配合监督部门调查违法行为等招标全过程的招标代理工作。</w:t>
            </w:r>
          </w:p>
        </w:tc>
      </w:tr>
      <w:tr w14:paraId="6B70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D8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1D1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sz w:val="24"/>
                <w:szCs w:val="24"/>
                <w:lang w:eastAsia="zh-CN"/>
              </w:rPr>
            </w:pPr>
            <w:r>
              <w:rPr>
                <w:rFonts w:hint="eastAsia" w:ascii="宋体" w:hAnsi="宋体" w:eastAsia="宋体" w:cs="宋体"/>
                <w:b w:val="0"/>
                <w:bCs/>
                <w:sz w:val="24"/>
                <w:szCs w:val="24"/>
                <w:lang w:val="en-US" w:eastAsia="zh-CN"/>
              </w:rPr>
              <w:t>由</w:t>
            </w:r>
            <w:r>
              <w:rPr>
                <w:rFonts w:hint="eastAsia" w:ascii="宋体" w:hAnsi="宋体" w:eastAsia="宋体" w:cs="宋体"/>
                <w:b/>
                <w:bCs w:val="0"/>
                <w:color w:val="0000FF"/>
                <w:sz w:val="24"/>
                <w:szCs w:val="24"/>
                <w:u w:val="single"/>
                <w:lang w:val="en-US" w:eastAsia="zh-CN"/>
              </w:rPr>
              <w:t>中国东盟国际（农产品）冷链集拼物流中心集疏运仓库及配套项目工程设计项目</w:t>
            </w:r>
            <w:r>
              <w:rPr>
                <w:rFonts w:hint="eastAsia" w:ascii="宋体" w:hAnsi="宋体" w:eastAsia="宋体" w:cs="宋体"/>
                <w:b w:val="0"/>
                <w:bCs/>
                <w:sz w:val="24"/>
                <w:szCs w:val="24"/>
                <w:lang w:val="en-US" w:eastAsia="zh-CN"/>
              </w:rPr>
              <w:t>的中标人在与委托人签订合同5日内，将本合同约定的全部委托代理报酬通过银行转账方式一次性支付给代理人。</w:t>
            </w:r>
          </w:p>
        </w:tc>
      </w:tr>
      <w:tr w14:paraId="3AF9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180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680B">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default" w:ascii="宋体" w:hAnsi="宋体" w:eastAsia="宋体" w:cs="宋体"/>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val="en-US" w:eastAsia="zh-CN" w:bidi="ar"/>
              </w:rPr>
              <w:t>无</w:t>
            </w:r>
          </w:p>
        </w:tc>
      </w:tr>
    </w:tbl>
    <w:p w14:paraId="7C15E74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6E13FB54">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7F7032CF">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75CED9A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2C55194B">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4107FBA2">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0AA4DB2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01288162">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5F26EDB4">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1B4989E0">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39BC4370">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kern w:val="2"/>
          <w:sz w:val="28"/>
          <w:szCs w:val="28"/>
          <w:lang w:val="en-US" w:eastAsia="zh-CN" w:bidi="zh-CN"/>
        </w:rPr>
      </w:pPr>
    </w:p>
    <w:p w14:paraId="76300D42">
      <w:pPr>
        <w:rPr>
          <w:rFonts w:hint="eastAsia"/>
          <w:lang w:val="en-US" w:eastAsia="zh-CN"/>
        </w:rPr>
      </w:pPr>
    </w:p>
    <w:p w14:paraId="1657774A">
      <w:pPr>
        <w:rPr>
          <w:rFonts w:hint="eastAsia"/>
          <w:lang w:val="en-US" w:eastAsia="zh-CN"/>
        </w:rPr>
      </w:pPr>
      <w:r>
        <w:rPr>
          <w:rFonts w:hint="eastAsia"/>
          <w:lang w:val="en-US" w:eastAsia="zh-CN"/>
        </w:rPr>
        <w:br w:type="page"/>
      </w:r>
    </w:p>
    <w:p w14:paraId="20D33448">
      <w:pPr>
        <w:pStyle w:val="39"/>
        <w:ind w:firstLine="0" w:firstLineChars="0"/>
        <w:jc w:val="center"/>
        <w:rPr>
          <w:rFonts w:hint="eastAsia"/>
          <w:lang w:val="en-US" w:eastAsia="zh-CN"/>
        </w:rPr>
      </w:pPr>
      <w:r>
        <w:rPr>
          <w:rFonts w:hint="eastAsia"/>
          <w:lang w:val="en-US" w:eastAsia="zh-CN"/>
        </w:rPr>
        <w:t>第三章  供应商须知</w:t>
      </w:r>
    </w:p>
    <w:p w14:paraId="1F9353EC">
      <w:pPr>
        <w:pStyle w:val="40"/>
        <w:rPr>
          <w:rFonts w:hint="eastAsia"/>
        </w:rPr>
      </w:pPr>
      <w:r>
        <w:rPr>
          <w:rFonts w:hint="eastAsia"/>
          <w:lang w:val="en-US" w:eastAsia="zh-CN"/>
        </w:rPr>
        <w:t>供应商</w:t>
      </w:r>
      <w:r>
        <w:rPr>
          <w:rFonts w:hint="eastAsia"/>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4FD2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BB0B829">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2780761E">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00E05813">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44EB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32D2D49">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41F887E2">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3F55EC49">
            <w:pPr>
              <w:pStyle w:val="12"/>
              <w:spacing w:line="360" w:lineRule="exact"/>
              <w:rPr>
                <w:rFonts w:hint="eastAsia" w:ascii="宋体" w:hAnsi="宋体" w:eastAsia="宋体" w:cs="宋体"/>
              </w:rPr>
            </w:pPr>
            <w:r>
              <w:rPr>
                <w:rFonts w:hint="eastAsia" w:ascii="宋体" w:hAnsi="宋体" w:eastAsia="宋体" w:cs="宋体"/>
              </w:rPr>
              <w:t>采购人：</w:t>
            </w:r>
            <w:r>
              <w:rPr>
                <w:rFonts w:hint="eastAsia" w:hAnsi="宋体" w:cs="宋体"/>
                <w:lang w:val="en-US" w:eastAsia="zh-CN"/>
              </w:rPr>
              <w:t>广西自贸区产融城市运营管理有限公司</w:t>
            </w:r>
          </w:p>
          <w:p w14:paraId="13232EAB">
            <w:pPr>
              <w:pStyle w:val="12"/>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裴炳昌</w:t>
            </w:r>
          </w:p>
          <w:p w14:paraId="57EBCF0C">
            <w:pPr>
              <w:pStyle w:val="12"/>
              <w:spacing w:line="360" w:lineRule="exact"/>
              <w:rPr>
                <w:rFonts w:hint="default" w:ascii="宋体" w:hAnsi="宋体" w:eastAsia="宋体" w:cs="宋体"/>
                <w:color w:val="auto"/>
                <w:lang w:val="en-US"/>
              </w:rPr>
            </w:pPr>
            <w:r>
              <w:rPr>
                <w:rFonts w:hint="eastAsia" w:ascii="宋体" w:hAnsi="宋体" w:eastAsia="宋体" w:cs="宋体"/>
              </w:rPr>
              <w:t>电话：0777-5881380</w:t>
            </w:r>
          </w:p>
        </w:tc>
      </w:tr>
      <w:tr w14:paraId="7B02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14:paraId="4B1892F1">
            <w:pPr>
              <w:pStyle w:val="12"/>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4BE860AE">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42F80425">
            <w:pPr>
              <w:pStyle w:val="12"/>
              <w:spacing w:line="360" w:lineRule="exact"/>
              <w:rPr>
                <w:rFonts w:hint="default" w:ascii="宋体" w:hAnsi="宋体" w:eastAsia="宋体" w:cs="宋体"/>
                <w:color w:val="auto"/>
                <w:szCs w:val="21"/>
                <w:lang w:val="en-US" w:eastAsia="zh-CN"/>
              </w:rPr>
            </w:pPr>
            <w:r>
              <w:rPr>
                <w:rFonts w:hint="eastAsia" w:hAnsi="宋体" w:cs="宋体"/>
                <w:color w:val="auto"/>
                <w:szCs w:val="21"/>
                <w:lang w:val="en-US" w:eastAsia="zh-CN"/>
              </w:rPr>
              <w:t>中国东盟国际（农产品）冷链集拼物流中心集疏运仓库及配套项目工程设计招标代理服务</w:t>
            </w:r>
          </w:p>
        </w:tc>
      </w:tr>
      <w:tr w14:paraId="4449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71862DF">
            <w:pPr>
              <w:pStyle w:val="12"/>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699518C7">
            <w:pPr>
              <w:pStyle w:val="12"/>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04A016C5">
            <w:pPr>
              <w:pStyle w:val="12"/>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4909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79A9E54">
            <w:pPr>
              <w:pStyle w:val="12"/>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14:paraId="048B5097">
            <w:pPr>
              <w:pStyle w:val="12"/>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4DF296D1">
            <w:pPr>
              <w:pStyle w:val="12"/>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cs="宋体"/>
                <w:color w:val="auto"/>
                <w:kern w:val="0"/>
                <w:szCs w:val="21"/>
                <w:highlight w:val="none"/>
                <w:lang w:eastAsia="zh-CN"/>
              </w:rPr>
              <w:t>http://www.qzmktjt.com/</w:t>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4C08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F796F00">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14:paraId="7A3A4E7E">
            <w:pPr>
              <w:pStyle w:val="12"/>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14:paraId="23329377">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1、国内注册（指按国家有关规定要求注册），具有有效的招标代理经营范围的营业执照。</w:t>
            </w:r>
          </w:p>
          <w:p w14:paraId="45C51715">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2、具有独立承担民事责任的能力。</w:t>
            </w:r>
          </w:p>
          <w:p w14:paraId="702DF30B">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3、具有良好的商业信誉和履行合同所必需的设备和专业技术能力。</w:t>
            </w:r>
          </w:p>
          <w:p w14:paraId="508AEC80">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4、参加采购活动前三年内，在经营活动中没有重大违法记录（由竞标人提供“信用中国”网站https://www.creditchina.gov.cn/下载的信用报告并加盖公章）。</w:t>
            </w:r>
          </w:p>
          <w:p w14:paraId="2919C183">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5、单位负责人为同一人或者存在直接控股、管理关系的不同供应商，不得参加同一合同项下的采购活动。</w:t>
            </w:r>
          </w:p>
          <w:p w14:paraId="0EBD5AD2">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6、法律、行政法规规定的其他条件。</w:t>
            </w:r>
          </w:p>
          <w:p w14:paraId="101DBFE0">
            <w:pPr>
              <w:pStyle w:val="12"/>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7、本项目的特定资格要求：无。</w:t>
            </w:r>
          </w:p>
        </w:tc>
      </w:tr>
      <w:tr w14:paraId="00B5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FA4C531">
            <w:pPr>
              <w:pStyle w:val="12"/>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17180A11">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146F5DBC">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w:char="00A8"/>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val="en-US" w:eastAsia="zh-CN"/>
              </w:rPr>
              <w:sym w:font="Wingdings" w:char="00FE"/>
            </w:r>
            <w:r>
              <w:rPr>
                <w:rFonts w:hint="eastAsia" w:ascii="宋体" w:hAnsi="宋体" w:eastAsia="宋体" w:cs="宋体"/>
              </w:rPr>
              <w:t>不接受联合体竞标</w:t>
            </w:r>
          </w:p>
        </w:tc>
      </w:tr>
      <w:tr w14:paraId="1480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833594C">
            <w:pPr>
              <w:pStyle w:val="12"/>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14:paraId="2A3E000A">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58B11677">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tc>
      </w:tr>
      <w:tr w14:paraId="3D92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6C106B1">
            <w:pPr>
              <w:pStyle w:val="12"/>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14:paraId="4DF8712D">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0D0EE869">
            <w:pPr>
              <w:pStyle w:val="12"/>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0AD3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7B0BE2C5">
            <w:pPr>
              <w:pStyle w:val="12"/>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14:paraId="78AFC652">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69D1E47D">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50D9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086E82E">
            <w:pPr>
              <w:pStyle w:val="12"/>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57193A75">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2E91660F">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14:paraId="1748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F3CC1DC">
            <w:pPr>
              <w:pStyle w:val="12"/>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3A984196">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09F69089">
            <w:pPr>
              <w:pStyle w:val="12"/>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4B0D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31A0069">
            <w:pPr>
              <w:pStyle w:val="12"/>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7B143773">
            <w:pPr>
              <w:pStyle w:val="12"/>
              <w:spacing w:line="360" w:lineRule="exact"/>
              <w:jc w:val="center"/>
              <w:rPr>
                <w:rFonts w:hint="eastAsia" w:ascii="宋体" w:hAnsi="宋体" w:eastAsia="宋体" w:cs="宋体"/>
              </w:rPr>
            </w:pPr>
            <w:r>
              <w:rPr>
                <w:rFonts w:hint="eastAsia" w:ascii="宋体" w:hAnsi="宋体" w:eastAsia="宋体" w:cs="宋体"/>
              </w:rPr>
              <w:t>响应文件提交</w:t>
            </w:r>
          </w:p>
          <w:p w14:paraId="4BD7B74A">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0771EF02">
            <w:pPr>
              <w:pStyle w:val="12"/>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6743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8991B0F">
            <w:pPr>
              <w:pStyle w:val="12"/>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5F2A190D">
            <w:pPr>
              <w:pStyle w:val="12"/>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439CA01E">
            <w:pPr>
              <w:pStyle w:val="12"/>
              <w:spacing w:line="360" w:lineRule="exact"/>
              <w:rPr>
                <w:rFonts w:hint="default" w:ascii="宋体" w:hAnsi="宋体" w:eastAsia="宋体" w:cs="宋体"/>
                <w:lang w:val="en-US" w:eastAsia="zh-CN"/>
              </w:rPr>
            </w:pPr>
            <w:r>
              <w:rPr>
                <w:rFonts w:hint="eastAsia" w:hAnsi="宋体" w:cs="宋体"/>
                <w:lang w:val="en-US" w:eastAsia="zh-CN"/>
              </w:rPr>
              <w:t>供应商不需要到达开标现场。</w:t>
            </w:r>
          </w:p>
        </w:tc>
      </w:tr>
      <w:tr w14:paraId="7113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6448F58">
            <w:pPr>
              <w:pStyle w:val="12"/>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71B693B5">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2466859A">
            <w:pPr>
              <w:pStyle w:val="12"/>
              <w:spacing w:line="360" w:lineRule="exact"/>
              <w:rPr>
                <w:rFonts w:hint="eastAsia" w:ascii="宋体" w:hAnsi="宋体" w:eastAsia="宋体" w:cs="宋体"/>
              </w:rPr>
            </w:pPr>
            <w:r>
              <w:rPr>
                <w:rFonts w:hint="eastAsia" w:ascii="宋体" w:hAnsi="宋体" w:eastAsia="宋体" w:cs="宋体"/>
                <w:szCs w:val="21"/>
              </w:rPr>
              <w:t>无</w:t>
            </w:r>
          </w:p>
        </w:tc>
      </w:tr>
    </w:tbl>
    <w:p w14:paraId="34C09EF3">
      <w:pPr>
        <w:rPr>
          <w:rFonts w:hint="eastAsia" w:ascii="宋体" w:hAnsi="宋体" w:eastAsia="宋体" w:cs="宋体"/>
          <w:lang w:val="en-US" w:eastAsia="zh-CN"/>
        </w:rPr>
      </w:pPr>
      <w:r>
        <w:rPr>
          <w:rFonts w:hint="eastAsia" w:ascii="宋体" w:hAnsi="宋体" w:eastAsia="宋体" w:cs="宋体"/>
          <w:lang w:val="en-US" w:eastAsia="zh-CN"/>
        </w:rPr>
        <w:br w:type="page"/>
      </w:r>
    </w:p>
    <w:p w14:paraId="553DE8A0">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40BE4499">
      <w:pPr>
        <w:pStyle w:val="41"/>
        <w:rPr>
          <w:rFonts w:hint="default"/>
        </w:rPr>
      </w:pPr>
      <w:r>
        <w:rPr>
          <w:rFonts w:hint="default"/>
        </w:rPr>
        <w:t>1.项目概况</w:t>
      </w:r>
    </w:p>
    <w:p w14:paraId="54E06ED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617C0AD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7922615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5F0DA0F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14:paraId="79F9D2B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0F79AEE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780F107F">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5EB4F1B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sz w:val="24"/>
          <w:szCs w:val="24"/>
          <w:u w:val="single"/>
          <w:lang w:eastAsia="zh-CN" w:bidi="zh-CN"/>
        </w:rPr>
        <w:t>http://www.qzmktjt.com/</w:t>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5F4AB9DC">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5DC6EBB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6122D594">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698B9034">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3EFB369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763FFD27">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50C369D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210BD15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7996B3F7">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19B55C0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0695EFA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31BF04A5">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042D2D5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4E37DA5D">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0B7A8D6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6D3324C3">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6AF2EFC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34483CB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1B54B25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62BFAC9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32B68F5D">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5E15E89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6ABB86C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714D58F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12684B3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4CA7FFD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5E9BCF5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0CB60BF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6BF09F6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7464F3A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2188AD0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71B42C7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1A10CC3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786CFD7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1628399B">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7AEF99F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0B7AC70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40D8F7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4B202593">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5B37763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3BF0036F">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48D8CD9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36EA93B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059AEDB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143987F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6304E2F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3D0B8848">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3C265D6">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64C35726">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58BA1BE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26338137">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12F533F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资质信誉证明文件、报价商务技术文件</w:t>
      </w:r>
      <w:r>
        <w:rPr>
          <w:rFonts w:hint="default" w:ascii="宋体" w:hAnsi="宋体" w:eastAsia="宋体" w:cs="宋体"/>
          <w:sz w:val="24"/>
          <w:szCs w:val="24"/>
          <w:lang w:bidi="zh-CN"/>
        </w:rPr>
        <w:t>两部分组成。</w:t>
      </w:r>
    </w:p>
    <w:p w14:paraId="40B20F4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.1.1资质信誉证明文件：详见供应商须知前附表</w:t>
      </w:r>
      <w:r>
        <w:rPr>
          <w:rFonts w:hint="eastAsia" w:ascii="宋体" w:hAnsi="宋体" w:eastAsia="宋体" w:cs="宋体"/>
          <w:sz w:val="24"/>
          <w:szCs w:val="24"/>
          <w:lang w:bidi="zh-CN"/>
        </w:rPr>
        <w:t>。</w:t>
      </w:r>
    </w:p>
    <w:p w14:paraId="5DEEF37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035F3EE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4CC19B98">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0ABEE86A">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3A530F4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资质信誉证明文件、报价商务技术文件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资质信誉证明文件、报价商务技术文件按顺序装订成册。响应文件正本一份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5FBAEA5F">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01C48816">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0719BEF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07F05BE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4879E421">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29D89976">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65727615">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532876B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50323ABD">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5F6CA84A">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45C5C8B4">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14:paraId="143ABF65">
      <w:pPr>
        <w:pStyle w:val="39"/>
        <w:rPr>
          <w:rFonts w:hint="eastAsia"/>
          <w:lang w:val="en-US" w:eastAsia="zh-CN"/>
        </w:rPr>
      </w:pPr>
      <w:r>
        <w:rPr>
          <w:rFonts w:hint="eastAsia"/>
          <w:lang w:val="en-US" w:eastAsia="zh-CN"/>
        </w:rPr>
        <w:t>第四章  评审办法</w:t>
      </w:r>
    </w:p>
    <w:p w14:paraId="2A5BEF7E">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14:paraId="380363F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本采购项目的评审委员会由采购人</w:t>
      </w:r>
      <w:r>
        <w:rPr>
          <w:rFonts w:hint="default" w:ascii="宋体" w:hAnsi="宋体" w:eastAsia="宋体" w:cs="宋体"/>
          <w:b w:val="0"/>
          <w:bCs w:val="0"/>
          <w:kern w:val="2"/>
          <w:sz w:val="24"/>
          <w:szCs w:val="24"/>
          <w:lang w:eastAsia="zh-CN" w:bidi="zh-CN"/>
        </w:rPr>
        <w:t>组织</w:t>
      </w:r>
      <w:r>
        <w:rPr>
          <w:rFonts w:hint="eastAsia" w:ascii="宋体" w:hAnsi="宋体" w:eastAsia="宋体" w:cs="宋体"/>
          <w:b w:val="0"/>
          <w:bCs w:val="0"/>
          <w:kern w:val="2"/>
          <w:sz w:val="24"/>
          <w:szCs w:val="24"/>
          <w:lang w:val="en-US" w:eastAsia="zh-CN" w:bidi="zh-CN"/>
        </w:rPr>
        <w:t>三人以上单数组成。</w:t>
      </w:r>
    </w:p>
    <w:p w14:paraId="3F8BB6BD">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428AE43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7ED6FEFE">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051ED7B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评审委员会对资格和符合性审查合格的响应文件，采用综合评分法进行评审，以采购文件、响应文件为评审依据，以技术、服务能满足采购文件实质性要求且最终得分最高的原则确定成交供应商。</w:t>
      </w:r>
    </w:p>
    <w:p w14:paraId="2DE14FF0">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14:paraId="2D4CD14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w:t>
      </w:r>
      <w:bookmarkStart w:id="12" w:name="_GoBack"/>
      <w:bookmarkEnd w:id="12"/>
      <w:r>
        <w:rPr>
          <w:rFonts w:hint="eastAsia" w:ascii="宋体" w:hAnsi="宋体" w:eastAsia="宋体" w:cs="宋体"/>
          <w:b w:val="0"/>
          <w:bCs w:val="0"/>
          <w:kern w:val="2"/>
          <w:sz w:val="24"/>
          <w:szCs w:val="24"/>
          <w:lang w:val="en-US" w:eastAsia="zh-CN" w:bidi="zh-CN"/>
        </w:rPr>
        <w:t>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66062AC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2E5A1A0C">
      <w:pPr>
        <w:pStyle w:val="41"/>
        <w:numPr>
          <w:ilvl w:val="0"/>
          <w:numId w:val="0"/>
        </w:numPr>
        <w:rPr>
          <w:rFonts w:hint="eastAsia"/>
          <w:lang w:val="en-US" w:eastAsia="zh-CN"/>
        </w:rPr>
      </w:pPr>
      <w:r>
        <w:rPr>
          <w:rFonts w:hint="eastAsia"/>
          <w:lang w:val="en-US" w:eastAsia="zh-CN"/>
        </w:rPr>
        <w:t>20.评分标准</w:t>
      </w:r>
    </w:p>
    <w:tbl>
      <w:tblPr>
        <w:tblStyle w:val="2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6F6A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9A801AC">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w:t>
            </w:r>
          </w:p>
        </w:tc>
        <w:tc>
          <w:tcPr>
            <w:tcW w:w="1704" w:type="dxa"/>
            <w:vAlign w:val="center"/>
          </w:tcPr>
          <w:p w14:paraId="080B340C">
            <w:pPr>
              <w:keepNext w:val="0"/>
              <w:keepLines w:val="0"/>
              <w:shd w:val="clear" w:color="auto" w:fill="auto"/>
              <w:bidi w:val="0"/>
              <w:spacing w:before="0" w:after="0" w:line="240" w:lineRule="auto"/>
              <w:ind w:left="0" w:right="0" w:firstLine="210" w:firstLineChars="10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分值构成</w:t>
            </w:r>
          </w:p>
          <w:p w14:paraId="0A74624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（总分100分）</w:t>
            </w:r>
          </w:p>
        </w:tc>
        <w:tc>
          <w:tcPr>
            <w:tcW w:w="6614" w:type="dxa"/>
            <w:gridSpan w:val="2"/>
            <w:vAlign w:val="center"/>
          </w:tcPr>
          <w:p w14:paraId="768EA0EB">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p w14:paraId="000767E9">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p w14:paraId="3FFA457D">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p w14:paraId="1C7EADE4">
            <w:pPr>
              <w:keepNext w:val="0"/>
              <w:keepLines w:val="0"/>
              <w:shd w:val="clear" w:color="auto" w:fill="auto"/>
              <w:bidi w:val="0"/>
              <w:spacing w:before="0" w:after="0" w:line="240" w:lineRule="auto"/>
              <w:ind w:left="0" w:right="0" w:firstLine="0"/>
              <w:jc w:val="left"/>
              <w:rPr>
                <w:rFonts w:hint="default"/>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总分为100分</w:t>
            </w:r>
          </w:p>
        </w:tc>
      </w:tr>
      <w:tr w14:paraId="2C4B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255E060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20.1.1</w:t>
            </w:r>
          </w:p>
        </w:tc>
        <w:tc>
          <w:tcPr>
            <w:tcW w:w="1704" w:type="dxa"/>
            <w:vMerge w:val="restart"/>
            <w:vAlign w:val="center"/>
          </w:tcPr>
          <w:p w14:paraId="47702CD5">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tc>
        <w:tc>
          <w:tcPr>
            <w:tcW w:w="2541" w:type="dxa"/>
            <w:vAlign w:val="center"/>
          </w:tcPr>
          <w:p w14:paraId="6916C038">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管理体系（满分2分）</w:t>
            </w:r>
          </w:p>
        </w:tc>
        <w:tc>
          <w:tcPr>
            <w:tcW w:w="4073" w:type="dxa"/>
            <w:vAlign w:val="center"/>
          </w:tcPr>
          <w:p w14:paraId="083468BC">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过ISO认证且在有效期内：</w:t>
            </w:r>
          </w:p>
          <w:p w14:paraId="1DB6B402">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1.‌ISO质量管理体系认证，得1分；</w:t>
            </w:r>
          </w:p>
          <w:p w14:paraId="156E6431">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‌ISO职业健康安全管理体系认证</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，得1分。</w:t>
            </w:r>
          </w:p>
        </w:tc>
      </w:tr>
      <w:tr w14:paraId="2DE1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15C33E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0C707E5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69DEDC24">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企业法人代表或技术负责人（满分3分）</w:t>
            </w:r>
          </w:p>
        </w:tc>
        <w:tc>
          <w:tcPr>
            <w:tcW w:w="4073" w:type="dxa"/>
            <w:vAlign w:val="center"/>
          </w:tcPr>
          <w:p w14:paraId="335C7EFF">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企业法人代表或技术负责人证书：</w:t>
            </w:r>
          </w:p>
          <w:p w14:paraId="56BFBD92">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1.具有正高级职称，得3分；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2.具有副高级职称，得2分；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3.具有中级职称，得1分。</w:t>
            </w:r>
          </w:p>
        </w:tc>
      </w:tr>
      <w:tr w14:paraId="1B17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74115A3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32A283F2">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1D67D1E5">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企业注册执业资格人数（满分10分）</w:t>
            </w:r>
          </w:p>
        </w:tc>
        <w:tc>
          <w:tcPr>
            <w:tcW w:w="4073" w:type="dxa"/>
            <w:vAlign w:val="center"/>
          </w:tcPr>
          <w:p w14:paraId="238585A9">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除服务团队成员外，企业注册执业资格人数：</w:t>
            </w:r>
          </w:p>
          <w:p w14:paraId="4DC2B5F3">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1.一级注册造价师、注册监理工程师、一级注册建造师：每一名得1分，得分上限为5分；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2.二级注册造价师、二级注册建造师：每一名得0.5分，得分上限为5分。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同一人同时具备多项注册执业资格的，按一人计，需提供劳动合同及竞标截止时间前半年内连续3个月社保证明。</w:t>
            </w:r>
          </w:p>
        </w:tc>
      </w:tr>
      <w:tr w14:paraId="2F7D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0E5D975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0496B61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76B45CAB">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“桂建云”信用评价（满分5分）</w:t>
            </w:r>
          </w:p>
        </w:tc>
        <w:tc>
          <w:tcPr>
            <w:tcW w:w="4073" w:type="dxa"/>
            <w:vAlign w:val="center"/>
          </w:tcPr>
          <w:p w14:paraId="7A531257">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广西建筑市场监管云平台“桂建云</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w:t>
            </w:r>
          </w:p>
          <w:p w14:paraId="6C32B833">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1.诚信评分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90分，得5分；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2.80分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诚信评分&lt;90分，得3分；</w:t>
            </w:r>
          </w:p>
          <w:p w14:paraId="2E54EB56">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3.70分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诚信评分&lt;80分，得2分；</w:t>
            </w:r>
          </w:p>
          <w:p w14:paraId="64684E15">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4.60分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诚信评分&lt;70分，得1分；</w:t>
            </w:r>
          </w:p>
          <w:p w14:paraId="2266DF9A">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5.诚信评分60分以下及无评分记录的，得0分。</w:t>
            </w:r>
          </w:p>
        </w:tc>
      </w:tr>
      <w:tr w14:paraId="7C7B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75F75B97">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20.1.2</w:t>
            </w:r>
          </w:p>
        </w:tc>
        <w:tc>
          <w:tcPr>
            <w:tcW w:w="1704" w:type="dxa"/>
            <w:vMerge w:val="restart"/>
            <w:vAlign w:val="center"/>
          </w:tcPr>
          <w:p w14:paraId="4C8EE03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tc>
        <w:tc>
          <w:tcPr>
            <w:tcW w:w="2541" w:type="dxa"/>
            <w:vAlign w:val="center"/>
          </w:tcPr>
          <w:p w14:paraId="01702055">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1.内容全面性（满分20分）</w:t>
            </w:r>
          </w:p>
        </w:tc>
        <w:tc>
          <w:tcPr>
            <w:tcW w:w="4073" w:type="dxa"/>
            <w:vAlign w:val="center"/>
          </w:tcPr>
          <w:p w14:paraId="124593E9">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1档0～7分：方案基本覆盖了采购文件中提出的所有关键要求，但某些部分的说明不够详细或略显简略，可能遗漏了个别次要方面的响应。</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2档8～14分：方案全面响应了采购文件的所有要求，各部分内容表述清晰，逻辑连贯，对项目需求的理解准确，且提供了较为详尽的实施方案，仅在某些细节方面有待进一步细化。</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15～20分：方案不仅完全响应了采购文件的所有要求，而且在理解基础上进行了深化和拓展，提出了创新或优化建议，展现了深入的行业理解和项目洞察力。内容组织结构清晰，逻辑性强，易于理解，且针对项目特定情况有定制化的解决方案。</w:t>
            </w:r>
          </w:p>
        </w:tc>
      </w:tr>
      <w:tr w14:paraId="3C31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B9EFAF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0D13E2C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241BC7E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2.难点、要点阐述（满分15分）</w:t>
            </w:r>
          </w:p>
        </w:tc>
        <w:tc>
          <w:tcPr>
            <w:tcW w:w="4073" w:type="dxa"/>
            <w:vAlign w:val="center"/>
          </w:tcPr>
          <w:p w14:paraId="2E0CC3D5">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1档0～5分：方案中对项目难点和要点有所提及，但描述较为笼统，缺乏具体分析，没有提出明确的应对策略或解决思路，难以看出实际操作的可行性和有效性。</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2档6～10分：能识别并列举出项目的主要难点和要点，对这些难点进行了基本的分析，并尝试提出了一些应对措施，但分析不够深入，解决方案的可行性和针对性有待加强。</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对项目难点和要点有深入剖析，不仅明确指出了问题所在，还结合项目背景和团队经验，提供了详细且具有针对性的解决方案或建议。方案中对每个难点的解决路径清晰，可操作性强，充分展示了团队的专业能力和对项目的深刻理解。</w:t>
            </w:r>
          </w:p>
        </w:tc>
      </w:tr>
      <w:tr w14:paraId="515A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336F709E">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96F7D02">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1C8D09A8">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3.工作质量控制措施（满分15分）</w:t>
            </w:r>
          </w:p>
        </w:tc>
        <w:tc>
          <w:tcPr>
            <w:tcW w:w="4073" w:type="dxa"/>
            <w:vAlign w:val="center"/>
          </w:tcPr>
          <w:p w14:paraId="164AABF5">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1档0～5分：提到了一些通用的质量控制措施，但缺乏具体实施步骤、责任人分配或监控机制，使得措施的可执行性和实际效用存疑。</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2档6～10分：列出了较为详细的工作质量控制流程，包括质量检查节点、标准、责任人等，但部分措施的可行性分析不足，或者对于如何确保措施有效执行的说明不够充分。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11～15分：不仅详细介绍了全面的质量控制体系，包括事前预防、事中控制和事后审核的具体措施，还结合项目特点制定了个性化的质控方案。方案中包含了明确的责任分配、时间表、监督机制以及异常情况的应对预案，确保了措施的可行性和高效执行。此外，还可能包括了质量反馈和持续改进的机制，显示了对工作质量持续提升的承诺。</w:t>
            </w:r>
          </w:p>
        </w:tc>
      </w:tr>
      <w:tr w14:paraId="6F40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71A2887">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20.1.3</w:t>
            </w:r>
          </w:p>
        </w:tc>
        <w:tc>
          <w:tcPr>
            <w:tcW w:w="1704" w:type="dxa"/>
            <w:vAlign w:val="center"/>
          </w:tcPr>
          <w:p w14:paraId="45572BB8">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tc>
        <w:tc>
          <w:tcPr>
            <w:tcW w:w="6614" w:type="dxa"/>
            <w:gridSpan w:val="2"/>
            <w:vAlign w:val="center"/>
          </w:tcPr>
          <w:p w14:paraId="7BA447A1">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报价得分=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（评审基准价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/供应商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30</w:t>
            </w:r>
          </w:p>
          <w:p w14:paraId="305FF059">
            <w:pPr>
              <w:keepNext w:val="0"/>
              <w:keepLines w:val="0"/>
              <w:shd w:val="clear" w:color="auto" w:fill="auto"/>
              <w:bidi w:val="0"/>
              <w:spacing w:before="0" w:after="0" w:line="240" w:lineRule="auto"/>
              <w:ind w:left="0" w:right="0" w:firstLine="0"/>
              <w:jc w:val="both"/>
              <w:rPr>
                <w:rFonts w:hint="default"/>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注：评审基准价=通过初步评审的所有供应商的最低评审价格</w:t>
            </w:r>
          </w:p>
        </w:tc>
      </w:tr>
    </w:tbl>
    <w:p w14:paraId="710EF55F">
      <w:pPr>
        <w:pStyle w:val="39"/>
        <w:rPr>
          <w:rFonts w:hint="eastAsia"/>
          <w:lang w:val="en-US" w:eastAsia="zh-CN"/>
        </w:rPr>
      </w:pPr>
    </w:p>
    <w:p w14:paraId="6473CE16">
      <w:pPr>
        <w:pStyle w:val="39"/>
        <w:rPr>
          <w:rFonts w:hint="eastAsia"/>
          <w:lang w:val="en-US" w:eastAsia="zh-CN"/>
        </w:rPr>
      </w:pPr>
    </w:p>
    <w:p w14:paraId="0C693E9A">
      <w:pPr>
        <w:pStyle w:val="39"/>
        <w:rPr>
          <w:rFonts w:hint="eastAsia"/>
          <w:lang w:val="en-US" w:eastAsia="zh-CN"/>
        </w:rPr>
      </w:pPr>
    </w:p>
    <w:p w14:paraId="3DF0E6FC">
      <w:pPr>
        <w:pStyle w:val="39"/>
        <w:rPr>
          <w:rFonts w:hint="eastAsia"/>
          <w:lang w:val="en-US" w:eastAsia="zh-CN"/>
        </w:rPr>
      </w:pPr>
    </w:p>
    <w:p w14:paraId="5D5F5F46">
      <w:pPr>
        <w:pStyle w:val="39"/>
        <w:rPr>
          <w:rFonts w:hint="eastAsia"/>
          <w:lang w:val="en-US" w:eastAsia="zh-CN"/>
        </w:rPr>
      </w:pPr>
    </w:p>
    <w:p w14:paraId="0320EC35">
      <w:pPr>
        <w:pStyle w:val="39"/>
        <w:rPr>
          <w:rFonts w:hint="eastAsia"/>
          <w:lang w:val="en-US" w:eastAsia="zh-CN"/>
        </w:rPr>
      </w:pPr>
    </w:p>
    <w:p w14:paraId="205BFEEB">
      <w:pPr>
        <w:pStyle w:val="39"/>
        <w:rPr>
          <w:rFonts w:hint="eastAsia"/>
          <w:lang w:val="en-US" w:eastAsia="zh-CN"/>
        </w:rPr>
      </w:pPr>
    </w:p>
    <w:p w14:paraId="6A3234C5">
      <w:pPr>
        <w:pStyle w:val="39"/>
        <w:rPr>
          <w:rFonts w:hint="eastAsia"/>
          <w:lang w:val="en-US" w:eastAsia="zh-CN"/>
        </w:rPr>
      </w:pPr>
    </w:p>
    <w:p w14:paraId="29020C35">
      <w:pPr>
        <w:pStyle w:val="39"/>
        <w:rPr>
          <w:rFonts w:hint="eastAsia"/>
          <w:lang w:val="en-US" w:eastAsia="zh-CN"/>
        </w:rPr>
      </w:pPr>
    </w:p>
    <w:p w14:paraId="69149C68">
      <w:pPr>
        <w:pStyle w:val="39"/>
        <w:rPr>
          <w:rFonts w:hint="eastAsia"/>
          <w:lang w:val="en-US" w:eastAsia="zh-CN"/>
        </w:rPr>
      </w:pPr>
    </w:p>
    <w:p w14:paraId="30D1A207">
      <w:pPr>
        <w:pStyle w:val="39"/>
        <w:rPr>
          <w:rFonts w:hint="eastAsia"/>
          <w:lang w:val="en-US" w:eastAsia="zh-CN"/>
        </w:rPr>
      </w:pPr>
    </w:p>
    <w:p w14:paraId="35075C36">
      <w:pPr>
        <w:rPr>
          <w:rFonts w:hint="eastAsia"/>
          <w:lang w:val="en-US" w:eastAsia="zh-CN"/>
        </w:rPr>
      </w:pPr>
    </w:p>
    <w:p w14:paraId="3AFE648F">
      <w:pPr>
        <w:pStyle w:val="39"/>
        <w:rPr>
          <w:rFonts w:hint="eastAsia"/>
          <w:lang w:val="en-US" w:eastAsia="zh-CN"/>
        </w:rPr>
      </w:pPr>
      <w:r>
        <w:rPr>
          <w:rFonts w:hint="eastAsia"/>
          <w:lang w:val="en-US" w:eastAsia="zh-CN"/>
        </w:rPr>
        <w:t>第五章  响应文件格式</w:t>
      </w:r>
    </w:p>
    <w:p w14:paraId="0C7DCB48">
      <w:pPr>
        <w:rPr>
          <w:rFonts w:hint="eastAsia"/>
          <w:lang w:val="en-US" w:eastAsia="zh-CN"/>
        </w:rPr>
      </w:pPr>
    </w:p>
    <w:p w14:paraId="3A0FEBBD">
      <w:pPr>
        <w:rPr>
          <w:rFonts w:hint="eastAsia"/>
          <w:lang w:val="en-US" w:eastAsia="zh-CN"/>
        </w:rPr>
      </w:pPr>
    </w:p>
    <w:p w14:paraId="1555407C">
      <w:pPr>
        <w:rPr>
          <w:rFonts w:hint="eastAsia" w:ascii="宋体" w:hAnsi="宋体" w:eastAsia="宋体" w:cs="宋体"/>
          <w:b/>
          <w:bCs/>
          <w:sz w:val="32"/>
          <w:szCs w:val="32"/>
          <w:lang w:val="en-US" w:eastAsia="zh-CN"/>
        </w:rPr>
      </w:pPr>
    </w:p>
    <w:p w14:paraId="5E6D7D63">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70729C8D">
      <w:pPr>
        <w:rPr>
          <w:rFonts w:hint="eastAsia" w:ascii="宋体" w:hAnsi="宋体" w:eastAsia="宋体" w:cs="宋体"/>
          <w:b/>
          <w:bCs/>
          <w:sz w:val="32"/>
          <w:szCs w:val="32"/>
          <w:lang w:val="en-US" w:eastAsia="zh-CN"/>
        </w:rPr>
      </w:pPr>
    </w:p>
    <w:p w14:paraId="58D70628">
      <w:pPr>
        <w:rPr>
          <w:rFonts w:hint="eastAsia" w:ascii="宋体" w:hAnsi="宋体" w:eastAsia="宋体" w:cs="宋体"/>
          <w:b/>
          <w:bCs/>
          <w:sz w:val="32"/>
          <w:szCs w:val="32"/>
          <w:lang w:val="en-US" w:eastAsia="zh-CN"/>
        </w:rPr>
      </w:pPr>
    </w:p>
    <w:p w14:paraId="353AC702">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42B89383">
      <w:pPr>
        <w:rPr>
          <w:rFonts w:hint="eastAsia" w:ascii="宋体" w:hAnsi="宋体" w:eastAsia="宋体" w:cs="宋体"/>
          <w:b w:val="0"/>
          <w:bCs w:val="0"/>
          <w:sz w:val="32"/>
          <w:szCs w:val="32"/>
          <w:lang w:val="en-US" w:eastAsia="zh-CN"/>
        </w:rPr>
      </w:pPr>
    </w:p>
    <w:p w14:paraId="60034EEB">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0328EA3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434474C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727D6A2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1D2FC817">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24A9B963">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B77F1BB">
      <w:pPr>
        <w:rPr>
          <w:rFonts w:hint="eastAsia"/>
          <w:lang w:val="en-US" w:eastAsia="zh-CN"/>
        </w:rPr>
      </w:pPr>
      <w:r>
        <w:rPr>
          <w:rFonts w:hint="eastAsia"/>
          <w:lang w:val="en-US" w:eastAsia="zh-CN"/>
        </w:rPr>
        <w:br w:type="page"/>
      </w:r>
    </w:p>
    <w:p w14:paraId="13ADF2BA">
      <w:pPr>
        <w:spacing w:line="360" w:lineRule="auto"/>
        <w:rPr>
          <w:rFonts w:hint="eastAsia" w:ascii="宋体" w:hAnsi="宋体" w:eastAsia="宋体" w:cs="宋体"/>
          <w:b w:val="0"/>
          <w:bCs w:val="0"/>
          <w:sz w:val="32"/>
          <w:szCs w:val="32"/>
        </w:rPr>
      </w:pPr>
      <w:bookmarkStart w:id="1" w:name="_Toc35611516"/>
      <w:bookmarkStart w:id="2" w:name="_Toc31728084"/>
      <w:bookmarkStart w:id="3" w:name="_Toc35611438"/>
      <w:bookmarkStart w:id="4" w:name="_Toc44229899"/>
      <w:bookmarkStart w:id="5" w:name="_Toc30694"/>
      <w:bookmarkStart w:id="6" w:name="_Toc31723070"/>
      <w:r>
        <w:rPr>
          <w:rFonts w:hint="eastAsia" w:ascii="宋体" w:hAnsi="宋体" w:eastAsia="宋体" w:cs="宋体"/>
          <w:b w:val="0"/>
          <w:bCs w:val="0"/>
          <w:sz w:val="32"/>
          <w:szCs w:val="32"/>
        </w:rPr>
        <w:t>一、资质信誉证明文件格式</w:t>
      </w:r>
      <w:bookmarkEnd w:id="1"/>
      <w:bookmarkEnd w:id="2"/>
      <w:bookmarkEnd w:id="3"/>
      <w:bookmarkEnd w:id="4"/>
      <w:bookmarkEnd w:id="5"/>
      <w:bookmarkEnd w:id="6"/>
    </w:p>
    <w:p w14:paraId="1A180F20">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1.资质信誉证明文件封面格式</w:t>
      </w:r>
    </w:p>
    <w:p w14:paraId="01FDD72B">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5AF5B471">
      <w:pPr>
        <w:snapToGrid w:val="0"/>
        <w:spacing w:before="120" w:beforeLines="50" w:after="50" w:line="360" w:lineRule="auto"/>
        <w:rPr>
          <w:rFonts w:hint="eastAsia" w:ascii="宋体" w:hAnsi="宋体" w:eastAsia="宋体" w:cs="宋体"/>
          <w:sz w:val="32"/>
          <w:szCs w:val="32"/>
        </w:rPr>
      </w:pPr>
    </w:p>
    <w:p w14:paraId="15150B40">
      <w:pPr>
        <w:snapToGrid w:val="0"/>
        <w:spacing w:before="120" w:beforeLines="50" w:after="50" w:line="360" w:lineRule="auto"/>
        <w:rPr>
          <w:rFonts w:hint="eastAsia" w:ascii="宋体" w:hAnsi="宋体" w:eastAsia="宋体" w:cs="宋体"/>
          <w:sz w:val="32"/>
          <w:szCs w:val="32"/>
        </w:rPr>
      </w:pPr>
    </w:p>
    <w:p w14:paraId="4930681F">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资质信誉证明文件</w:t>
      </w:r>
    </w:p>
    <w:p w14:paraId="5D1013B6">
      <w:pPr>
        <w:snapToGrid w:val="0"/>
        <w:spacing w:before="120" w:beforeLines="50" w:after="50" w:line="360" w:lineRule="auto"/>
        <w:rPr>
          <w:rFonts w:hint="eastAsia" w:ascii="宋体" w:hAnsi="宋体" w:eastAsia="宋体" w:cs="宋体"/>
          <w:bCs/>
          <w:sz w:val="32"/>
          <w:szCs w:val="32"/>
        </w:rPr>
      </w:pPr>
    </w:p>
    <w:p w14:paraId="5F2A8891">
      <w:pPr>
        <w:snapToGrid w:val="0"/>
        <w:spacing w:before="120" w:beforeLines="50" w:after="50" w:line="360" w:lineRule="auto"/>
        <w:rPr>
          <w:rFonts w:hint="eastAsia" w:ascii="宋体" w:hAnsi="宋体" w:eastAsia="宋体" w:cs="宋体"/>
          <w:bCs/>
          <w:sz w:val="32"/>
          <w:szCs w:val="32"/>
        </w:rPr>
      </w:pPr>
    </w:p>
    <w:p w14:paraId="799EADE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605B7D6C">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3CF0C08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5FBE0CA2">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1CD1B0FE">
      <w:pPr>
        <w:pStyle w:val="8"/>
        <w:snapToGrid w:val="0"/>
        <w:spacing w:before="50" w:after="50" w:line="360" w:lineRule="auto"/>
        <w:ind w:firstLine="1280" w:firstLineChars="400"/>
        <w:rPr>
          <w:rFonts w:hint="eastAsia" w:ascii="宋体" w:hAnsi="宋体" w:eastAsia="宋体" w:cs="宋体"/>
          <w:bCs/>
          <w:sz w:val="32"/>
          <w:szCs w:val="32"/>
        </w:rPr>
      </w:pPr>
    </w:p>
    <w:p w14:paraId="316761CA">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44D7CD7B">
      <w:pPr>
        <w:rPr>
          <w:rFonts w:hint="eastAsia" w:ascii="宋体" w:hAnsi="宋体" w:eastAsia="宋体" w:cs="宋体"/>
          <w:sz w:val="32"/>
          <w:szCs w:val="32"/>
        </w:rPr>
      </w:pPr>
      <w:r>
        <w:rPr>
          <w:rFonts w:hint="eastAsia" w:ascii="宋体" w:hAnsi="宋体" w:eastAsia="宋体" w:cs="宋体"/>
          <w:sz w:val="32"/>
          <w:szCs w:val="32"/>
        </w:rPr>
        <w:br w:type="page"/>
      </w:r>
    </w:p>
    <w:p w14:paraId="52701C57">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2.资质信誉证明文件目录</w:t>
      </w:r>
    </w:p>
    <w:p w14:paraId="43D71EAD">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14:paraId="7A8BF4DA">
      <w:pPr>
        <w:jc w:val="center"/>
        <w:rPr>
          <w:rFonts w:hint="default"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一、资质信誉证明文件</w:t>
      </w:r>
    </w:p>
    <w:p w14:paraId="5A58C215">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w:t>
      </w:r>
      <w:r>
        <w:rPr>
          <w:rFonts w:hint="eastAsia" w:ascii="宋体" w:hAnsi="宋体" w:eastAsia="宋体" w:cs="宋体"/>
          <w:b w:val="0"/>
          <w:bCs w:val="0"/>
          <w:sz w:val="32"/>
          <w:szCs w:val="32"/>
          <w:lang w:val="en-US" w:eastAsia="zh-CN"/>
        </w:rPr>
        <w:t>说明：按</w:t>
      </w:r>
      <w:r>
        <w:rPr>
          <w:rFonts w:hint="eastAsia" w:ascii="宋体" w:hAnsi="宋体" w:eastAsia="宋体" w:cs="宋体"/>
          <w:b w:val="0"/>
          <w:bCs w:val="0"/>
          <w:sz w:val="32"/>
          <w:szCs w:val="32"/>
        </w:rPr>
        <w:t>资质信誉评分标准</w:t>
      </w:r>
      <w:r>
        <w:rPr>
          <w:rFonts w:hint="eastAsia" w:ascii="宋体" w:hAnsi="宋体" w:eastAsia="宋体" w:cs="宋体"/>
          <w:b w:val="0"/>
          <w:bCs w:val="0"/>
          <w:sz w:val="32"/>
          <w:szCs w:val="32"/>
          <w:lang w:val="en-US" w:eastAsia="zh-CN"/>
        </w:rPr>
        <w:t>要求的材料编制</w:t>
      </w:r>
      <w:r>
        <w:rPr>
          <w:rFonts w:hint="eastAsia" w:ascii="宋体" w:hAnsi="宋体" w:eastAsia="宋体" w:cs="宋体"/>
          <w:b w:val="0"/>
          <w:bCs w:val="0"/>
          <w:sz w:val="32"/>
          <w:szCs w:val="32"/>
        </w:rPr>
        <w:t>）</w:t>
      </w:r>
    </w:p>
    <w:p w14:paraId="56DCAE4E">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2B8CD44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二、竞标声明</w:t>
      </w:r>
    </w:p>
    <w:p w14:paraId="01C04F39">
      <w:pPr>
        <w:rPr>
          <w:rFonts w:hint="eastAsia" w:ascii="宋体" w:hAnsi="宋体" w:eastAsia="宋体" w:cs="宋体"/>
          <w:b/>
          <w:bCs/>
          <w:sz w:val="32"/>
          <w:szCs w:val="32"/>
          <w:lang w:val="en-US" w:eastAsia="zh-CN"/>
        </w:rPr>
      </w:pPr>
    </w:p>
    <w:p w14:paraId="3992C54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773F38D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6D9AAF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color w:val="0000FF"/>
          <w:kern w:val="2"/>
          <w:sz w:val="24"/>
          <w:szCs w:val="24"/>
          <w:u w:val="single"/>
          <w:lang w:val="en-US" w:eastAsia="zh-CN" w:bidi="zh-CN"/>
        </w:rPr>
        <w:t>中国东盟国际（农产品）冷链集拼物流中心集疏运仓库及配套项目工程设计招标代理服务</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1416E20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6A3BF1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1BD2A30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6F7C2A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w:t>
      </w:r>
      <w:r>
        <w:rPr>
          <w:rFonts w:hint="default" w:ascii="宋体" w:hAnsi="宋体" w:eastAsia="宋体" w:cs="宋体"/>
          <w:b w:val="0"/>
          <w:bCs w:val="0"/>
          <w:kern w:val="2"/>
          <w:sz w:val="24"/>
          <w:szCs w:val="24"/>
          <w:lang w:eastAsia="zh-CN" w:bidi="zh-CN"/>
        </w:rPr>
        <w:t>采购</w:t>
      </w:r>
      <w:r>
        <w:rPr>
          <w:rFonts w:hint="eastAsia" w:ascii="宋体" w:hAnsi="宋体" w:eastAsia="宋体" w:cs="宋体"/>
          <w:b w:val="0"/>
          <w:bCs w:val="0"/>
          <w:kern w:val="2"/>
          <w:sz w:val="24"/>
          <w:szCs w:val="24"/>
          <w:lang w:val="en-US" w:eastAsia="zh-CN" w:bidi="zh-CN"/>
        </w:rPr>
        <w:t>文件、澄清或者更正公告（如有）等；</w:t>
      </w:r>
    </w:p>
    <w:p w14:paraId="32B3D5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05CF45C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4C1FFCF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40EC51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35B95C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5594D6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44738C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263D54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4A184C7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747752A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78765F2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6C933D2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w:char="00FE"/>
      </w:r>
      <w:r>
        <w:rPr>
          <w:rFonts w:hint="eastAsia" w:ascii="宋体" w:hAnsi="宋体" w:eastAsia="宋体" w:cs="宋体"/>
          <w:b w:val="0"/>
          <w:bCs w:val="0"/>
          <w:kern w:val="2"/>
          <w:sz w:val="24"/>
          <w:szCs w:val="24"/>
          <w:lang w:val="en-US" w:eastAsia="zh-CN" w:bidi="zh-CN"/>
        </w:rPr>
        <w:t>我方本次响应文件内容中未涉及商业秘密；</w:t>
      </w:r>
    </w:p>
    <w:p w14:paraId="56F95F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                 。</w:t>
      </w:r>
    </w:p>
    <w:p w14:paraId="42D84F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11C8C3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114B64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5F4FB2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4020BB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538198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4EEB3D3C">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5BFDA741">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579B48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047415F7">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6EAA4F7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三、法定代表人身份证明书</w:t>
      </w:r>
    </w:p>
    <w:p w14:paraId="2DAD7B5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39BC72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2E43F5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042CF22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6F7511A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0CCA9B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503E3D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729939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25D8BDCA">
      <w:pPr>
        <w:pStyle w:val="6"/>
        <w:rPr>
          <w:rFonts w:hint="eastAsia"/>
          <w:color w:val="000000" w:themeColor="text1"/>
          <w:sz w:val="28"/>
          <w:szCs w:val="28"/>
          <w14:textFill>
            <w14:solidFill>
              <w14:schemeClr w14:val="tx1"/>
            </w14:solidFill>
          </w14:textFill>
        </w:rPr>
      </w:pPr>
    </w:p>
    <w:p w14:paraId="48818E84">
      <w:pPr>
        <w:pStyle w:val="3"/>
        <w:numPr>
          <w:ilvl w:val="0"/>
          <w:numId w:val="0"/>
        </w:numPr>
        <w:ind w:leftChars="0"/>
        <w:jc w:val="both"/>
        <w:rPr>
          <w:rFonts w:hint="eastAsia"/>
        </w:rPr>
      </w:pPr>
    </w:p>
    <w:p w14:paraId="3204C403">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1EF537B3">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08793C05">
      <w:pPr>
        <w:pStyle w:val="6"/>
        <w:rPr>
          <w:rFonts w:hint="eastAsia"/>
        </w:rPr>
      </w:pPr>
    </w:p>
    <w:p w14:paraId="01B0F5B7">
      <w:pPr>
        <w:pStyle w:val="6"/>
        <w:rPr>
          <w:rFonts w:hint="eastAsia"/>
        </w:rPr>
      </w:pPr>
    </w:p>
    <w:p w14:paraId="1F1BDC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785C6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2481C9D2">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0710B6A1">
      <w:pPr>
        <w:keepNext w:val="0"/>
        <w:keepLines w:val="0"/>
        <w:pageBreakBefore w:val="0"/>
        <w:widowControl w:val="0"/>
        <w:numPr>
          <w:ilvl w:val="0"/>
          <w:numId w:val="4"/>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p>
    <w:p w14:paraId="0267500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（如有委托时）</w:t>
      </w:r>
    </w:p>
    <w:p w14:paraId="79DD93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13D3C2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负责人/</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5EB3724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2F1244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240E7D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601C75C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348AFA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515927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1CA670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45B5E1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3FA2AB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72B87B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5D57E6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2E97DA1C">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3465163D">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66FD4D8D">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6FC58ADC">
      <w:pPr>
        <w:snapToGrid w:val="0"/>
        <w:spacing w:before="120" w:beforeLines="50" w:after="50" w:line="360" w:lineRule="auto"/>
        <w:rPr>
          <w:rFonts w:hint="eastAsia" w:ascii="宋体" w:hAnsi="宋体" w:eastAsia="宋体" w:cs="宋体"/>
          <w:sz w:val="32"/>
          <w:szCs w:val="32"/>
        </w:rPr>
      </w:pPr>
    </w:p>
    <w:p w14:paraId="11FAFC5E">
      <w:pPr>
        <w:snapToGrid w:val="0"/>
        <w:spacing w:before="120" w:beforeLines="50" w:after="50" w:line="360" w:lineRule="auto"/>
        <w:rPr>
          <w:rFonts w:hint="eastAsia" w:ascii="宋体" w:hAnsi="宋体" w:eastAsia="宋体" w:cs="宋体"/>
          <w:sz w:val="32"/>
          <w:szCs w:val="32"/>
        </w:rPr>
      </w:pPr>
    </w:p>
    <w:p w14:paraId="725C72D8">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2C40AF0B">
      <w:pPr>
        <w:snapToGrid w:val="0"/>
        <w:spacing w:before="120" w:beforeLines="50" w:after="50" w:line="360" w:lineRule="auto"/>
        <w:rPr>
          <w:rFonts w:hint="eastAsia" w:ascii="宋体" w:hAnsi="宋体" w:eastAsia="宋体" w:cs="宋体"/>
          <w:bCs/>
          <w:sz w:val="32"/>
          <w:szCs w:val="32"/>
        </w:rPr>
      </w:pPr>
    </w:p>
    <w:p w14:paraId="01CCBB9D">
      <w:pPr>
        <w:snapToGrid w:val="0"/>
        <w:spacing w:before="120" w:beforeLines="50" w:after="50" w:line="360" w:lineRule="auto"/>
        <w:rPr>
          <w:rFonts w:hint="eastAsia" w:ascii="宋体" w:hAnsi="宋体" w:eastAsia="宋体" w:cs="宋体"/>
          <w:bCs/>
          <w:sz w:val="32"/>
          <w:szCs w:val="32"/>
        </w:rPr>
      </w:pPr>
    </w:p>
    <w:p w14:paraId="28CA127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001930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1F312747">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1E386FCC">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EDAA6C8">
      <w:pPr>
        <w:pStyle w:val="8"/>
        <w:snapToGrid w:val="0"/>
        <w:spacing w:before="50" w:after="50" w:line="360" w:lineRule="auto"/>
        <w:ind w:firstLine="1280" w:firstLineChars="400"/>
        <w:rPr>
          <w:rFonts w:hint="eastAsia" w:ascii="宋体" w:hAnsi="宋体" w:eastAsia="宋体" w:cs="宋体"/>
          <w:bCs/>
          <w:sz w:val="32"/>
          <w:szCs w:val="32"/>
        </w:rPr>
      </w:pPr>
    </w:p>
    <w:p w14:paraId="6E2ADED1">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5B22875D">
      <w:pPr>
        <w:rPr>
          <w:rFonts w:hint="eastAsia" w:ascii="宋体" w:hAnsi="宋体" w:eastAsia="宋体" w:cs="宋体"/>
          <w:b w:val="0"/>
          <w:bCs w:val="0"/>
          <w:sz w:val="32"/>
          <w:szCs w:val="32"/>
          <w:lang w:val="en-US" w:eastAsia="zh-CN"/>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sz w:val="32"/>
          <w:szCs w:val="32"/>
        </w:rPr>
        <w:br w:type="page"/>
      </w:r>
    </w:p>
    <w:p w14:paraId="6B7DE879">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20013D76">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6E76403F">
      <w:pPr>
        <w:rPr>
          <w:rFonts w:hint="eastAsia" w:ascii="宋体" w:hAnsi="宋体" w:eastAsia="宋体" w:cs="宋体"/>
          <w:b/>
          <w:bCs/>
          <w:color w:val="000000" w:themeColor="text1"/>
          <w:sz w:val="32"/>
          <w:szCs w:val="32"/>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sz w:val="32"/>
          <w:szCs w:val="32"/>
          <w:lang w:val="en-US" w:eastAsia="zh-CN"/>
        </w:rPr>
        <w:br w:type="page"/>
      </w:r>
    </w:p>
    <w:p w14:paraId="0FF74A8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一、竞标报价表</w:t>
      </w:r>
    </w:p>
    <w:p w14:paraId="776B50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z w:val="24"/>
          <w:szCs w:val="24"/>
          <w:lang w:val="en-US" w:eastAsia="zh-CN"/>
        </w:rPr>
        <w:t>项目名称：中国东盟国际（农产品）冷链集拼物流中心集疏运仓库及配套项目工程设计招标代理服务</w:t>
      </w:r>
    </w:p>
    <w:tbl>
      <w:tblPr>
        <w:tblStyle w:val="21"/>
        <w:tblW w:w="9096" w:type="dxa"/>
        <w:tblInd w:w="0" w:type="dxa"/>
        <w:tblLayout w:type="fixed"/>
        <w:tblCellMar>
          <w:top w:w="0" w:type="dxa"/>
          <w:left w:w="10" w:type="dxa"/>
          <w:bottom w:w="0" w:type="dxa"/>
          <w:right w:w="10" w:type="dxa"/>
        </w:tblCellMar>
      </w:tblPr>
      <w:tblGrid>
        <w:gridCol w:w="666"/>
        <w:gridCol w:w="3410"/>
        <w:gridCol w:w="860"/>
        <w:gridCol w:w="4160"/>
      </w:tblGrid>
      <w:tr w14:paraId="3706D2B7">
        <w:tblPrEx>
          <w:tblCellMar>
            <w:top w:w="0" w:type="dxa"/>
            <w:left w:w="10" w:type="dxa"/>
            <w:bottom w:w="0" w:type="dxa"/>
            <w:right w:w="10" w:type="dxa"/>
          </w:tblCellMar>
        </w:tblPrEx>
        <w:trPr>
          <w:trHeight w:val="574" w:hRule="exact"/>
        </w:trPr>
        <w:tc>
          <w:tcPr>
            <w:tcW w:w="666" w:type="dxa"/>
            <w:tcBorders>
              <w:top w:val="single" w:color="auto" w:sz="4" w:space="0"/>
              <w:left w:val="single" w:color="auto" w:sz="4" w:space="0"/>
            </w:tcBorders>
            <w:shd w:val="clear" w:color="auto" w:fill="FFFFFF"/>
            <w:vAlign w:val="center"/>
          </w:tcPr>
          <w:p w14:paraId="21F5332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序号</w:t>
            </w:r>
          </w:p>
        </w:tc>
        <w:tc>
          <w:tcPr>
            <w:tcW w:w="3410" w:type="dxa"/>
            <w:tcBorders>
              <w:top w:val="single" w:color="auto" w:sz="4" w:space="0"/>
              <w:left w:val="single" w:color="auto" w:sz="4" w:space="0"/>
            </w:tcBorders>
            <w:shd w:val="clear" w:color="auto" w:fill="FFFFFF"/>
            <w:vAlign w:val="center"/>
          </w:tcPr>
          <w:p w14:paraId="084EB02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服务费用分项名称</w:t>
            </w:r>
          </w:p>
        </w:tc>
        <w:tc>
          <w:tcPr>
            <w:tcW w:w="860" w:type="dxa"/>
            <w:tcBorders>
              <w:top w:val="single" w:color="auto" w:sz="4" w:space="0"/>
              <w:left w:val="single" w:color="auto" w:sz="4" w:space="0"/>
            </w:tcBorders>
            <w:shd w:val="clear" w:color="auto" w:fill="FFFFFF"/>
            <w:vAlign w:val="center"/>
          </w:tcPr>
          <w:p w14:paraId="1FCB8C61">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数量</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59E94FC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计算依据、过程和公式</w:t>
            </w:r>
          </w:p>
        </w:tc>
      </w:tr>
      <w:tr w14:paraId="1A7E3863">
        <w:tblPrEx>
          <w:tblCellMar>
            <w:top w:w="0" w:type="dxa"/>
            <w:left w:w="10" w:type="dxa"/>
            <w:bottom w:w="0" w:type="dxa"/>
            <w:right w:w="10" w:type="dxa"/>
          </w:tblCellMar>
        </w:tblPrEx>
        <w:trPr>
          <w:trHeight w:val="945" w:hRule="exact"/>
        </w:trPr>
        <w:tc>
          <w:tcPr>
            <w:tcW w:w="666" w:type="dxa"/>
            <w:tcBorders>
              <w:top w:val="single" w:color="auto" w:sz="4" w:space="0"/>
              <w:left w:val="single" w:color="auto" w:sz="4" w:space="0"/>
            </w:tcBorders>
            <w:shd w:val="clear" w:color="auto" w:fill="FFFFFF"/>
            <w:vAlign w:val="center"/>
          </w:tcPr>
          <w:p w14:paraId="098411F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leftChars="0" w:right="0" w:firstLine="0" w:firstLineChars="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1</w:t>
            </w:r>
          </w:p>
        </w:tc>
        <w:tc>
          <w:tcPr>
            <w:tcW w:w="3410" w:type="dxa"/>
            <w:tcBorders>
              <w:top w:val="single" w:color="auto" w:sz="4" w:space="0"/>
              <w:left w:val="single" w:color="auto" w:sz="4" w:space="0"/>
            </w:tcBorders>
            <w:shd w:val="clear" w:color="auto" w:fill="FFFFFF"/>
            <w:vAlign w:val="center"/>
          </w:tcPr>
          <w:p w14:paraId="55974B95">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eastAsia="en-US" w:bidi="en-US"/>
              </w:rPr>
              <w:t>中国东盟国际（农产品）冷链集拼物流中心集疏运仓库及配套项目工程设计招标代理服务</w:t>
            </w:r>
          </w:p>
        </w:tc>
        <w:tc>
          <w:tcPr>
            <w:tcW w:w="860" w:type="dxa"/>
            <w:tcBorders>
              <w:top w:val="single" w:color="auto" w:sz="4" w:space="0"/>
              <w:left w:val="single" w:color="auto" w:sz="4" w:space="0"/>
            </w:tcBorders>
            <w:shd w:val="clear" w:color="auto" w:fill="FFFFFF"/>
            <w:vAlign w:val="center"/>
          </w:tcPr>
          <w:p w14:paraId="2A61DAB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1项</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61A47B2E">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default" w:ascii="宋体" w:hAnsi="宋体" w:eastAsia="宋体" w:cs="宋体"/>
                <w:color w:val="auto"/>
                <w:spacing w:val="0"/>
                <w:w w:val="100"/>
                <w:kern w:val="0"/>
                <w:position w:val="0"/>
                <w:sz w:val="24"/>
                <w:szCs w:val="24"/>
                <w:highlight w:val="none"/>
                <w:shd w:val="clear" w:color="auto" w:fill="auto"/>
                <w:lang w:val="en-US" w:eastAsia="zh-CN" w:bidi="en-US"/>
              </w:rPr>
            </w:pP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按</w:t>
            </w:r>
            <w:r>
              <w:rPr>
                <w:rFonts w:hint="default" w:ascii="宋体" w:hAnsi="宋体" w:eastAsia="宋体" w:cs="宋体"/>
                <w:color w:val="auto"/>
                <w:spacing w:val="0"/>
                <w:w w:val="100"/>
                <w:kern w:val="0"/>
                <w:position w:val="0"/>
                <w:sz w:val="24"/>
                <w:szCs w:val="24"/>
                <w:highlight w:val="none"/>
                <w:shd w:val="clear" w:color="auto" w:fill="auto"/>
                <w:lang w:val="en-US" w:eastAsia="zh-CN" w:bidi="en-US"/>
              </w:rPr>
              <w:t>（发改价格〔2011〕534 号）规定标准</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计算，按货物类下浮</w:t>
            </w:r>
            <w:r>
              <w:rPr>
                <w:rFonts w:hint="eastAsia" w:ascii="宋体" w:hAnsi="宋体" w:eastAsia="宋体" w:cs="宋体"/>
                <w:color w:val="auto"/>
                <w:spacing w:val="0"/>
                <w:w w:val="100"/>
                <w:kern w:val="0"/>
                <w:position w:val="0"/>
                <w:sz w:val="24"/>
                <w:szCs w:val="24"/>
                <w:highlight w:val="none"/>
                <w:u w:val="single"/>
                <w:shd w:val="clear" w:color="auto" w:fill="auto"/>
                <w:lang w:val="en-US" w:eastAsia="zh-CN" w:bidi="en-US"/>
              </w:rPr>
              <w:t xml:space="preserve">     </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w:t>
            </w:r>
          </w:p>
        </w:tc>
      </w:tr>
      <w:tr w14:paraId="620C498A">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101FB8F3">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暂定不含税报价（元）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7A16793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65206EC0">
        <w:tblPrEx>
          <w:tblCellMar>
            <w:top w:w="0" w:type="dxa"/>
            <w:left w:w="10" w:type="dxa"/>
            <w:bottom w:w="0" w:type="dxa"/>
            <w:right w:w="10" w:type="dxa"/>
          </w:tblCellMar>
        </w:tblPrEx>
        <w:trPr>
          <w:trHeight w:val="423"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704FECD7">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税金（增值税税率</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06214468">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r w14:paraId="3A3F5491">
        <w:tblPrEx>
          <w:tblCellMar>
            <w:top w:w="0" w:type="dxa"/>
            <w:left w:w="10" w:type="dxa"/>
            <w:bottom w:w="0" w:type="dxa"/>
            <w:right w:w="10" w:type="dxa"/>
          </w:tblCellMar>
        </w:tblPrEx>
        <w:trPr>
          <w:trHeight w:val="471" w:hRule="exact"/>
        </w:trPr>
        <w:tc>
          <w:tcPr>
            <w:tcW w:w="4936" w:type="dxa"/>
            <w:gridSpan w:val="3"/>
            <w:tcBorders>
              <w:top w:val="single" w:color="auto" w:sz="4" w:space="0"/>
              <w:left w:val="single" w:color="auto" w:sz="4" w:space="0"/>
              <w:bottom w:val="single" w:color="auto" w:sz="4" w:space="0"/>
            </w:tcBorders>
            <w:shd w:val="clear" w:color="auto" w:fill="FFFFFF"/>
            <w:vAlign w:val="center"/>
          </w:tcPr>
          <w:p w14:paraId="2CF107E3">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default"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暂定含税</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报价</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元）</w:t>
            </w:r>
          </w:p>
        </w:tc>
        <w:tc>
          <w:tcPr>
            <w:tcW w:w="4160" w:type="dxa"/>
            <w:tcBorders>
              <w:top w:val="single" w:color="auto" w:sz="4" w:space="0"/>
              <w:left w:val="single" w:color="auto" w:sz="4" w:space="0"/>
              <w:bottom w:val="single" w:color="auto" w:sz="4" w:space="0"/>
              <w:right w:val="single" w:color="auto" w:sz="4" w:space="0"/>
            </w:tcBorders>
            <w:shd w:val="clear" w:color="auto" w:fill="FFFFFF"/>
            <w:vAlign w:val="center"/>
          </w:tcPr>
          <w:p w14:paraId="16C17842">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480" w:firstLineChars="200"/>
              <w:jc w:val="center"/>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p>
        </w:tc>
      </w:tr>
    </w:tbl>
    <w:p w14:paraId="6D0415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en-US"/>
          <w14:textFill>
            <w14:solidFill>
              <w14:schemeClr w14:val="tx1"/>
            </w14:solidFill>
          </w14:textFill>
        </w:rPr>
        <w:t>注：</w:t>
      </w: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lang w:val="en-US" w:eastAsia="en-US"/>
          <w14:textFill>
            <w14:solidFill>
              <w14:schemeClr w14:val="tx1"/>
            </w14:solidFill>
          </w14:textFill>
        </w:rPr>
        <w:t>按“国家发展改革委关于降低部分建设项目收费标准规范收费行为等有关问题的通知”（发改价格〔2011〕534 号）规定标准，按差额定率累进法计算，本次招标代理服务费按</w:t>
      </w:r>
      <w:r>
        <w:rPr>
          <w:rFonts w:hint="eastAsia" w:ascii="宋体" w:hAnsi="宋体" w:eastAsia="宋体" w:cs="宋体"/>
          <w:b/>
          <w:bCs/>
          <w:color w:val="0000FF"/>
          <w:sz w:val="21"/>
          <w:szCs w:val="21"/>
          <w:lang w:val="en-US" w:eastAsia="zh-CN"/>
        </w:rPr>
        <w:t>服务</w:t>
      </w:r>
      <w:r>
        <w:rPr>
          <w:rFonts w:hint="eastAsia" w:ascii="宋体" w:hAnsi="宋体" w:eastAsia="宋体" w:cs="宋体"/>
          <w:b w:val="0"/>
          <w:bCs w:val="0"/>
          <w:color w:val="000000" w:themeColor="text1"/>
          <w:sz w:val="21"/>
          <w:szCs w:val="21"/>
          <w:lang w:val="en-US" w:eastAsia="en-US"/>
          <w14:textFill>
            <w14:solidFill>
              <w14:schemeClr w14:val="tx1"/>
            </w14:solidFill>
          </w14:textFill>
        </w:rPr>
        <w:t>类</w:t>
      </w:r>
      <w:r>
        <w:rPr>
          <w:rFonts w:hint="eastAsia" w:ascii="宋体" w:hAnsi="宋体" w:eastAsia="宋体" w:cs="宋体"/>
          <w:b w:val="0"/>
          <w:bCs w:val="0"/>
          <w:color w:val="000000" w:themeColor="text1"/>
          <w:sz w:val="21"/>
          <w:szCs w:val="21"/>
          <w:lang w:val="en-US" w:eastAsia="zh-CN"/>
          <w14:textFill>
            <w14:solidFill>
              <w14:schemeClr w14:val="tx1"/>
            </w14:solidFill>
          </w14:textFill>
        </w:rPr>
        <w:t>计算</w:t>
      </w:r>
      <w:r>
        <w:rPr>
          <w:rFonts w:hint="eastAsia" w:ascii="宋体" w:hAnsi="宋体" w:eastAsia="宋体" w:cs="宋体"/>
          <w:b w:val="0"/>
          <w:bCs w:val="0"/>
          <w:color w:val="000000" w:themeColor="text1"/>
          <w:sz w:val="21"/>
          <w:szCs w:val="21"/>
          <w:lang w:val="en-US" w:eastAsia="en-US"/>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上述报价表按</w:t>
      </w:r>
      <w:r>
        <w:rPr>
          <w:rFonts w:hint="eastAsia" w:ascii="宋体" w:hAnsi="宋体" w:eastAsia="宋体" w:cs="宋体"/>
          <w:b/>
          <w:bCs/>
          <w:color w:val="0000FF"/>
          <w:sz w:val="21"/>
          <w:szCs w:val="21"/>
          <w:lang w:val="en-US" w:eastAsia="zh-CN"/>
        </w:rPr>
        <w:t>115万元</w:t>
      </w:r>
      <w:r>
        <w:rPr>
          <w:rFonts w:hint="eastAsia" w:ascii="宋体" w:hAnsi="宋体" w:eastAsia="宋体" w:cs="宋体"/>
          <w:b w:val="0"/>
          <w:bCs w:val="0"/>
          <w:color w:val="000000" w:themeColor="text1"/>
          <w:sz w:val="21"/>
          <w:szCs w:val="21"/>
          <w:lang w:val="en-US" w:eastAsia="zh-CN"/>
          <w14:textFill>
            <w14:solidFill>
              <w14:schemeClr w14:val="tx1"/>
            </w14:solidFill>
          </w14:textFill>
        </w:rPr>
        <w:t>作为计算基数，仅作为招标代理服务合同估价。（2）合同最终金额以所代理项目的</w:t>
      </w:r>
      <w:r>
        <w:rPr>
          <w:rFonts w:hint="eastAsia" w:ascii="宋体" w:hAnsi="宋体" w:eastAsia="宋体" w:cs="宋体"/>
          <w:b w:val="0"/>
          <w:bCs w:val="0"/>
          <w:color w:val="000000" w:themeColor="text1"/>
          <w:sz w:val="21"/>
          <w:szCs w:val="21"/>
          <w:lang w:val="en-US" w:eastAsia="en-US"/>
          <w14:textFill>
            <w14:solidFill>
              <w14:schemeClr w14:val="tx1"/>
            </w14:solidFill>
          </w14:textFill>
        </w:rPr>
        <w:t>中标金额</w:t>
      </w:r>
      <w:r>
        <w:rPr>
          <w:rFonts w:hint="eastAsia" w:ascii="宋体" w:hAnsi="宋体" w:eastAsia="宋体" w:cs="宋体"/>
          <w:b w:val="0"/>
          <w:bCs w:val="0"/>
          <w:color w:val="000000" w:themeColor="text1"/>
          <w:sz w:val="21"/>
          <w:szCs w:val="21"/>
          <w:lang w:val="en-US" w:eastAsia="zh-CN"/>
          <w14:textFill>
            <w14:solidFill>
              <w14:schemeClr w14:val="tx1"/>
            </w14:solidFill>
          </w14:textFill>
        </w:rPr>
        <w:t>为</w:t>
      </w:r>
      <w:r>
        <w:rPr>
          <w:rFonts w:hint="eastAsia" w:ascii="宋体" w:hAnsi="宋体" w:eastAsia="宋体" w:cs="宋体"/>
          <w:b w:val="0"/>
          <w:bCs w:val="0"/>
          <w:color w:val="000000" w:themeColor="text1"/>
          <w:sz w:val="21"/>
          <w:szCs w:val="21"/>
          <w:lang w:val="en-US" w:eastAsia="en-US"/>
          <w14:textFill>
            <w14:solidFill>
              <w14:schemeClr w14:val="tx1"/>
            </w14:solidFill>
          </w14:textFill>
        </w:rPr>
        <w:t>计算基数</w:t>
      </w:r>
      <w:r>
        <w:rPr>
          <w:rFonts w:hint="eastAsia" w:ascii="宋体" w:hAnsi="宋体" w:eastAsia="宋体" w:cs="宋体"/>
          <w:b w:val="0"/>
          <w:bCs w:val="0"/>
          <w:color w:val="000000" w:themeColor="text1"/>
          <w:sz w:val="21"/>
          <w:szCs w:val="21"/>
          <w:lang w:val="en-US" w:eastAsia="zh-CN"/>
          <w14:textFill>
            <w14:solidFill>
              <w14:schemeClr w14:val="tx1"/>
            </w14:solidFill>
          </w14:textFill>
        </w:rPr>
        <w:t>，合同</w:t>
      </w:r>
      <w:r>
        <w:rPr>
          <w:rFonts w:hint="eastAsia" w:ascii="宋体" w:hAnsi="宋体" w:eastAsia="宋体" w:cs="宋体"/>
          <w:b w:val="0"/>
          <w:bCs w:val="0"/>
          <w:color w:val="000000" w:themeColor="text1"/>
          <w:sz w:val="21"/>
          <w:szCs w:val="21"/>
          <w:lang w:val="en-US" w:eastAsia="en-US"/>
          <w14:textFill>
            <w14:solidFill>
              <w14:schemeClr w14:val="tx1"/>
            </w14:solidFill>
          </w14:textFill>
        </w:rPr>
        <w:t>下浮</w:t>
      </w:r>
      <w:r>
        <w:rPr>
          <w:rFonts w:hint="eastAsia" w:ascii="宋体" w:hAnsi="宋体" w:eastAsia="宋体" w:cs="宋体"/>
          <w:b w:val="0"/>
          <w:bCs w:val="0"/>
          <w:color w:val="000000" w:themeColor="text1"/>
          <w:sz w:val="21"/>
          <w:szCs w:val="21"/>
          <w:lang w:val="en-US" w:eastAsia="zh-CN"/>
          <w14:textFill>
            <w14:solidFill>
              <w14:schemeClr w14:val="tx1"/>
            </w14:solidFill>
          </w14:textFill>
        </w:rPr>
        <w:t>率与上表保持一致。</w:t>
      </w:r>
    </w:p>
    <w:p w14:paraId="3A9697DB">
      <w:pPr>
        <w:pStyle w:val="7"/>
        <w:ind w:left="0" w:leftChars="0" w:firstLine="0" w:firstLineChars="0"/>
        <w:rPr>
          <w:rFonts w:hint="default" w:ascii="宋体" w:hAnsi="宋体" w:eastAsia="宋体" w:cs="宋体"/>
          <w:b w:val="0"/>
          <w:bCs w:val="0"/>
          <w:color w:val="000000" w:themeColor="text1"/>
          <w:sz w:val="28"/>
          <w:szCs w:val="28"/>
          <w:lang w:val="en-US" w:eastAsia="zh-CN"/>
          <w14:textFill>
            <w14:solidFill>
              <w14:schemeClr w14:val="tx1"/>
            </w14:solidFill>
          </w14:textFill>
        </w:rPr>
      </w:pPr>
    </w:p>
    <w:p w14:paraId="3B74B920">
      <w:pPr>
        <w:pStyle w:val="7"/>
        <w:ind w:left="0" w:leftChars="0" w:firstLine="0" w:firstLineChars="0"/>
        <w:rPr>
          <w:rFonts w:hint="eastAsia"/>
          <w:lang w:val="en-US" w:eastAsia="zh-CN"/>
        </w:rPr>
      </w:pPr>
    </w:p>
    <w:p w14:paraId="43ADA68B">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43D2FF3D">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4AA41D5C">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6C4381E0">
      <w:pPr>
        <w:rPr>
          <w:rFonts w:hint="eastAsia"/>
          <w:lang w:val="en-US" w:eastAsia="zh-CN"/>
        </w:rPr>
      </w:pPr>
    </w:p>
    <w:p w14:paraId="5BA1E18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二、竞标响应表</w:t>
      </w:r>
    </w:p>
    <w:p w14:paraId="54CA9816">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项目名称：中国东盟国际（农产品）冷链集拼物流中心集疏运仓库及配套项目工程设计招标代理服务</w:t>
      </w:r>
    </w:p>
    <w:tbl>
      <w:tblPr>
        <w:tblStyle w:val="21"/>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450"/>
        <w:gridCol w:w="3030"/>
        <w:gridCol w:w="1551"/>
      </w:tblGrid>
      <w:tr w14:paraId="4B7D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628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内容</w:t>
            </w:r>
          </w:p>
          <w:p w14:paraId="48E9279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color w:val="auto"/>
                <w:sz w:val="24"/>
                <w:szCs w:val="24"/>
                <w:highlight w:val="none"/>
                <w:lang w:bidi="zh-CN"/>
              </w:rPr>
            </w:pPr>
            <w:r>
              <w:rPr>
                <w:rFonts w:hint="eastAsia" w:ascii="宋体" w:hAnsi="宋体" w:eastAsia="宋体" w:cs="宋体"/>
                <w:b/>
                <w:bCs w:val="0"/>
                <w:color w:val="auto"/>
                <w:sz w:val="24"/>
                <w:szCs w:val="24"/>
                <w:highlight w:val="none"/>
                <w:lang w:val="en-US" w:eastAsia="zh-CN"/>
              </w:rPr>
              <w:t>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B46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宋体" w:hAnsi="宋体" w:eastAsia="宋体" w:cs="宋体"/>
                <w:color w:val="auto"/>
                <w:sz w:val="24"/>
                <w:szCs w:val="24"/>
                <w:highlight w:val="none"/>
                <w:lang w:val="en-US" w:bidi="zh-CN"/>
              </w:rPr>
            </w:pPr>
            <w:r>
              <w:rPr>
                <w:rFonts w:hint="eastAsia" w:ascii="宋体" w:hAnsi="宋体" w:eastAsia="宋体" w:cs="宋体"/>
                <w:b/>
                <w:bCs w:val="0"/>
                <w:color w:val="auto"/>
                <w:sz w:val="24"/>
                <w:szCs w:val="24"/>
                <w:highlight w:val="none"/>
                <w:lang w:val="en-US" w:eastAsia="zh-CN"/>
              </w:rPr>
              <w:t>采购文件要求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9A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供应商的承诺</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34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偏离说明</w:t>
            </w:r>
          </w:p>
        </w:tc>
      </w:tr>
      <w:tr w14:paraId="2C4E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FC2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val="0"/>
                <w:color w:val="auto"/>
                <w:sz w:val="21"/>
                <w:szCs w:val="21"/>
                <w:highlight w:val="none"/>
                <w:lang w:val="en-US" w:eastAsia="zh-CN"/>
              </w:rPr>
              <w:t>合同履行期限</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40A1">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sz w:val="21"/>
                <w:szCs w:val="21"/>
                <w:highlight w:val="none"/>
              </w:rPr>
            </w:pPr>
            <w:r>
              <w:rPr>
                <w:rFonts w:hint="default" w:ascii="宋体" w:hAnsi="宋体" w:eastAsia="宋体" w:cs="宋体"/>
                <w:i w:val="0"/>
                <w:iCs w:val="0"/>
                <w:color w:val="auto"/>
                <w:kern w:val="0"/>
                <w:sz w:val="21"/>
                <w:szCs w:val="21"/>
                <w:highlight w:val="none"/>
                <w:u w:val="none"/>
                <w:lang w:val="en-US" w:eastAsia="zh-CN" w:bidi="ar"/>
              </w:rPr>
              <w:t>自签订合同之日起至完成公开招标全过程。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EE40">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1"/>
                <w:szCs w:val="21"/>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01C7">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1"/>
                <w:szCs w:val="21"/>
                <w:highlight w:val="none"/>
                <w:u w:val="none"/>
                <w:lang w:val="en-US" w:eastAsia="zh-CN" w:bidi="ar"/>
              </w:rPr>
            </w:pPr>
          </w:p>
        </w:tc>
      </w:tr>
      <w:tr w14:paraId="0D31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89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val="0"/>
                <w:color w:val="auto"/>
                <w:sz w:val="21"/>
                <w:szCs w:val="21"/>
                <w:highlight w:val="none"/>
                <w:lang w:val="en-US" w:eastAsia="zh-CN"/>
              </w:rPr>
              <w:t>报价要求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9B33">
            <w:pPr>
              <w:keepNext w:val="0"/>
              <w:keepLines w:val="0"/>
              <w:pageBreakBefore w:val="0"/>
              <w:kinsoku/>
              <w:wordWrap/>
              <w:overflowPunct/>
              <w:topLinePunct w:val="0"/>
              <w:autoSpaceDE/>
              <w:autoSpaceDN/>
              <w:bidi w:val="0"/>
              <w:spacing w:line="240" w:lineRule="auto"/>
              <w:jc w:val="left"/>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sz w:val="21"/>
                <w:szCs w:val="21"/>
                <w:lang w:val="en-US" w:eastAsia="zh-CN"/>
              </w:rPr>
              <w:t>需为含税报价，提供增值税专用发票。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B93F">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sz w:val="21"/>
                <w:szCs w:val="21"/>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F739">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sz w:val="21"/>
                <w:szCs w:val="21"/>
                <w:lang w:val="en-US" w:eastAsia="zh-CN"/>
              </w:rPr>
            </w:pPr>
          </w:p>
        </w:tc>
      </w:tr>
      <w:tr w14:paraId="3FFF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CD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服务要求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48F1">
            <w:pPr>
              <w:pStyle w:val="7"/>
              <w:keepNext w:val="0"/>
              <w:keepLines w:val="0"/>
              <w:pageBreakBefore w:val="0"/>
              <w:kinsoku/>
              <w:wordWrap/>
              <w:overflowPunct/>
              <w:topLinePunct w:val="0"/>
              <w:autoSpaceDE/>
              <w:autoSpaceDN/>
              <w:bidi w:val="0"/>
              <w:spacing w:line="240" w:lineRule="auto"/>
              <w:ind w:left="0" w:leftChars="0" w:firstLine="0" w:firstLineChars="0"/>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合法合规完成公开招标全过程。包括但不限于设计费采购预算编制、招标文件编制、组织答疑、开标、评标，办理中标通知书、协助委托人签订中标合同、处理投标人提出的异议并配合监督部门调查违法行为等招标全过程的招标代理工作。</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C5E1">
            <w:pPr>
              <w:pStyle w:val="7"/>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sz w:val="21"/>
                <w:szCs w:val="21"/>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2704">
            <w:pPr>
              <w:pStyle w:val="7"/>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sz w:val="21"/>
                <w:szCs w:val="21"/>
                <w:lang w:val="en-US" w:eastAsia="zh-CN"/>
              </w:rPr>
            </w:pPr>
          </w:p>
        </w:tc>
      </w:tr>
      <w:tr w14:paraId="2767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95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付款方式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925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由</w:t>
            </w:r>
            <w:r>
              <w:rPr>
                <w:rFonts w:hint="eastAsia" w:ascii="宋体" w:hAnsi="宋体" w:eastAsia="宋体" w:cs="宋体"/>
                <w:b/>
                <w:bCs w:val="0"/>
                <w:color w:val="0000FF"/>
                <w:sz w:val="21"/>
                <w:szCs w:val="21"/>
                <w:u w:val="single"/>
                <w:lang w:val="en-US" w:eastAsia="zh-CN"/>
              </w:rPr>
              <w:t>中国东盟国际（农产品）冷链集拼物流中心集疏运仓库及配套项目工程设计项目</w:t>
            </w:r>
            <w:r>
              <w:rPr>
                <w:rFonts w:hint="eastAsia" w:ascii="宋体" w:hAnsi="宋体" w:eastAsia="宋体" w:cs="宋体"/>
                <w:b w:val="0"/>
                <w:bCs/>
                <w:sz w:val="21"/>
                <w:szCs w:val="21"/>
                <w:lang w:val="en-US" w:eastAsia="zh-CN"/>
              </w:rPr>
              <w:t>的中标人在与委托人签订合同5日内，将本合同约定的全部委托代理报酬通过银行转账方式一次性支付给代理人。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DA7A">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2F72">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p>
        </w:tc>
      </w:tr>
    </w:tbl>
    <w:p w14:paraId="01700772">
      <w:pPr>
        <w:pStyle w:val="16"/>
        <w:rPr>
          <w:rFonts w:hint="eastAsia" w:ascii="Times New Roman" w:hAnsi="Times New Roman" w:eastAsia="宋体" w:cs="Times New Roman"/>
        </w:rPr>
      </w:pPr>
    </w:p>
    <w:p w14:paraId="2561BDA9">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4AD145B6">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24C00DD7">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74D3EB6A">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2997B1C2">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5D8576F4">
      <w:pPr>
        <w:pStyle w:val="6"/>
        <w:rPr>
          <w:rFonts w:hint="eastAsia" w:ascii="宋体" w:hAnsi="宋体" w:eastAsia="宋体" w:cs="宋体"/>
          <w:kern w:val="0"/>
          <w:sz w:val="24"/>
          <w:szCs w:val="24"/>
        </w:rPr>
      </w:pPr>
    </w:p>
    <w:p w14:paraId="525F0A04"/>
    <w:p w14:paraId="2374705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6FA064A1">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16B2DF1E">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793D537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三、服务方案</w:t>
      </w:r>
    </w:p>
    <w:p w14:paraId="0C36B4C9">
      <w:pPr>
        <w:pStyle w:val="6"/>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33D6A86F">
      <w:pP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br w:type="page"/>
      </w:r>
    </w:p>
    <w:p w14:paraId="5B21DFEB">
      <w:pPr>
        <w:pStyle w:val="39"/>
        <w:rPr>
          <w:rFonts w:hint="eastAsia" w:ascii="宋体" w:hAnsi="宋体" w:eastAsia="宋体" w:cs="宋体"/>
          <w:lang w:val="en-US" w:eastAsia="zh-CN"/>
        </w:rPr>
      </w:pPr>
      <w:bookmarkStart w:id="7" w:name="_Toc7315"/>
      <w:bookmarkStart w:id="8" w:name="_Toc6678"/>
      <w:bookmarkStart w:id="9" w:name="_Toc10648"/>
      <w:bookmarkStart w:id="10" w:name="_Toc32210"/>
      <w:bookmarkStart w:id="11" w:name="_Toc29622"/>
      <w:r>
        <w:rPr>
          <w:rFonts w:hint="eastAsia" w:ascii="宋体" w:hAnsi="宋体" w:eastAsia="宋体" w:cs="宋体"/>
          <w:lang w:val="en-US" w:eastAsia="zh-CN"/>
        </w:rPr>
        <w:t>第六章 合同条款及格式</w:t>
      </w:r>
      <w:bookmarkEnd w:id="7"/>
      <w:bookmarkEnd w:id="8"/>
      <w:bookmarkEnd w:id="9"/>
      <w:bookmarkEnd w:id="10"/>
      <w:bookmarkEnd w:id="11"/>
    </w:p>
    <w:p w14:paraId="02FF513B">
      <w:pPr>
        <w:rPr>
          <w:rFonts w:hint="default"/>
          <w:lang w:val="en-US" w:eastAsia="zh-CN"/>
        </w:rPr>
      </w:pPr>
      <w:r>
        <w:rPr>
          <w:rFonts w:hint="default"/>
          <w:lang w:val="en-US" w:eastAsia="zh-CN"/>
        </w:rPr>
        <w:br w:type="page"/>
      </w:r>
    </w:p>
    <w:p w14:paraId="33B5033D">
      <w:pPr>
        <w:spacing w:before="231" w:line="211" w:lineRule="auto"/>
        <w:jc w:val="center"/>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1"/>
          <w:sz w:val="36"/>
          <w:szCs w:val="36"/>
          <w:highlight w:val="none"/>
        </w:rPr>
        <w:t>建设工程招标代理服务合同</w:t>
      </w:r>
    </w:p>
    <w:p w14:paraId="4506D107">
      <w:pPr>
        <w:spacing w:before="27"/>
        <w:rPr>
          <w:color w:val="auto"/>
          <w:highlight w:val="none"/>
        </w:rPr>
      </w:pPr>
    </w:p>
    <w:p w14:paraId="49D85C16">
      <w:pPr>
        <w:spacing w:before="27"/>
        <w:rPr>
          <w:color w:val="auto"/>
          <w:highlight w:val="none"/>
        </w:rPr>
      </w:pPr>
    </w:p>
    <w:p w14:paraId="0075CA3C">
      <w:pPr>
        <w:spacing w:before="27"/>
        <w:rPr>
          <w:color w:val="auto"/>
          <w:highlight w:val="none"/>
        </w:rPr>
      </w:pPr>
    </w:p>
    <w:p w14:paraId="7E2AF14F">
      <w:pPr>
        <w:spacing w:before="26"/>
        <w:rPr>
          <w:color w:val="auto"/>
          <w:highlight w:val="none"/>
        </w:rPr>
      </w:pPr>
    </w:p>
    <w:p w14:paraId="6D09A8FD">
      <w:pPr>
        <w:spacing w:before="26"/>
        <w:rPr>
          <w:color w:val="auto"/>
          <w:highlight w:val="none"/>
        </w:rPr>
      </w:pPr>
    </w:p>
    <w:p w14:paraId="68D4E174">
      <w:pPr>
        <w:rPr>
          <w:color w:val="auto"/>
          <w:highlight w:val="none"/>
        </w:rPr>
        <w:sectPr>
          <w:footerReference r:id="rId5" w:type="default"/>
          <w:pgSz w:w="11907" w:h="16839"/>
          <w:pgMar w:top="1417" w:right="1417" w:bottom="1417" w:left="1417" w:header="0" w:footer="648" w:gutter="0"/>
          <w:cols w:equalWidth="0" w:num="1">
            <w:col w:w="11064"/>
          </w:cols>
        </w:sectPr>
      </w:pPr>
    </w:p>
    <w:p w14:paraId="2427A873">
      <w:pPr>
        <w:pStyle w:val="11"/>
        <w:spacing w:before="54" w:line="414" w:lineRule="auto"/>
        <w:ind w:right="123"/>
        <w:rPr>
          <w:rFonts w:hint="eastAsia" w:ascii="Arial" w:eastAsiaTheme="minorEastAsia"/>
          <w:color w:val="auto"/>
          <w:sz w:val="21"/>
          <w:highlight w:val="none"/>
          <w:lang w:eastAsia="zh-CN"/>
        </w:rPr>
      </w:pPr>
      <w:r>
        <w:rPr>
          <w:color w:val="auto"/>
          <w:spacing w:val="-2"/>
          <w:highlight w:val="none"/>
        </w:rPr>
        <w:t>委托人：</w:t>
      </w:r>
      <w:r>
        <w:rPr>
          <w:rFonts w:hint="eastAsia"/>
          <w:color w:val="auto"/>
          <w:spacing w:val="-2"/>
          <w:highlight w:val="none"/>
          <w:u w:val="single" w:color="auto"/>
          <w:lang w:eastAsia="zh-CN"/>
        </w:rPr>
        <w:t>广西自贸区产融城市运营管理有限公司</w:t>
      </w:r>
    </w:p>
    <w:p w14:paraId="51F0E634">
      <w:pPr>
        <w:pStyle w:val="11"/>
        <w:spacing w:before="78" w:line="241" w:lineRule="auto"/>
        <w:rPr>
          <w:color w:val="auto"/>
          <w:highlight w:val="none"/>
        </w:rPr>
      </w:pPr>
      <w:r>
        <w:rPr>
          <w:color w:val="auto"/>
          <w:spacing w:val="-2"/>
          <w:highlight w:val="none"/>
        </w:rPr>
        <w:t>法定代表人（负责人</w:t>
      </w:r>
      <w:r>
        <w:rPr>
          <w:color w:val="auto"/>
          <w:spacing w:val="4"/>
          <w:highlight w:val="none"/>
        </w:rPr>
        <w:t>）：</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p>
    <w:p w14:paraId="00ADE40C">
      <w:pPr>
        <w:spacing w:line="254" w:lineRule="auto"/>
        <w:rPr>
          <w:rFonts w:ascii="Arial"/>
          <w:color w:val="auto"/>
          <w:sz w:val="21"/>
          <w:highlight w:val="none"/>
        </w:rPr>
      </w:pPr>
    </w:p>
    <w:p w14:paraId="502835E1">
      <w:pPr>
        <w:pStyle w:val="2"/>
        <w:rPr>
          <w:rFonts w:ascii="Arial"/>
          <w:color w:val="auto"/>
          <w:sz w:val="21"/>
          <w:highlight w:val="none"/>
        </w:rPr>
      </w:pPr>
    </w:p>
    <w:p w14:paraId="46F55BF5"/>
    <w:p w14:paraId="349A61CE">
      <w:pPr>
        <w:pStyle w:val="11"/>
        <w:keepNext w:val="0"/>
        <w:keepLines w:val="0"/>
        <w:pageBreakBefore w:val="0"/>
        <w:widowControl w:val="0"/>
        <w:kinsoku/>
        <w:wordWrap/>
        <w:overflowPunct/>
        <w:topLinePunct w:val="0"/>
        <w:autoSpaceDE/>
        <w:autoSpaceDN/>
        <w:bidi w:val="0"/>
        <w:adjustRightInd w:val="0"/>
        <w:snapToGrid w:val="0"/>
        <w:spacing w:before="78" w:line="360" w:lineRule="auto"/>
        <w:textAlignment w:val="auto"/>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p>
    <w:p w14:paraId="5F4B7AA5">
      <w:pPr>
        <w:pStyle w:val="11"/>
        <w:keepNext w:val="0"/>
        <w:keepLines w:val="0"/>
        <w:pageBreakBefore w:val="0"/>
        <w:widowControl w:val="0"/>
        <w:kinsoku/>
        <w:wordWrap/>
        <w:overflowPunct/>
        <w:topLinePunct w:val="0"/>
        <w:autoSpaceDE/>
        <w:autoSpaceDN/>
        <w:bidi w:val="0"/>
        <w:adjustRightInd w:val="0"/>
        <w:snapToGrid w:val="0"/>
        <w:spacing w:before="257" w:line="360" w:lineRule="auto"/>
        <w:ind w:right="339"/>
        <w:textAlignment w:val="auto"/>
        <w:rPr>
          <w:color w:val="auto"/>
          <w:spacing w:val="2"/>
          <w:highlight w:val="none"/>
        </w:rPr>
      </w:pPr>
      <w:r>
        <w:rPr>
          <w:color w:val="auto"/>
          <w:spacing w:val="-4"/>
          <w:highlight w:val="none"/>
        </w:rPr>
        <w:t>地</w:t>
      </w:r>
      <w:r>
        <w:rPr>
          <w:color w:val="auto"/>
          <w:spacing w:val="54"/>
          <w:highlight w:val="none"/>
        </w:rPr>
        <w:t xml:space="preserve"> </w:t>
      </w:r>
      <w:r>
        <w:rPr>
          <w:color w:val="auto"/>
          <w:spacing w:val="-4"/>
          <w:highlight w:val="none"/>
        </w:rPr>
        <w:t>址：</w:t>
      </w:r>
      <w:r>
        <w:rPr>
          <w:rFonts w:hint="eastAsia"/>
          <w:color w:val="auto"/>
          <w:spacing w:val="-4"/>
          <w:highlight w:val="none"/>
          <w:lang w:val="en-US" w:eastAsia="zh-CN"/>
        </w:rPr>
        <w:t xml:space="preserve">    </w:t>
      </w:r>
      <w:r>
        <w:rPr>
          <w:color w:val="auto"/>
          <w:spacing w:val="8"/>
          <w:highlight w:val="none"/>
          <w:u w:val="single" w:color="auto"/>
        </w:rPr>
        <w:t xml:space="preserve">   </w:t>
      </w:r>
      <w:r>
        <w:rPr>
          <w:rFonts w:hint="eastAsia"/>
          <w:color w:val="auto"/>
          <w:spacing w:val="8"/>
          <w:highlight w:val="none"/>
          <w:u w:val="single" w:color="auto"/>
          <w:lang w:val="en-US" w:eastAsia="zh-CN"/>
        </w:rPr>
        <w:t xml:space="preserve">                 </w:t>
      </w:r>
      <w:r>
        <w:rPr>
          <w:color w:val="auto"/>
          <w:spacing w:val="2"/>
          <w:highlight w:val="none"/>
        </w:rPr>
        <w:t xml:space="preserve"> </w:t>
      </w:r>
    </w:p>
    <w:p w14:paraId="2FC20F17">
      <w:pPr>
        <w:pStyle w:val="11"/>
        <w:keepNext w:val="0"/>
        <w:keepLines w:val="0"/>
        <w:pageBreakBefore w:val="0"/>
        <w:widowControl w:val="0"/>
        <w:kinsoku/>
        <w:wordWrap/>
        <w:overflowPunct/>
        <w:topLinePunct w:val="0"/>
        <w:autoSpaceDE/>
        <w:autoSpaceDN/>
        <w:bidi w:val="0"/>
        <w:adjustRightInd w:val="0"/>
        <w:snapToGrid w:val="0"/>
        <w:spacing w:before="257" w:line="360" w:lineRule="auto"/>
        <w:ind w:right="339"/>
        <w:textAlignment w:val="auto"/>
        <w:rPr>
          <w:rFonts w:ascii="Arial"/>
          <w:color w:val="auto"/>
          <w:sz w:val="21"/>
          <w:highlight w:val="none"/>
        </w:rPr>
      </w:pPr>
      <w:r>
        <w:rPr>
          <w:color w:val="auto"/>
          <w:spacing w:val="-1"/>
          <w:highlight w:val="none"/>
        </w:rPr>
        <w:t>开户行：</w:t>
      </w:r>
      <w:r>
        <w:rPr>
          <w:rFonts w:hint="eastAsia"/>
          <w:color w:val="auto"/>
          <w:spacing w:val="-1"/>
          <w:highlight w:val="none"/>
          <w:u w:val="single" w:color="auto"/>
          <w:lang w:val="en-US" w:eastAsia="zh-CN"/>
        </w:rPr>
        <w:t xml:space="preserve">                           </w:t>
      </w:r>
    </w:p>
    <w:p w14:paraId="5D10CE8A">
      <w:pPr>
        <w:pStyle w:val="11"/>
        <w:keepNext w:val="0"/>
        <w:keepLines w:val="0"/>
        <w:pageBreakBefore w:val="0"/>
        <w:widowControl w:val="0"/>
        <w:kinsoku/>
        <w:wordWrap/>
        <w:overflowPunct/>
        <w:topLinePunct w:val="0"/>
        <w:autoSpaceDE/>
        <w:autoSpaceDN/>
        <w:bidi w:val="0"/>
        <w:adjustRightInd w:val="0"/>
        <w:snapToGrid w:val="0"/>
        <w:spacing w:before="78" w:line="360" w:lineRule="auto"/>
        <w:ind w:right="886"/>
        <w:textAlignment w:val="auto"/>
        <w:rPr>
          <w:rFonts w:ascii="Times New Roman" w:hAnsi="Times New Roman" w:eastAsia="Times New Roman" w:cs="Times New Roman"/>
          <w:color w:val="auto"/>
          <w:spacing w:val="3"/>
          <w:highlight w:val="none"/>
        </w:rPr>
      </w:pPr>
      <w:r>
        <w:rPr>
          <w:color w:val="auto"/>
          <w:spacing w:val="-1"/>
          <w:highlight w:val="none"/>
        </w:rPr>
        <w:t>开户账号：</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p>
    <w:p w14:paraId="6BA20DA1">
      <w:pPr>
        <w:pStyle w:val="11"/>
        <w:keepNext w:val="0"/>
        <w:keepLines w:val="0"/>
        <w:pageBreakBefore w:val="0"/>
        <w:widowControl w:val="0"/>
        <w:kinsoku/>
        <w:wordWrap/>
        <w:overflowPunct/>
        <w:topLinePunct w:val="0"/>
        <w:autoSpaceDE/>
        <w:autoSpaceDN/>
        <w:bidi w:val="0"/>
        <w:adjustRightInd w:val="0"/>
        <w:snapToGrid w:val="0"/>
        <w:spacing w:before="78" w:line="360" w:lineRule="auto"/>
        <w:ind w:right="886"/>
        <w:textAlignment w:val="auto"/>
        <w:rPr>
          <w:color w:val="auto"/>
          <w:highlight w:val="none"/>
        </w:rPr>
      </w:pPr>
      <w:r>
        <w:rPr>
          <w:color w:val="auto"/>
          <w:highlight w:val="none"/>
        </w:rPr>
        <w:t>经办人：</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rFonts w:hint="eastAsia"/>
          <w:color w:val="auto"/>
          <w:highlight w:val="none"/>
          <w:u w:val="single" w:color="auto"/>
          <w:lang w:val="en-US" w:eastAsia="zh-CN"/>
        </w:rPr>
        <w:t xml:space="preserve">  </w:t>
      </w:r>
      <w:r>
        <w:rPr>
          <w:color w:val="auto"/>
          <w:highlight w:val="none"/>
          <w:u w:val="single" w:color="auto"/>
        </w:rPr>
        <w:t xml:space="preserve">   </w:t>
      </w:r>
      <w:r>
        <w:rPr>
          <w:color w:val="auto"/>
          <w:highlight w:val="none"/>
        </w:rPr>
        <w:t xml:space="preserve"> </w:t>
      </w:r>
    </w:p>
    <w:p w14:paraId="5A020DE5">
      <w:pPr>
        <w:pStyle w:val="11"/>
        <w:keepNext w:val="0"/>
        <w:keepLines w:val="0"/>
        <w:pageBreakBefore w:val="0"/>
        <w:widowControl w:val="0"/>
        <w:kinsoku/>
        <w:wordWrap/>
        <w:overflowPunct/>
        <w:topLinePunct w:val="0"/>
        <w:autoSpaceDE/>
        <w:autoSpaceDN/>
        <w:bidi w:val="0"/>
        <w:adjustRightInd w:val="0"/>
        <w:snapToGrid w:val="0"/>
        <w:spacing w:before="78" w:line="360" w:lineRule="auto"/>
        <w:ind w:right="886"/>
        <w:textAlignment w:val="auto"/>
        <w:rPr>
          <w:rFonts w:ascii="Times New Roman" w:hAnsi="Times New Roman" w:eastAsia="Times New Roman" w:cs="Times New Roman"/>
          <w:color w:val="auto"/>
          <w:highlight w:val="none"/>
        </w:rPr>
      </w:pPr>
      <w:r>
        <w:rPr>
          <w:color w:val="auto"/>
          <w:highlight w:val="none"/>
        </w:rPr>
        <w:t>联系电话：</w:t>
      </w:r>
      <w:r>
        <w:rPr>
          <w:rFonts w:ascii="Times New Roman" w:hAnsi="Times New Roman" w:eastAsia="Times New Roman" w:cs="Times New Roman"/>
          <w:color w:val="auto"/>
          <w:highlight w:val="none"/>
          <w:u w:val="single" w:color="auto"/>
        </w:rPr>
        <w:t xml:space="preserve">         </w:t>
      </w:r>
      <w:r>
        <w:rPr>
          <w:rFonts w:hint="eastAsia" w:ascii="Times New Roman" w:hAnsi="Times New Roman" w:eastAsia="宋体" w:cs="Times New Roman"/>
          <w:color w:val="auto"/>
          <w:highlight w:val="none"/>
          <w:u w:val="single" w:color="auto"/>
          <w:lang w:val="en-US" w:eastAsia="zh-CN"/>
        </w:rPr>
        <w:t xml:space="preserve">          </w:t>
      </w:r>
      <w:r>
        <w:rPr>
          <w:rFonts w:ascii="Times New Roman" w:hAnsi="Times New Roman" w:eastAsia="Times New Roman" w:cs="Times New Roman"/>
          <w:color w:val="auto"/>
          <w:highlight w:val="none"/>
          <w:u w:val="single" w:color="auto"/>
        </w:rPr>
        <w:t xml:space="preserve">    </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r>
        <w:rPr>
          <w:rFonts w:ascii="Times New Roman" w:hAnsi="Times New Roman" w:eastAsia="Times New Roman" w:cs="Times New Roman"/>
          <w:color w:val="auto"/>
          <w:spacing w:val="-1"/>
          <w:highlight w:val="none"/>
          <w:u w:val="single" w:color="auto"/>
        </w:rPr>
        <w:t xml:space="preserve">         </w:t>
      </w:r>
    </w:p>
    <w:p w14:paraId="1E758420">
      <w:pPr>
        <w:keepNext w:val="0"/>
        <w:keepLines w:val="0"/>
        <w:pageBreakBefore w:val="0"/>
        <w:widowControl w:val="0"/>
        <w:kinsoku/>
        <w:wordWrap/>
        <w:overflowPunct/>
        <w:topLinePunct w:val="0"/>
        <w:autoSpaceDE/>
        <w:autoSpaceDN/>
        <w:bidi w:val="0"/>
        <w:adjustRightInd/>
        <w:snapToGrid/>
        <w:spacing w:line="360" w:lineRule="auto"/>
        <w:textAlignment w:val="auto"/>
        <w:rPr>
          <w:rFonts w:ascii="Arial"/>
          <w:color w:val="auto"/>
          <w:sz w:val="2"/>
          <w:highlight w:val="none"/>
        </w:rPr>
      </w:pPr>
      <w:r>
        <w:rPr>
          <w:rFonts w:ascii="Arial" w:hAnsi="Arial" w:eastAsia="Arial" w:cs="Arial"/>
          <w:color w:val="auto"/>
          <w:sz w:val="2"/>
          <w:szCs w:val="2"/>
          <w:highlight w:val="none"/>
        </w:rPr>
        <w:br w:type="column"/>
      </w:r>
    </w:p>
    <w:p w14:paraId="4802A83B">
      <w:pPr>
        <w:pStyle w:val="11"/>
        <w:spacing w:before="53" w:line="993" w:lineRule="auto"/>
        <w:ind w:left="4" w:right="223" w:hanging="4"/>
        <w:rPr>
          <w:rFonts w:hint="eastAsia"/>
          <w:color w:val="auto"/>
          <w:spacing w:val="-1"/>
          <w:highlight w:val="none"/>
          <w:u w:val="single" w:color="auto"/>
          <w:lang w:val="en-US" w:eastAsia="zh-CN"/>
        </w:rPr>
      </w:pPr>
      <w:r>
        <w:rPr>
          <w:color w:val="auto"/>
          <w:spacing w:val="-1"/>
          <w:highlight w:val="none"/>
        </w:rPr>
        <w:t>代理人：</w:t>
      </w:r>
      <w:r>
        <w:rPr>
          <w:rFonts w:hint="eastAsia"/>
          <w:color w:val="auto"/>
          <w:spacing w:val="-1"/>
          <w:highlight w:val="none"/>
          <w:u w:val="single" w:color="auto"/>
          <w:lang w:val="en-US" w:eastAsia="zh-CN"/>
        </w:rPr>
        <w:t xml:space="preserve">                              </w:t>
      </w:r>
    </w:p>
    <w:p w14:paraId="2F5EFA45">
      <w:pPr>
        <w:pStyle w:val="11"/>
        <w:spacing w:before="53" w:line="993" w:lineRule="auto"/>
        <w:ind w:left="4" w:right="223" w:hanging="4"/>
        <w:rPr>
          <w:color w:val="auto"/>
          <w:highlight w:val="none"/>
        </w:rPr>
      </w:pPr>
      <w:r>
        <w:rPr>
          <w:color w:val="auto"/>
          <w:spacing w:val="10"/>
          <w:highlight w:val="none"/>
        </w:rPr>
        <w:t xml:space="preserve"> </w:t>
      </w:r>
      <w:r>
        <w:rPr>
          <w:color w:val="auto"/>
          <w:spacing w:val="-2"/>
          <w:highlight w:val="none"/>
        </w:rPr>
        <w:t>法定代表人（负责人</w:t>
      </w:r>
      <w:r>
        <w:rPr>
          <w:color w:val="auto"/>
          <w:spacing w:val="3"/>
          <w:highlight w:val="none"/>
        </w:rPr>
        <w:t>）：</w:t>
      </w:r>
      <w:r>
        <w:rPr>
          <w:color w:val="auto"/>
          <w:spacing w:val="-2"/>
          <w:highlight w:val="none"/>
          <w:u w:val="single" w:color="auto"/>
        </w:rPr>
        <w:t xml:space="preserve">     </w:t>
      </w:r>
      <w:r>
        <w:rPr>
          <w:rFonts w:hint="eastAsia"/>
          <w:color w:val="auto"/>
          <w:spacing w:val="-2"/>
          <w:highlight w:val="none"/>
          <w:u w:val="single" w:color="auto"/>
          <w:lang w:val="en-US" w:eastAsia="zh-CN"/>
        </w:rPr>
        <w:t xml:space="preserve">       </w:t>
      </w:r>
      <w:r>
        <w:rPr>
          <w:color w:val="auto"/>
          <w:spacing w:val="-2"/>
          <w:highlight w:val="none"/>
          <w:u w:val="single" w:color="auto"/>
        </w:rPr>
        <w:t xml:space="preserve">    </w:t>
      </w:r>
    </w:p>
    <w:p w14:paraId="5B8E494C">
      <w:pPr>
        <w:pStyle w:val="11"/>
        <w:keepNext w:val="0"/>
        <w:keepLines w:val="0"/>
        <w:pageBreakBefore w:val="0"/>
        <w:widowControl w:val="0"/>
        <w:kinsoku/>
        <w:overflowPunct/>
        <w:topLinePunct w:val="0"/>
        <w:autoSpaceDE/>
        <w:autoSpaceDN/>
        <w:bidi w:val="0"/>
        <w:adjustRightInd w:val="0"/>
        <w:snapToGrid w:val="0"/>
        <w:spacing w:line="360" w:lineRule="auto"/>
        <w:ind w:left="1"/>
        <w:textAlignment w:val="auto"/>
        <w:rPr>
          <w:rFonts w:ascii="Times New Roman" w:hAnsi="Times New Roman" w:eastAsia="Times New Roman" w:cs="Times New Roman"/>
          <w:color w:val="auto"/>
          <w:highlight w:val="none"/>
        </w:rPr>
      </w:pPr>
      <w:r>
        <w:rPr>
          <w:color w:val="auto"/>
          <w:spacing w:val="-1"/>
          <w:highlight w:val="none"/>
        </w:rPr>
        <w:t>统一社会信用代码：</w:t>
      </w:r>
      <w:r>
        <w:rPr>
          <w:rFonts w:ascii="Times New Roman" w:hAnsi="Times New Roman" w:eastAsia="Times New Roman" w:cs="Times New Roman"/>
          <w:color w:val="auto"/>
          <w:spacing w:val="-1"/>
          <w:highlight w:val="none"/>
          <w:u w:val="single" w:color="auto"/>
        </w:rPr>
        <w:t xml:space="preserve">   </w:t>
      </w:r>
      <w:r>
        <w:rPr>
          <w:rFonts w:hint="eastAsia" w:ascii="Times New Roman" w:hAnsi="Times New Roman" w:eastAsia="宋体" w:cs="Times New Roman"/>
          <w:color w:val="auto"/>
          <w:spacing w:val="-1"/>
          <w:highlight w:val="none"/>
          <w:u w:val="single" w:color="auto"/>
          <w:lang w:val="en-US" w:eastAsia="zh-CN"/>
        </w:rPr>
        <w:t xml:space="preserve">                </w:t>
      </w:r>
    </w:p>
    <w:p w14:paraId="2E30C7D5">
      <w:pPr>
        <w:pStyle w:val="11"/>
        <w:keepNext w:val="0"/>
        <w:keepLines w:val="0"/>
        <w:pageBreakBefore w:val="0"/>
        <w:widowControl w:val="0"/>
        <w:kinsoku/>
        <w:wordWrap w:val="0"/>
        <w:overflowPunct/>
        <w:topLinePunct w:val="0"/>
        <w:autoSpaceDE/>
        <w:autoSpaceDN/>
        <w:bidi w:val="0"/>
        <w:adjustRightInd w:val="0"/>
        <w:snapToGrid w:val="0"/>
        <w:spacing w:before="257" w:line="360" w:lineRule="auto"/>
        <w:jc w:val="both"/>
        <w:textAlignment w:val="auto"/>
        <w:rPr>
          <w:rFonts w:hint="eastAsia" w:eastAsia="黑体"/>
          <w:color w:val="auto"/>
          <w:highlight w:val="none"/>
          <w:lang w:eastAsia="zh-CN"/>
        </w:rPr>
      </w:pPr>
      <w:r>
        <w:rPr>
          <w:color w:val="auto"/>
          <w:spacing w:val="-6"/>
          <w:highlight w:val="none"/>
        </w:rPr>
        <w:t>地</w:t>
      </w:r>
      <w:r>
        <w:rPr>
          <w:color w:val="auto"/>
          <w:spacing w:val="53"/>
          <w:highlight w:val="none"/>
        </w:rPr>
        <w:t xml:space="preserve"> </w:t>
      </w:r>
      <w:r>
        <w:rPr>
          <w:color w:val="auto"/>
          <w:spacing w:val="-6"/>
          <w:highlight w:val="none"/>
        </w:rPr>
        <w:t>址：</w:t>
      </w:r>
      <w:r>
        <w:rPr>
          <w:rFonts w:hint="eastAsia"/>
          <w:color w:val="auto"/>
          <w:spacing w:val="-6"/>
          <w:highlight w:val="none"/>
          <w:u w:val="single" w:color="auto"/>
          <w:lang w:val="en-US" w:eastAsia="zh-CN"/>
        </w:rPr>
        <w:t xml:space="preserve">                                 </w:t>
      </w:r>
    </w:p>
    <w:p w14:paraId="06DB5BB6">
      <w:pPr>
        <w:pStyle w:val="11"/>
        <w:keepNext w:val="0"/>
        <w:keepLines w:val="0"/>
        <w:pageBreakBefore w:val="0"/>
        <w:widowControl w:val="0"/>
        <w:kinsoku/>
        <w:overflowPunct/>
        <w:topLinePunct w:val="0"/>
        <w:autoSpaceDE/>
        <w:autoSpaceDN/>
        <w:bidi w:val="0"/>
        <w:adjustRightInd w:val="0"/>
        <w:snapToGrid w:val="0"/>
        <w:spacing w:before="257" w:line="360" w:lineRule="auto"/>
        <w:ind w:firstLine="7"/>
        <w:textAlignment w:val="auto"/>
        <w:rPr>
          <w:rFonts w:hint="default" w:eastAsia="黑体"/>
          <w:color w:val="auto"/>
          <w:highlight w:val="none"/>
          <w:lang w:val="en-US" w:eastAsia="zh-CN"/>
        </w:rPr>
      </w:pPr>
      <w:r>
        <w:rPr>
          <w:color w:val="auto"/>
          <w:spacing w:val="-2"/>
          <w:highlight w:val="none"/>
        </w:rPr>
        <w:t>开户行：</w:t>
      </w:r>
      <w:r>
        <w:rPr>
          <w:rFonts w:hint="eastAsia"/>
          <w:color w:val="auto"/>
          <w:spacing w:val="-2"/>
          <w:highlight w:val="none"/>
          <w:u w:val="single" w:color="auto"/>
          <w:lang w:val="en-US" w:eastAsia="zh-CN"/>
        </w:rPr>
        <w:t xml:space="preserve">                               </w:t>
      </w:r>
    </w:p>
    <w:p w14:paraId="591CC774">
      <w:pPr>
        <w:pStyle w:val="11"/>
        <w:keepNext w:val="0"/>
        <w:keepLines w:val="0"/>
        <w:pageBreakBefore w:val="0"/>
        <w:widowControl w:val="0"/>
        <w:kinsoku/>
        <w:overflowPunct/>
        <w:topLinePunct w:val="0"/>
        <w:autoSpaceDE/>
        <w:autoSpaceDN/>
        <w:bidi w:val="0"/>
        <w:adjustRightInd w:val="0"/>
        <w:snapToGrid w:val="0"/>
        <w:spacing w:before="48" w:line="360" w:lineRule="auto"/>
        <w:ind w:left="7"/>
        <w:textAlignment w:val="auto"/>
        <w:rPr>
          <w:rFonts w:ascii="Arial"/>
          <w:color w:val="auto"/>
          <w:sz w:val="21"/>
          <w:highlight w:val="none"/>
        </w:rPr>
      </w:pPr>
      <w:r>
        <w:rPr>
          <w:color w:val="auto"/>
          <w:spacing w:val="-3"/>
          <w:highlight w:val="none"/>
        </w:rPr>
        <w:t>开户账号：</w:t>
      </w:r>
      <w:r>
        <w:rPr>
          <w:rFonts w:hint="eastAsia" w:ascii="Times New Roman" w:hAnsi="Times New Roman" w:eastAsia="宋体" w:cs="Times New Roman"/>
          <w:color w:val="auto"/>
          <w:spacing w:val="-3"/>
          <w:highlight w:val="none"/>
          <w:u w:val="single" w:color="auto"/>
          <w:lang w:val="en-US" w:eastAsia="zh-CN"/>
        </w:rPr>
        <w:t xml:space="preserve">                             </w:t>
      </w:r>
    </w:p>
    <w:p w14:paraId="6BFC0E27">
      <w:pPr>
        <w:pStyle w:val="11"/>
        <w:keepNext w:val="0"/>
        <w:keepLines w:val="0"/>
        <w:pageBreakBefore w:val="0"/>
        <w:widowControl w:val="0"/>
        <w:kinsoku/>
        <w:overflowPunct/>
        <w:topLinePunct w:val="0"/>
        <w:autoSpaceDE/>
        <w:autoSpaceDN/>
        <w:bidi w:val="0"/>
        <w:adjustRightInd w:val="0"/>
        <w:snapToGrid w:val="0"/>
        <w:spacing w:before="78" w:line="360" w:lineRule="auto"/>
        <w:ind w:left="2"/>
        <w:textAlignment w:val="auto"/>
        <w:rPr>
          <w:color w:val="auto"/>
          <w:highlight w:val="none"/>
        </w:rPr>
      </w:pPr>
      <w:r>
        <w:rPr>
          <w:color w:val="auto"/>
          <w:spacing w:val="-1"/>
          <w:highlight w:val="none"/>
        </w:rPr>
        <w:t>经办人：</w:t>
      </w:r>
      <w:r>
        <w:rPr>
          <w:rFonts w:hint="eastAsia"/>
          <w:color w:val="auto"/>
          <w:spacing w:val="-1"/>
          <w:highlight w:val="none"/>
          <w:u w:val="single" w:color="auto"/>
          <w:lang w:val="en-US" w:eastAsia="zh-CN"/>
        </w:rPr>
        <w:t xml:space="preserve">              </w:t>
      </w:r>
      <w:r>
        <w:rPr>
          <w:color w:val="auto"/>
          <w:spacing w:val="-1"/>
          <w:highlight w:val="none"/>
          <w:u w:val="single" w:color="auto"/>
        </w:rPr>
        <w:t xml:space="preserve">                </w:t>
      </w:r>
    </w:p>
    <w:p w14:paraId="667556CD">
      <w:pPr>
        <w:pStyle w:val="11"/>
        <w:keepNext w:val="0"/>
        <w:keepLines w:val="0"/>
        <w:pageBreakBefore w:val="0"/>
        <w:widowControl w:val="0"/>
        <w:kinsoku/>
        <w:wordWrap/>
        <w:overflowPunct/>
        <w:topLinePunct w:val="0"/>
        <w:autoSpaceDE/>
        <w:autoSpaceDN/>
        <w:bidi w:val="0"/>
        <w:adjustRightInd w:val="0"/>
        <w:snapToGrid w:val="0"/>
        <w:spacing w:before="120" w:line="360" w:lineRule="auto"/>
        <w:textAlignment w:val="auto"/>
        <w:rPr>
          <w:rFonts w:ascii="Times New Roman" w:hAnsi="Times New Roman" w:eastAsia="Times New Roman" w:cs="Times New Roman"/>
          <w:color w:val="auto"/>
          <w:highlight w:val="none"/>
        </w:rPr>
      </w:pPr>
      <w:r>
        <w:rPr>
          <w:color w:val="auto"/>
          <w:spacing w:val="-1"/>
          <w:highlight w:val="none"/>
        </w:rPr>
        <w:t>联系电话：</w:t>
      </w:r>
      <w:r>
        <w:rPr>
          <w:rFonts w:hint="eastAsia" w:ascii="Times New Roman" w:hAnsi="Times New Roman" w:eastAsia="宋体" w:cs="Times New Roman"/>
          <w:color w:val="auto"/>
          <w:spacing w:val="-1"/>
          <w:highlight w:val="none"/>
          <w:u w:val="single" w:color="auto"/>
          <w:lang w:val="en-US" w:eastAsia="zh-CN"/>
        </w:rPr>
        <w:t xml:space="preserve">                            </w:t>
      </w:r>
    </w:p>
    <w:p w14:paraId="17D5A3B4">
      <w:pPr>
        <w:keepNext w:val="0"/>
        <w:keepLines w:val="0"/>
        <w:pageBreakBefore w:val="0"/>
        <w:widowControl w:val="0"/>
        <w:kinsoku/>
        <w:wordWrap/>
        <w:overflowPunct/>
        <w:topLinePunct w:val="0"/>
        <w:autoSpaceDE/>
        <w:autoSpaceDN/>
        <w:bidi w:val="0"/>
        <w:adjustRightInd w:val="0"/>
        <w:snapToGrid w:val="0"/>
        <w:spacing w:line="208" w:lineRule="auto"/>
        <w:textAlignment w:val="auto"/>
        <w:rPr>
          <w:rFonts w:ascii="Times New Roman" w:hAnsi="Times New Roman" w:eastAsia="Times New Roman" w:cs="Times New Roman"/>
          <w:color w:val="auto"/>
          <w:highlight w:val="none"/>
        </w:rPr>
        <w:sectPr>
          <w:type w:val="continuous"/>
          <w:pgSz w:w="11907" w:h="16839"/>
          <w:pgMar w:top="1417" w:right="842" w:bottom="1417" w:left="1417" w:header="0" w:footer="648" w:gutter="0"/>
          <w:cols w:equalWidth="0" w:num="2">
            <w:col w:w="4530" w:space="100"/>
            <w:col w:w="5017"/>
          </w:cols>
        </w:sectPr>
      </w:pPr>
    </w:p>
    <w:p w14:paraId="2379BA9D">
      <w:pPr>
        <w:rPr>
          <w:rFonts w:ascii="Arial"/>
          <w:color w:val="auto"/>
          <w:sz w:val="21"/>
          <w:highlight w:val="none"/>
        </w:rPr>
      </w:pPr>
    </w:p>
    <w:p w14:paraId="33BD2AE2">
      <w:pPr>
        <w:spacing w:line="241" w:lineRule="auto"/>
        <w:rPr>
          <w:rFonts w:ascii="Arial"/>
          <w:color w:val="auto"/>
          <w:sz w:val="21"/>
          <w:highlight w:val="none"/>
        </w:rPr>
      </w:pPr>
    </w:p>
    <w:p w14:paraId="7667F6CD">
      <w:pPr>
        <w:spacing w:line="241" w:lineRule="auto"/>
        <w:rPr>
          <w:rFonts w:ascii="Arial"/>
          <w:color w:val="auto"/>
          <w:sz w:val="24"/>
          <w:szCs w:val="24"/>
          <w:highlight w:val="none"/>
        </w:rPr>
      </w:pPr>
    </w:p>
    <w:p w14:paraId="7EB1DF2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ascii="Arial"/>
          <w:color w:val="auto"/>
          <w:sz w:val="21"/>
          <w:highlight w:val="none"/>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依照《中华人民共和国民法典》、《中华人民共和国招标投标法》及国家的有关法律、行政法规和标准规范，遵循平等、自愿、公平和诚实信用的原则，双方就</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项目招标代理事项协商一致，订立本合同。</w:t>
      </w:r>
    </w:p>
    <w:p w14:paraId="194D2079">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第一条 词语定义和适用法律</w:t>
      </w:r>
    </w:p>
    <w:p w14:paraId="0125E091">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outlineLvl w:val="1"/>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（一）词语定义</w:t>
      </w:r>
    </w:p>
    <w:p w14:paraId="3F335499">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Arial"/>
          <w:color w:val="auto"/>
          <w:sz w:val="21"/>
          <w:highlight w:val="none"/>
        </w:rPr>
      </w:pPr>
      <w:r>
        <w:rPr>
          <w:rFonts w:ascii="宋体" w:hAnsi="宋体" w:eastAsia="宋体" w:cs="宋体"/>
          <w:color w:val="auto"/>
          <w:spacing w:val="-1"/>
          <w:sz w:val="24"/>
          <w:szCs w:val="24"/>
          <w:highlight w:val="none"/>
        </w:rPr>
        <w:t>l.招标代理合同：委托人将工程建设项目招标工作委托给具有相应招标代理资质的</w:t>
      </w:r>
      <w:r>
        <w:rPr>
          <w:rFonts w:ascii="宋体" w:hAnsi="宋体" w:eastAsia="宋体" w:cs="宋体"/>
          <w:color w:val="auto"/>
          <w:spacing w:val="12"/>
          <w:sz w:val="24"/>
          <w:szCs w:val="24"/>
          <w:highlight w:val="none"/>
        </w:rPr>
        <w:t xml:space="preserve"> </w:t>
      </w:r>
      <w:r>
        <w:rPr>
          <w:rFonts w:ascii="宋体" w:hAnsi="宋体" w:eastAsia="宋体" w:cs="宋体"/>
          <w:color w:val="auto"/>
          <w:spacing w:val="-3"/>
          <w:sz w:val="24"/>
          <w:szCs w:val="24"/>
          <w:highlight w:val="none"/>
        </w:rPr>
        <w:t>代理人，实施招标活动签订的委托合同。</w:t>
      </w:r>
    </w:p>
    <w:p w14:paraId="58F0367A">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2.委托人：指在合同中约定的，具有建设项目招标委托主体资格的当事人，以及取 得该当事人资格的合法继承人。</w:t>
      </w:r>
    </w:p>
    <w:p w14:paraId="127A71C4">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3.代理人：指在合同中约定的，被委托人接受的具有建设项目招标代理主体资格的 当事人，以及取得该当事人资格的合法继承人。</w:t>
      </w:r>
    </w:p>
    <w:p w14:paraId="5A127787">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4.招标代理项目负责人：指代理人在专用条款中指定的负责合同履行的代表。</w:t>
      </w:r>
    </w:p>
    <w:p w14:paraId="47C82602">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5.工程建设项目：指由委托人和代理人在合同中约定的委托代理招标的工程。</w:t>
      </w:r>
    </w:p>
    <w:p w14:paraId="25C76328">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6.招标代理业务：委托人委托代理人代理实施工程建设项目招标的工作内容。</w:t>
      </w:r>
    </w:p>
    <w:p w14:paraId="12E7A391">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7.附加服务：指委托人和代理人在本合同中双方约定工作范围之外的附加工作。</w:t>
      </w:r>
    </w:p>
    <w:p w14:paraId="256866EC">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8.代理报酬：委托人和代理人在合同中约定的，代理人按照约定应收取的代理报酬 总额。</w:t>
      </w:r>
    </w:p>
    <w:p w14:paraId="456A89EC">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9.图纸：指由委托人提供的满足招标需要的所有图纸、计算书、配套说明以及相关 的技术资料。</w:t>
      </w:r>
    </w:p>
    <w:p w14:paraId="0548E8AF">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10.书面形式：指具有公章、法定代表人或授权代理人签字的合同书、信件和数据电 文（包括电报、电传、传真）等可以有形地表现所载内容的形式。</w:t>
      </w:r>
    </w:p>
    <w:p w14:paraId="61ED60F8">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11.违约责任：指合同一方不履行合同义务或履行合同义务不符合约定所应承担的责 任。</w:t>
      </w:r>
    </w:p>
    <w:p w14:paraId="1714666C">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12.索赔：指在合同履行过程中，对于并非自己的过错，而是应由对方承担责任的情 况造成的实际损失，向对方提出经济补偿或其他的要求。</w:t>
      </w:r>
    </w:p>
    <w:p w14:paraId="5556301C">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13.不可抗力：指双方无法控制和不可预见的事件，但不包括双方的违约或疏忽。这 些事件包括但不限于战争、严重火灾、洪水、台风、地震，或其他双方一致认为属于不 可抗力的事件。</w:t>
      </w:r>
    </w:p>
    <w:p w14:paraId="66719248">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14.小时或天：本合同中规定按小时计算时间的，从事件有效开始时计算（不扣除休 息时间）；规定按天计算时间的，开始当天不计入，从次日开始计算。时限的最后一天 是休息日或者其他法定节假日的，以节假日次日为时限的最后一天。时限的最后一天的 截止时间为当日 24 时。</w:t>
      </w:r>
    </w:p>
    <w:p w14:paraId="7FD3C4A5">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outlineLvl w:val="1"/>
        <w:rPr>
          <w:rFonts w:ascii="Arial"/>
          <w:color w:val="auto"/>
          <w:sz w:val="21"/>
          <w:highlight w:val="none"/>
        </w:rPr>
      </w:pPr>
      <w:r>
        <w:rPr>
          <w:rFonts w:ascii="宋体" w:hAnsi="宋体" w:eastAsia="宋体" w:cs="宋体"/>
          <w:b/>
          <w:bCs/>
          <w:color w:val="auto"/>
          <w:spacing w:val="-5"/>
          <w:sz w:val="24"/>
          <w:szCs w:val="24"/>
          <w:highlight w:val="none"/>
        </w:rPr>
        <w:t>（二） 合同文件及解释顺序</w:t>
      </w:r>
    </w:p>
    <w:p w14:paraId="2CDEB426">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1.合同文件应能互相解释，互为说明。除本合同专用条款另有约定外，组成本合同 的文件及优先解释顺序如下：</w:t>
      </w:r>
    </w:p>
    <w:p w14:paraId="53B30DA4">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（1）本合同履行过程中双方以书面形式签署的补充和修正文件；</w:t>
      </w:r>
    </w:p>
    <w:p w14:paraId="77B2CB82">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（2）本合同书。</w:t>
      </w:r>
    </w:p>
    <w:p w14:paraId="0A2253FD">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2.当合同文件内容出现含糊不清或不相一致时，应在不影响招标代理业务正常进行 的情况下，由委托人和代理人协商解决。双方协商不成时，按本合同关于争议的约定处 理。</w:t>
      </w:r>
    </w:p>
    <w:p w14:paraId="70D29589">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outlineLvl w:val="1"/>
        <w:rPr>
          <w:rFonts w:ascii="宋体" w:hAnsi="宋体" w:eastAsia="宋体" w:cs="宋体"/>
          <w:b/>
          <w:bCs/>
          <w:color w:val="auto"/>
          <w:spacing w:val="-5"/>
          <w:sz w:val="24"/>
          <w:szCs w:val="24"/>
          <w:highlight w:val="none"/>
        </w:rPr>
      </w:pPr>
      <w:r>
        <w:rPr>
          <w:rFonts w:ascii="宋体" w:hAnsi="宋体" w:eastAsia="宋体" w:cs="宋体"/>
          <w:b/>
          <w:bCs/>
          <w:color w:val="auto"/>
          <w:spacing w:val="-5"/>
          <w:sz w:val="24"/>
          <w:szCs w:val="24"/>
          <w:highlight w:val="none"/>
        </w:rPr>
        <w:t>（三） 语言文字和适用法律</w:t>
      </w:r>
    </w:p>
    <w:p w14:paraId="248758D1">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1.语言文字</w:t>
      </w:r>
    </w:p>
    <w:p w14:paraId="7113CF49">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本合同文件使用中文书写、解释和说明。</w:t>
      </w:r>
    </w:p>
    <w:p w14:paraId="5C227B01">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2.适用法律和行政法规</w:t>
      </w:r>
    </w:p>
    <w:p w14:paraId="1ED6DF15">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本合同文件适用中华人民共和国有关法律和行政法规。</w:t>
      </w:r>
    </w:p>
    <w:p w14:paraId="277DA346">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第二条 组成本合同的文件：</w:t>
      </w:r>
    </w:p>
    <w:p w14:paraId="71AAB0B4">
      <w:pPr>
        <w:keepNext w:val="0"/>
        <w:keepLines w:val="0"/>
        <w:pageBreakBefore w:val="0"/>
        <w:widowControl w:val="0"/>
        <w:kinsoku/>
        <w:wordWrap/>
        <w:overflowPunct/>
        <w:topLinePunct w:val="0"/>
        <w:autoSpaceDE/>
        <w:autoSpaceDN/>
        <w:bidi w:val="0"/>
        <w:adjustRightInd w:val="0"/>
        <w:snapToGrid w:val="0"/>
        <w:spacing w:line="360" w:lineRule="auto"/>
        <w:ind w:firstLine="460" w:firstLineChars="200"/>
        <w:textAlignment w:val="auto"/>
        <w:outlineLvl w:val="1"/>
        <w:rPr>
          <w:rFonts w:ascii="宋体" w:hAnsi="宋体" w:eastAsia="宋体" w:cs="宋体"/>
          <w:b w:val="0"/>
          <w:bCs w:val="0"/>
          <w:color w:val="auto"/>
          <w:spacing w:val="-5"/>
          <w:sz w:val="24"/>
          <w:szCs w:val="24"/>
          <w:highlight w:val="none"/>
        </w:rPr>
      </w:pPr>
      <w:r>
        <w:rPr>
          <w:rFonts w:ascii="宋体" w:hAnsi="宋体" w:eastAsia="宋体" w:cs="宋体"/>
          <w:b w:val="0"/>
          <w:bCs w:val="0"/>
          <w:color w:val="auto"/>
          <w:spacing w:val="-5"/>
          <w:sz w:val="24"/>
          <w:szCs w:val="24"/>
          <w:highlight w:val="none"/>
        </w:rPr>
        <w:t>（一）本合同；</w:t>
      </w:r>
    </w:p>
    <w:p w14:paraId="0D807307">
      <w:pPr>
        <w:keepNext w:val="0"/>
        <w:keepLines w:val="0"/>
        <w:pageBreakBefore w:val="0"/>
        <w:widowControl w:val="0"/>
        <w:kinsoku/>
        <w:wordWrap/>
        <w:overflowPunct/>
        <w:topLinePunct w:val="0"/>
        <w:autoSpaceDE/>
        <w:autoSpaceDN/>
        <w:bidi w:val="0"/>
        <w:adjustRightInd w:val="0"/>
        <w:snapToGrid w:val="0"/>
        <w:spacing w:line="360" w:lineRule="auto"/>
        <w:ind w:firstLine="460" w:firstLineChars="200"/>
        <w:textAlignment w:val="auto"/>
        <w:outlineLvl w:val="1"/>
        <w:rPr>
          <w:rFonts w:ascii="Arial"/>
          <w:b w:val="0"/>
          <w:bCs w:val="0"/>
          <w:color w:val="auto"/>
          <w:sz w:val="21"/>
          <w:highlight w:val="none"/>
        </w:rPr>
      </w:pPr>
      <w:r>
        <w:rPr>
          <w:rFonts w:ascii="宋体" w:hAnsi="宋体" w:eastAsia="宋体" w:cs="宋体"/>
          <w:b w:val="0"/>
          <w:bCs w:val="0"/>
          <w:color w:val="auto"/>
          <w:spacing w:val="-5"/>
          <w:sz w:val="24"/>
          <w:szCs w:val="24"/>
          <w:highlight w:val="none"/>
        </w:rPr>
        <w:t>（二）本合同履行过程中双方以书面形式签署的补充和修正文件。</w:t>
      </w:r>
    </w:p>
    <w:p w14:paraId="4104F735">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第三条 工程概况</w:t>
      </w:r>
    </w:p>
    <w:p w14:paraId="78FAE9A2">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（一）工程名称：</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4380DFA7">
      <w:pPr>
        <w:keepNext w:val="0"/>
        <w:keepLines w:val="0"/>
        <w:pageBreakBefore w:val="0"/>
        <w:widowControl w:val="0"/>
        <w:kinsoku/>
        <w:wordWrap/>
        <w:overflowPunct/>
        <w:topLinePunct w:val="0"/>
        <w:autoSpaceDE/>
        <w:autoSpaceDN/>
        <w:bidi w:val="0"/>
        <w:adjustRightInd w:val="0"/>
        <w:snapToGrid w:val="0"/>
        <w:spacing w:line="360" w:lineRule="auto"/>
        <w:ind w:right="0" w:firstLine="468" w:firstLineChars="200"/>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（二）地</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点：</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u w:val="single" w:color="auto"/>
        </w:rPr>
        <w:t xml:space="preserve">        </w:t>
      </w:r>
    </w:p>
    <w:p w14:paraId="47443F27">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hint="default" w:ascii="宋体" w:hAnsi="宋体" w:eastAsia="宋体" w:cs="宋体"/>
          <w:color w:val="auto"/>
          <w:sz w:val="24"/>
          <w:szCs w:val="24"/>
          <w:highlight w:val="none"/>
          <w:lang w:val="en-US"/>
        </w:rPr>
      </w:pPr>
      <w:r>
        <w:rPr>
          <w:rFonts w:ascii="宋体" w:hAnsi="宋体" w:eastAsia="宋体" w:cs="宋体"/>
          <w:color w:val="auto"/>
          <w:spacing w:val="-2"/>
          <w:sz w:val="24"/>
          <w:szCs w:val="24"/>
          <w:highlight w:val="none"/>
        </w:rPr>
        <w:t>（三）规    模：</w:t>
      </w:r>
      <w:r>
        <w:rPr>
          <w:rFonts w:hint="eastAsia" w:ascii="宋体" w:hAnsi="宋体" w:eastAsia="宋体" w:cs="宋体"/>
          <w:color w:val="auto"/>
          <w:spacing w:val="-2"/>
          <w:sz w:val="24"/>
          <w:szCs w:val="24"/>
          <w:highlight w:val="none"/>
          <w:u w:val="single" w:color="auto"/>
          <w:lang w:val="en-US" w:eastAsia="zh-CN"/>
        </w:rPr>
        <w:t xml:space="preserve">                                             </w:t>
      </w:r>
    </w:p>
    <w:p w14:paraId="3CC39BF3">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（四）招标范围：</w:t>
      </w:r>
      <w:r>
        <w:rPr>
          <w:rFonts w:ascii="宋体" w:hAnsi="宋体" w:eastAsia="宋体" w:cs="宋体"/>
          <w:color w:val="auto"/>
          <w:spacing w:val="-1"/>
          <w:sz w:val="24"/>
          <w:szCs w:val="24"/>
          <w:highlight w:val="none"/>
          <w:u w:val="single" w:color="auto"/>
        </w:rPr>
        <w:t>该项目的施工图纸、工程量清单所包含的全部内容。</w:t>
      </w:r>
      <w:r>
        <w:rPr>
          <w:rFonts w:ascii="宋体" w:hAnsi="宋体" w:eastAsia="宋体" w:cs="宋体"/>
          <w:color w:val="auto"/>
          <w:spacing w:val="-1"/>
          <w:sz w:val="24"/>
          <w:szCs w:val="24"/>
          <w:highlight w:val="none"/>
        </w:rPr>
        <w:t>。</w:t>
      </w:r>
    </w:p>
    <w:p w14:paraId="2D355A72">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宋体" w:hAnsi="宋体" w:eastAsia="宋体" w:cs="宋体"/>
          <w:color w:val="auto"/>
          <w:spacing w:val="2"/>
          <w:sz w:val="24"/>
          <w:szCs w:val="24"/>
          <w:highlight w:val="none"/>
          <w:u w:val="single" w:color="auto"/>
        </w:rPr>
      </w:pPr>
      <w:r>
        <w:rPr>
          <w:rFonts w:ascii="宋体" w:hAnsi="宋体" w:eastAsia="宋体" w:cs="宋体"/>
          <w:color w:val="auto"/>
          <w:spacing w:val="-2"/>
          <w:sz w:val="24"/>
          <w:szCs w:val="24"/>
          <w:highlight w:val="none"/>
        </w:rPr>
        <w:t>（五）招标形式：</w:t>
      </w:r>
      <w:r>
        <w:rPr>
          <w:rFonts w:ascii="宋体" w:hAnsi="宋体" w:eastAsia="宋体" w:cs="宋体"/>
          <w:color w:val="auto"/>
          <w:spacing w:val="-2"/>
          <w:sz w:val="24"/>
          <w:szCs w:val="24"/>
          <w:highlight w:val="none"/>
          <w:u w:val="single" w:color="auto"/>
        </w:rPr>
        <w:t>公开招标</w:t>
      </w:r>
      <w:r>
        <w:rPr>
          <w:rFonts w:ascii="宋体" w:hAnsi="宋体" w:eastAsia="宋体" w:cs="宋体"/>
          <w:color w:val="auto"/>
          <w:spacing w:val="2"/>
          <w:sz w:val="24"/>
          <w:szCs w:val="24"/>
          <w:highlight w:val="none"/>
          <w:u w:val="single" w:color="auto"/>
        </w:rPr>
        <w:t xml:space="preserve">   </w:t>
      </w:r>
    </w:p>
    <w:p w14:paraId="19835F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36" w:firstLineChars="200"/>
        <w:textAlignment w:val="auto"/>
        <w:rPr>
          <w:rFonts w:ascii="宋体" w:hAnsi="宋体" w:eastAsia="宋体" w:cs="宋体"/>
          <w:color w:val="auto"/>
          <w:sz w:val="24"/>
          <w:szCs w:val="24"/>
          <w:highlight w:val="none"/>
        </w:rPr>
        <w:sectPr>
          <w:headerReference r:id="rId6" w:type="default"/>
          <w:footerReference r:id="rId7" w:type="default"/>
          <w:pgSz w:w="11907" w:h="16839"/>
          <w:pgMar w:top="1417" w:right="1417" w:bottom="1417" w:left="1417" w:header="738" w:footer="648" w:gutter="0"/>
          <w:cols w:space="720" w:num="1"/>
        </w:sectPr>
      </w:pPr>
      <w:r>
        <w:rPr>
          <w:rFonts w:ascii="宋体" w:hAnsi="宋体" w:eastAsia="宋体" w:cs="宋体"/>
          <w:color w:val="auto"/>
          <w:spacing w:val="14"/>
          <w:sz w:val="24"/>
          <w:szCs w:val="24"/>
          <w:highlight w:val="none"/>
        </w:rPr>
        <w:t>（六）投资额：人民币（大写）</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4"/>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0BC51C7B">
      <w:pPr>
        <w:spacing w:line="287" w:lineRule="auto"/>
        <w:rPr>
          <w:rFonts w:ascii="Arial"/>
          <w:color w:val="auto"/>
          <w:sz w:val="21"/>
          <w:highlight w:val="none"/>
        </w:rPr>
      </w:pPr>
    </w:p>
    <w:p w14:paraId="4E7C6D1E">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第四条 委托范围及内容</w:t>
      </w:r>
    </w:p>
    <w:p w14:paraId="179E1B2E">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（一）委托人委托代理人为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的招</w:t>
      </w:r>
      <w:r>
        <w:rPr>
          <w:rFonts w:ascii="宋体" w:hAnsi="宋体" w:eastAsia="宋体" w:cs="宋体"/>
          <w:color w:val="auto"/>
          <w:spacing w:val="-2"/>
          <w:sz w:val="24"/>
          <w:szCs w:val="24"/>
          <w:highlight w:val="none"/>
        </w:rPr>
        <w:t>标代理</w:t>
      </w:r>
      <w:r>
        <w:rPr>
          <w:rFonts w:ascii="宋体" w:hAnsi="宋体" w:eastAsia="宋体" w:cs="宋体"/>
          <w:color w:val="auto"/>
          <w:sz w:val="24"/>
          <w:szCs w:val="24"/>
          <w:highlight w:val="none"/>
        </w:rPr>
        <w:t xml:space="preserve"> 机构，承担</w:t>
      </w:r>
      <w:r>
        <w:rPr>
          <w:rFonts w:hint="eastAsia" w:ascii="宋体" w:hAnsi="宋体" w:eastAsia="宋体" w:cs="宋体"/>
          <w:color w:val="auto"/>
          <w:sz w:val="24"/>
          <w:szCs w:val="24"/>
          <w:highlight w:val="none"/>
          <w:u w:val="single" w:color="auto"/>
          <w:lang w:val="en-US" w:eastAsia="zh-CN"/>
        </w:rPr>
        <w:t>采购预算编制、</w:t>
      </w:r>
      <w:r>
        <w:rPr>
          <w:rFonts w:ascii="宋体" w:hAnsi="宋体" w:eastAsia="宋体" w:cs="宋体"/>
          <w:color w:val="auto"/>
          <w:sz w:val="24"/>
          <w:szCs w:val="24"/>
          <w:highlight w:val="none"/>
          <w:u w:val="single" w:color="auto"/>
        </w:rPr>
        <w:t>招标文件编制、组织答疑、开标、评标，办理中标通</w:t>
      </w:r>
      <w:r>
        <w:rPr>
          <w:rFonts w:ascii="宋体" w:hAnsi="宋体" w:eastAsia="宋体" w:cs="宋体"/>
          <w:color w:val="auto"/>
          <w:spacing w:val="-1"/>
          <w:sz w:val="24"/>
          <w:szCs w:val="24"/>
          <w:highlight w:val="none"/>
          <w:u w:val="single" w:color="auto"/>
        </w:rPr>
        <w:t>知书、协助委托人签订</w:t>
      </w:r>
      <w:r>
        <w:rPr>
          <w:rFonts w:ascii="宋体" w:hAnsi="宋体" w:eastAsia="宋体" w:cs="宋体"/>
          <w:color w:val="auto"/>
          <w:sz w:val="24"/>
          <w:szCs w:val="24"/>
          <w:highlight w:val="none"/>
          <w:u w:val="single" w:color="auto"/>
        </w:rPr>
        <w:t>中标合同、处理投标人提出的异议并配合监督部门调查违法行为等</w:t>
      </w:r>
      <w:r>
        <w:rPr>
          <w:rFonts w:ascii="宋体" w:hAnsi="宋体" w:eastAsia="宋体" w:cs="宋体"/>
          <w:color w:val="auto"/>
          <w:spacing w:val="-1"/>
          <w:sz w:val="24"/>
          <w:szCs w:val="24"/>
          <w:highlight w:val="none"/>
        </w:rPr>
        <w:t>招标全过程的招标代</w:t>
      </w:r>
      <w:r>
        <w:rPr>
          <w:rFonts w:ascii="宋体" w:hAnsi="宋体" w:eastAsia="宋体" w:cs="宋体"/>
          <w:color w:val="auto"/>
          <w:spacing w:val="-9"/>
          <w:sz w:val="24"/>
          <w:szCs w:val="24"/>
          <w:highlight w:val="none"/>
        </w:rPr>
        <w:t>理工作。</w:t>
      </w:r>
    </w:p>
    <w:p w14:paraId="78730A47">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（二）组织招标工作的内容和时间</w:t>
      </w:r>
      <w:r>
        <w:rPr>
          <w:rFonts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按招标工作的程序写明每项工作的具体内容</w:t>
      </w:r>
      <w:r>
        <w:rPr>
          <w:rFonts w:ascii="宋体" w:hAnsi="宋体" w:eastAsia="宋体" w:cs="宋体"/>
          <w:color w:val="auto"/>
          <w:spacing w:val="-14"/>
          <w:sz w:val="24"/>
          <w:szCs w:val="24"/>
          <w:highlight w:val="none"/>
        </w:rPr>
        <w:t>和时间</w:t>
      </w:r>
      <w:r>
        <w:rPr>
          <w:rFonts w:ascii="宋体" w:hAnsi="宋体" w:eastAsia="宋体" w:cs="宋体"/>
          <w:color w:val="auto"/>
          <w:spacing w:val="-6"/>
          <w:sz w:val="24"/>
          <w:szCs w:val="24"/>
          <w:highlight w:val="none"/>
        </w:rPr>
        <w:t>）：</w:t>
      </w:r>
    </w:p>
    <w:p w14:paraId="38EB0BD8">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1.招标文件送审备案，</w:t>
      </w:r>
      <w:r>
        <w:rPr>
          <w:rFonts w:ascii="宋体" w:hAnsi="宋体" w:eastAsia="宋体" w:cs="宋体"/>
          <w:color w:val="auto"/>
          <w:spacing w:val="-1"/>
          <w:sz w:val="24"/>
          <w:szCs w:val="24"/>
          <w:highlight w:val="none"/>
          <w:u w:val="single"/>
        </w:rPr>
        <w:t xml:space="preserve">2  </w:t>
      </w:r>
      <w:r>
        <w:rPr>
          <w:rFonts w:ascii="宋体" w:hAnsi="宋体" w:eastAsia="宋体" w:cs="宋体"/>
          <w:color w:val="auto"/>
          <w:spacing w:val="-1"/>
          <w:sz w:val="24"/>
          <w:szCs w:val="24"/>
          <w:highlight w:val="none"/>
        </w:rPr>
        <w:t>个工作日；</w:t>
      </w:r>
    </w:p>
    <w:p w14:paraId="1C2686EB">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2.发布招标公告，</w:t>
      </w:r>
      <w:r>
        <w:rPr>
          <w:rFonts w:ascii="宋体" w:hAnsi="宋体" w:eastAsia="宋体" w:cs="宋体"/>
          <w:color w:val="auto"/>
          <w:spacing w:val="-1"/>
          <w:sz w:val="24"/>
          <w:szCs w:val="24"/>
          <w:highlight w:val="none"/>
          <w:u w:val="single"/>
        </w:rPr>
        <w:t xml:space="preserve">20  </w:t>
      </w:r>
      <w:r>
        <w:rPr>
          <w:rFonts w:ascii="宋体" w:hAnsi="宋体" w:eastAsia="宋体" w:cs="宋体"/>
          <w:color w:val="auto"/>
          <w:spacing w:val="-1"/>
          <w:sz w:val="24"/>
          <w:szCs w:val="24"/>
          <w:highlight w:val="none"/>
        </w:rPr>
        <w:t>天；</w:t>
      </w:r>
    </w:p>
    <w:p w14:paraId="476F448E">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3.开标及评标会议，</w:t>
      </w:r>
      <w:r>
        <w:rPr>
          <w:rFonts w:ascii="宋体" w:hAnsi="宋体" w:eastAsia="宋体" w:cs="宋体"/>
          <w:color w:val="auto"/>
          <w:spacing w:val="-1"/>
          <w:sz w:val="24"/>
          <w:szCs w:val="24"/>
          <w:highlight w:val="none"/>
          <w:u w:val="single"/>
        </w:rPr>
        <w:t xml:space="preserve">1  </w:t>
      </w:r>
      <w:r>
        <w:rPr>
          <w:rFonts w:ascii="宋体" w:hAnsi="宋体" w:eastAsia="宋体" w:cs="宋体"/>
          <w:color w:val="auto"/>
          <w:spacing w:val="-1"/>
          <w:sz w:val="24"/>
          <w:szCs w:val="24"/>
          <w:highlight w:val="none"/>
        </w:rPr>
        <w:t>天；</w:t>
      </w:r>
    </w:p>
    <w:p w14:paraId="6FF3845C">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4.中标公示，</w:t>
      </w:r>
      <w:r>
        <w:rPr>
          <w:rFonts w:ascii="宋体" w:hAnsi="宋体" w:eastAsia="宋体" w:cs="宋体"/>
          <w:color w:val="auto"/>
          <w:spacing w:val="-1"/>
          <w:sz w:val="24"/>
          <w:szCs w:val="24"/>
          <w:highlight w:val="none"/>
          <w:u w:val="single"/>
        </w:rPr>
        <w:t xml:space="preserve">1  </w:t>
      </w:r>
      <w:r>
        <w:rPr>
          <w:rFonts w:ascii="宋体" w:hAnsi="宋体" w:eastAsia="宋体" w:cs="宋体"/>
          <w:color w:val="auto"/>
          <w:spacing w:val="-1"/>
          <w:sz w:val="24"/>
          <w:szCs w:val="24"/>
          <w:highlight w:val="none"/>
        </w:rPr>
        <w:t>个工作日；</w:t>
      </w:r>
    </w:p>
    <w:p w14:paraId="43B0FED3">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Arial"/>
          <w:color w:val="auto"/>
          <w:sz w:val="21"/>
          <w:highlight w:val="none"/>
        </w:rPr>
      </w:pPr>
      <w:r>
        <w:rPr>
          <w:rFonts w:ascii="宋体" w:hAnsi="宋体" w:eastAsia="宋体" w:cs="宋体"/>
          <w:color w:val="auto"/>
          <w:spacing w:val="-1"/>
          <w:sz w:val="24"/>
          <w:szCs w:val="24"/>
          <w:highlight w:val="none"/>
        </w:rPr>
        <w:t>5.中标通知书备案，</w:t>
      </w:r>
      <w:r>
        <w:rPr>
          <w:rFonts w:ascii="宋体" w:hAnsi="宋体" w:eastAsia="宋体" w:cs="宋体"/>
          <w:color w:val="auto"/>
          <w:spacing w:val="-1"/>
          <w:sz w:val="24"/>
          <w:szCs w:val="24"/>
          <w:highlight w:val="none"/>
          <w:u w:val="single"/>
        </w:rPr>
        <w:t xml:space="preserve">1  </w:t>
      </w:r>
      <w:r>
        <w:rPr>
          <w:rFonts w:ascii="宋体" w:hAnsi="宋体" w:eastAsia="宋体" w:cs="宋体"/>
          <w:color w:val="auto"/>
          <w:spacing w:val="-1"/>
          <w:sz w:val="24"/>
          <w:szCs w:val="24"/>
          <w:highlight w:val="none"/>
        </w:rPr>
        <w:t>个工作日。并尽快完善招标结果文件移交委托人。</w:t>
      </w:r>
    </w:p>
    <w:p w14:paraId="678BC4AD">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第五条 合同价款</w:t>
      </w:r>
    </w:p>
    <w:p w14:paraId="15A1F80A">
      <w:pPr>
        <w:keepNext w:val="0"/>
        <w:keepLines w:val="0"/>
        <w:pageBreakBefore w:val="0"/>
        <w:widowControl w:val="0"/>
        <w:kinsoku/>
        <w:wordWrap/>
        <w:overflowPunct/>
        <w:topLinePunct w:val="0"/>
        <w:autoSpaceDE/>
        <w:autoSpaceDN/>
        <w:bidi w:val="0"/>
        <w:adjustRightInd w:val="0"/>
        <w:snapToGrid w:val="0"/>
        <w:spacing w:line="360" w:lineRule="auto"/>
        <w:ind w:right="0" w:firstLine="460" w:firstLineChars="200"/>
        <w:textAlignment w:val="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（一）代理服务报酬收费标准为：</w:t>
      </w:r>
    </w:p>
    <w:p w14:paraId="77BD3138">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按“国家发展改革委关于降低部分建设项目收费标准</w:t>
      </w:r>
      <w:r>
        <w:rPr>
          <w:rFonts w:ascii="宋体" w:hAnsi="宋体" w:eastAsia="宋体" w:cs="宋体"/>
          <w:color w:val="auto"/>
          <w:spacing w:val="-1"/>
          <w:sz w:val="24"/>
          <w:szCs w:val="24"/>
          <w:highlight w:val="none"/>
        </w:rPr>
        <w:t>规范收费行为等有关问题的通</w:t>
      </w:r>
      <w:r>
        <w:rPr>
          <w:rFonts w:ascii="宋体" w:hAnsi="宋体" w:eastAsia="宋体" w:cs="宋体"/>
          <w:color w:val="auto"/>
          <w:sz w:val="24"/>
          <w:szCs w:val="24"/>
          <w:highlight w:val="none"/>
        </w:rPr>
        <w:t xml:space="preserve"> 知”（发改价格〔2011〕534 号）规定标准，按差额定率累</w:t>
      </w:r>
      <w:r>
        <w:rPr>
          <w:rFonts w:ascii="宋体" w:hAnsi="宋体" w:eastAsia="宋体" w:cs="宋体"/>
          <w:color w:val="auto"/>
          <w:spacing w:val="-1"/>
          <w:sz w:val="24"/>
          <w:szCs w:val="24"/>
          <w:highlight w:val="none"/>
        </w:rPr>
        <w:t>进法计算，本次招标代理服</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务费按工程类下浮</w:t>
      </w:r>
      <w:r>
        <w:rPr>
          <w:rFonts w:ascii="宋体" w:hAnsi="宋体" w:eastAsia="宋体" w:cs="宋体"/>
          <w:color w:val="auto"/>
          <w:spacing w:val="-38"/>
          <w:sz w:val="24"/>
          <w:szCs w:val="24"/>
          <w:highlight w:val="none"/>
        </w:rPr>
        <w:t xml:space="preserve"> </w:t>
      </w: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3"/>
          <w:sz w:val="24"/>
          <w:szCs w:val="24"/>
          <w:highlight w:val="none"/>
        </w:rPr>
        <w:t>%，计算基数为中标金额。</w:t>
      </w:r>
    </w:p>
    <w:p w14:paraId="5AD1DE92">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（二）合同估价：以招标控制价人民币（大写</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3"/>
          <w:sz w:val="24"/>
          <w:szCs w:val="24"/>
          <w:highlight w:val="none"/>
        </w:rPr>
        <w:t>）计算本项目的招标代理费估价为人民币（大写）</w:t>
      </w:r>
      <w:r>
        <w:rPr>
          <w:rFonts w:hint="eastAsia" w:ascii="宋体" w:hAnsi="宋体" w:eastAsia="宋体" w:cs="宋体"/>
          <w:color w:val="auto"/>
          <w:spacing w:val="-3"/>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）。最终以工程中标金额</w:t>
      </w:r>
      <w:r>
        <w:rPr>
          <w:rFonts w:ascii="宋体" w:hAnsi="宋体" w:eastAsia="宋体" w:cs="宋体"/>
          <w:color w:val="auto"/>
          <w:spacing w:val="-2"/>
          <w:sz w:val="24"/>
          <w:szCs w:val="24"/>
          <w:highlight w:val="none"/>
        </w:rPr>
        <w:t>为计算基数。</w:t>
      </w:r>
    </w:p>
    <w:p w14:paraId="096141EE">
      <w:pPr>
        <w:keepNext w:val="0"/>
        <w:keepLines w:val="0"/>
        <w:pageBreakBefore w:val="0"/>
        <w:widowControl w:val="0"/>
        <w:kinsoku/>
        <w:wordWrap/>
        <w:overflowPunct/>
        <w:topLinePunct w:val="0"/>
        <w:autoSpaceDE/>
        <w:autoSpaceDN/>
        <w:bidi w:val="0"/>
        <w:adjustRightInd w:val="0"/>
        <w:snapToGrid w:val="0"/>
        <w:spacing w:line="360" w:lineRule="auto"/>
        <w:ind w:right="0" w:firstLine="468" w:firstLineChars="200"/>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（三）由中标人在中标人与委托人签订合同</w:t>
      </w:r>
      <w:r>
        <w:rPr>
          <w:rFonts w:ascii="宋体" w:hAnsi="宋体" w:eastAsia="宋体" w:cs="宋体"/>
          <w:color w:val="auto"/>
          <w:spacing w:val="-23"/>
          <w:sz w:val="24"/>
          <w:szCs w:val="24"/>
          <w:highlight w:val="none"/>
        </w:rPr>
        <w:t xml:space="preserve"> </w:t>
      </w:r>
      <w:r>
        <w:rPr>
          <w:rFonts w:ascii="宋体" w:hAnsi="宋体" w:eastAsia="宋体" w:cs="宋体"/>
          <w:color w:val="auto"/>
          <w:spacing w:val="-3"/>
          <w:sz w:val="24"/>
          <w:szCs w:val="24"/>
          <w:highlight w:val="none"/>
        </w:rPr>
        <w:t>5 日内，将本合同约定的全部委托</w:t>
      </w:r>
      <w:r>
        <w:rPr>
          <w:rFonts w:ascii="宋体" w:hAnsi="宋体" w:eastAsia="宋体" w:cs="宋体"/>
          <w:color w:val="auto"/>
          <w:spacing w:val="-4"/>
          <w:sz w:val="24"/>
          <w:szCs w:val="24"/>
          <w:highlight w:val="none"/>
        </w:rPr>
        <w:t>代理</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报酬通过银行转账方式一次性支付给代理人。代理人指定账户如下：</w:t>
      </w:r>
    </w:p>
    <w:p w14:paraId="1622A4EB">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pacing w:val="8"/>
          <w:sz w:val="24"/>
          <w:szCs w:val="24"/>
          <w:highlight w:val="none"/>
        </w:rPr>
      </w:pPr>
      <w:r>
        <w:rPr>
          <w:rFonts w:ascii="宋体" w:hAnsi="宋体" w:eastAsia="宋体" w:cs="宋体"/>
          <w:color w:val="auto"/>
          <w:spacing w:val="-1"/>
          <w:sz w:val="24"/>
          <w:szCs w:val="24"/>
          <w:highlight w:val="none"/>
        </w:rPr>
        <w:t>开户名：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p>
    <w:p w14:paraId="430C62B5">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Arial"/>
          <w:color w:val="auto"/>
          <w:sz w:val="21"/>
          <w:highlight w:val="none"/>
        </w:rPr>
      </w:pPr>
      <w:r>
        <w:rPr>
          <w:rFonts w:ascii="宋体" w:hAnsi="宋体" w:eastAsia="宋体" w:cs="宋体"/>
          <w:color w:val="auto"/>
          <w:spacing w:val="-1"/>
          <w:sz w:val="24"/>
          <w:szCs w:val="24"/>
          <w:highlight w:val="none"/>
        </w:rPr>
        <w:t>开户行：</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p>
    <w:p w14:paraId="4683B940">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银行账号：</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54A7ED62">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如发生项目流标、废标等项目不能正常招标</w:t>
      </w:r>
      <w:r>
        <w:rPr>
          <w:rFonts w:ascii="宋体" w:hAnsi="宋体" w:eastAsia="宋体" w:cs="宋体"/>
          <w:color w:val="auto"/>
          <w:spacing w:val="-1"/>
          <w:sz w:val="24"/>
          <w:szCs w:val="24"/>
          <w:highlight w:val="none"/>
        </w:rPr>
        <w:t>、中标情形的，委托人对代理人没有支</w:t>
      </w:r>
      <w:r>
        <w:rPr>
          <w:rFonts w:ascii="宋体" w:hAnsi="宋体" w:eastAsia="宋体" w:cs="宋体"/>
          <w:color w:val="auto"/>
          <w:sz w:val="24"/>
          <w:szCs w:val="24"/>
          <w:highlight w:val="none"/>
        </w:rPr>
        <w:t xml:space="preserve"> 付义务；如代理人与中标人因代理报酬等产生争议的，与委托</w:t>
      </w:r>
      <w:r>
        <w:rPr>
          <w:rFonts w:ascii="宋体" w:hAnsi="宋体" w:eastAsia="宋体" w:cs="宋体"/>
          <w:color w:val="auto"/>
          <w:spacing w:val="-1"/>
          <w:sz w:val="24"/>
          <w:szCs w:val="24"/>
          <w:highlight w:val="none"/>
        </w:rPr>
        <w:t>人无关，委托人对此没有</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保证或者支付义务。</w:t>
      </w:r>
    </w:p>
    <w:p w14:paraId="26CFEB07">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（四）代理人完成委托人委托的招标代理工作范围以外的工作，为附加服务项目，</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应收取的报酬由双方协商，签订补充协议。</w:t>
      </w:r>
    </w:p>
    <w:p w14:paraId="47EF3529">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Arial"/>
          <w:color w:val="auto"/>
          <w:sz w:val="21"/>
          <w:highlight w:val="none"/>
        </w:rPr>
      </w:pPr>
      <w:r>
        <w:rPr>
          <w:rFonts w:ascii="宋体" w:hAnsi="宋体" w:eastAsia="宋体" w:cs="宋体"/>
          <w:color w:val="auto"/>
          <w:spacing w:val="-1"/>
          <w:sz w:val="24"/>
          <w:szCs w:val="24"/>
          <w:highlight w:val="none"/>
        </w:rPr>
        <w:t>（五）代理服务报酬包括的范围：包括但不限于实施和完成工程招标代理工作所需</w:t>
      </w:r>
      <w:r>
        <w:rPr>
          <w:rFonts w:ascii="宋体" w:hAnsi="宋体" w:eastAsia="宋体" w:cs="宋体"/>
          <w:color w:val="auto"/>
          <w:spacing w:val="4"/>
          <w:sz w:val="24"/>
          <w:szCs w:val="24"/>
          <w:highlight w:val="none"/>
        </w:rPr>
        <w:t xml:space="preserve"> </w:t>
      </w:r>
      <w:r>
        <w:rPr>
          <w:rFonts w:ascii="宋体" w:hAnsi="宋体" w:eastAsia="宋体" w:cs="宋体"/>
          <w:color w:val="auto"/>
          <w:sz w:val="24"/>
          <w:szCs w:val="24"/>
          <w:highlight w:val="none"/>
        </w:rPr>
        <w:t>的劳务费、技术服务费、交通、通讯、办公场地、管理费</w:t>
      </w:r>
      <w:r>
        <w:rPr>
          <w:rFonts w:ascii="宋体" w:hAnsi="宋体" w:eastAsia="宋体" w:cs="宋体"/>
          <w:color w:val="auto"/>
          <w:spacing w:val="-1"/>
          <w:sz w:val="24"/>
          <w:szCs w:val="24"/>
          <w:highlight w:val="none"/>
        </w:rPr>
        <w:t>、税费和利润等费用和政策性</w:t>
      </w:r>
      <w:r>
        <w:rPr>
          <w:rFonts w:ascii="宋体" w:hAnsi="宋体" w:eastAsia="宋体" w:cs="宋体"/>
          <w:color w:val="auto"/>
          <w:sz w:val="24"/>
          <w:szCs w:val="24"/>
          <w:highlight w:val="none"/>
        </w:rPr>
        <w:t xml:space="preserve"> 文件规定及合同包含的所有风险、责任等各项应有的费用</w:t>
      </w:r>
      <w:r>
        <w:rPr>
          <w:rFonts w:ascii="宋体" w:hAnsi="宋体" w:eastAsia="宋体" w:cs="宋体"/>
          <w:color w:val="auto"/>
          <w:spacing w:val="-1"/>
          <w:sz w:val="24"/>
          <w:szCs w:val="24"/>
          <w:highlight w:val="none"/>
        </w:rPr>
        <w:t>、项目进入交易中心所发生的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一切费用（场地费、公告费、专家评审费等）</w:t>
      </w:r>
    </w:p>
    <w:p w14:paraId="14C15B4E">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第六条 委托人的权利</w:t>
      </w:r>
    </w:p>
    <w:p w14:paraId="1971A385">
      <w:pPr>
        <w:keepNext w:val="0"/>
        <w:keepLines w:val="0"/>
        <w:pageBreakBefore w:val="0"/>
        <w:widowControl w:val="0"/>
        <w:kinsoku/>
        <w:wordWrap/>
        <w:overflowPunct/>
        <w:topLinePunct w:val="0"/>
        <w:autoSpaceDE/>
        <w:autoSpaceDN/>
        <w:bidi w:val="0"/>
        <w:adjustRightInd w:val="0"/>
        <w:snapToGrid w:val="0"/>
        <w:spacing w:line="360" w:lineRule="auto"/>
        <w:ind w:right="0" w:firstLine="464" w:firstLineChars="200"/>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（一）按合同约定，接收招标代理成果；</w:t>
      </w:r>
    </w:p>
    <w:p w14:paraId="70693DB1">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（二）向代理人询问本合同工程招标工作进展</w:t>
      </w:r>
      <w:r>
        <w:rPr>
          <w:rFonts w:ascii="宋体" w:hAnsi="宋体" w:eastAsia="宋体" w:cs="宋体"/>
          <w:color w:val="auto"/>
          <w:spacing w:val="-2"/>
          <w:sz w:val="24"/>
          <w:szCs w:val="24"/>
          <w:highlight w:val="none"/>
        </w:rPr>
        <w:t>情况和相关内容或提出不违反法律、</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行政法规的建议；</w:t>
      </w:r>
    </w:p>
    <w:p w14:paraId="75D75732">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（三）审查代理人为本合同工程编制的各种</w:t>
      </w:r>
      <w:r>
        <w:rPr>
          <w:rFonts w:ascii="宋体" w:hAnsi="宋体" w:eastAsia="宋体" w:cs="宋体"/>
          <w:color w:val="auto"/>
          <w:spacing w:val="-3"/>
          <w:sz w:val="24"/>
          <w:szCs w:val="24"/>
          <w:highlight w:val="none"/>
        </w:rPr>
        <w:t>文件，并提出修正意见；</w:t>
      </w:r>
    </w:p>
    <w:p w14:paraId="05FA6BBD">
      <w:pPr>
        <w:keepNext w:val="0"/>
        <w:keepLines w:val="0"/>
        <w:pageBreakBefore w:val="0"/>
        <w:widowControl w:val="0"/>
        <w:kinsoku/>
        <w:wordWrap/>
        <w:overflowPunct/>
        <w:topLinePunct w:val="0"/>
        <w:autoSpaceDE/>
        <w:autoSpaceDN/>
        <w:bidi w:val="0"/>
        <w:adjustRightInd w:val="0"/>
        <w:snapToGrid w:val="0"/>
        <w:spacing w:line="360" w:lineRule="auto"/>
        <w:ind w:right="0" w:firstLine="464" w:firstLineChars="200"/>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（四）要求代理人提交招标代理业务工作报告；</w:t>
      </w:r>
    </w:p>
    <w:p w14:paraId="4F6ECFB3">
      <w:pPr>
        <w:keepNext w:val="0"/>
        <w:keepLines w:val="0"/>
        <w:pageBreakBefore w:val="0"/>
        <w:widowControl w:val="0"/>
        <w:kinsoku/>
        <w:wordWrap/>
        <w:overflowPunct/>
        <w:topLinePunct w:val="0"/>
        <w:autoSpaceDE/>
        <w:autoSpaceDN/>
        <w:bidi w:val="0"/>
        <w:adjustRightInd w:val="0"/>
        <w:snapToGrid w:val="0"/>
        <w:spacing w:line="360" w:lineRule="auto"/>
        <w:ind w:right="0" w:firstLine="468" w:firstLineChars="200"/>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（五）与代理人协商，建议更换其不称职的招标代理从业人员；</w:t>
      </w:r>
    </w:p>
    <w:p w14:paraId="50F389A1">
      <w:pPr>
        <w:keepNext w:val="0"/>
        <w:keepLines w:val="0"/>
        <w:pageBreakBefore w:val="0"/>
        <w:widowControl w:val="0"/>
        <w:kinsoku/>
        <w:wordWrap/>
        <w:overflowPunct/>
        <w:topLinePunct w:val="0"/>
        <w:autoSpaceDE/>
        <w:autoSpaceDN/>
        <w:bidi w:val="0"/>
        <w:adjustRightInd w:val="0"/>
        <w:snapToGrid w:val="0"/>
        <w:spacing w:line="360" w:lineRule="auto"/>
        <w:ind w:right="0" w:firstLine="456" w:firstLineChars="200"/>
        <w:textAlignment w:val="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（六）依法选择中标人；</w:t>
      </w:r>
    </w:p>
    <w:p w14:paraId="3F01F519">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（七）本合同履行期间，由于代理人不履行合同约定的内容，给委托人造成损失或</w:t>
      </w:r>
      <w:r>
        <w:rPr>
          <w:rFonts w:ascii="宋体" w:hAnsi="宋体" w:eastAsia="宋体" w:cs="宋体"/>
          <w:color w:val="auto"/>
          <w:sz w:val="24"/>
          <w:szCs w:val="24"/>
          <w:highlight w:val="none"/>
        </w:rPr>
        <w:t>影响招标工作正常进行的，委托人有权单方面全部或者部分解</w:t>
      </w:r>
      <w:r>
        <w:rPr>
          <w:rFonts w:ascii="宋体" w:hAnsi="宋体" w:eastAsia="宋体" w:cs="宋体"/>
          <w:color w:val="auto"/>
          <w:spacing w:val="-1"/>
          <w:sz w:val="24"/>
          <w:szCs w:val="24"/>
          <w:highlight w:val="none"/>
        </w:rPr>
        <w:t>除合同，并要求代理人支</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付</w:t>
      </w:r>
      <w:r>
        <w:rPr>
          <w:rFonts w:ascii="宋体" w:hAnsi="宋体" w:eastAsia="宋体" w:cs="宋体"/>
          <w:color w:val="auto"/>
          <w:spacing w:val="-49"/>
          <w:sz w:val="24"/>
          <w:szCs w:val="24"/>
          <w:highlight w:val="none"/>
        </w:rPr>
        <w:t xml:space="preserve"> </w:t>
      </w:r>
      <w:r>
        <w:rPr>
          <w:rFonts w:ascii="宋体" w:hAnsi="宋体" w:eastAsia="宋体" w:cs="宋体"/>
          <w:color w:val="auto"/>
          <w:spacing w:val="-2"/>
          <w:sz w:val="24"/>
          <w:szCs w:val="24"/>
          <w:highlight w:val="none"/>
          <w:u w:val="single" w:color="auto"/>
        </w:rPr>
        <w:t xml:space="preserve">0.2% </w:t>
      </w:r>
      <w:r>
        <w:rPr>
          <w:rFonts w:ascii="宋体" w:hAnsi="宋体" w:eastAsia="宋体" w:cs="宋体"/>
          <w:color w:val="auto"/>
          <w:spacing w:val="-2"/>
          <w:sz w:val="24"/>
          <w:szCs w:val="24"/>
          <w:highlight w:val="none"/>
        </w:rPr>
        <w:t>元的违约金；如该违约金不足以弥补委托人损失的 ，代理人还应赔偿委托人的</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损失。</w:t>
      </w:r>
    </w:p>
    <w:p w14:paraId="7280C464">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Arial"/>
          <w:color w:val="auto"/>
          <w:sz w:val="21"/>
          <w:highlight w:val="none"/>
        </w:rPr>
      </w:pPr>
      <w:r>
        <w:rPr>
          <w:rFonts w:ascii="宋体" w:hAnsi="宋体" w:eastAsia="宋体" w:cs="宋体"/>
          <w:color w:val="auto"/>
          <w:spacing w:val="-2"/>
          <w:sz w:val="24"/>
          <w:szCs w:val="24"/>
          <w:highlight w:val="none"/>
        </w:rPr>
        <w:t>（八）其他权利：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33D03B74">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ascii="Arial"/>
          <w:color w:val="auto"/>
          <w:sz w:val="21"/>
          <w:highlight w:val="none"/>
        </w:rPr>
      </w:pPr>
      <w:r>
        <w:rPr>
          <w:rFonts w:hint="eastAsia" w:ascii="宋体" w:hAnsi="宋体" w:eastAsia="宋体" w:cs="宋体"/>
          <w:b/>
          <w:bCs/>
          <w:color w:val="auto"/>
          <w:spacing w:val="-4"/>
          <w:sz w:val="24"/>
          <w:szCs w:val="24"/>
          <w:highlight w:val="none"/>
        </w:rPr>
        <w:t>第七条 代理人的权利</w:t>
      </w:r>
    </w:p>
    <w:p w14:paraId="3C55A8F5">
      <w:pPr>
        <w:keepNext w:val="0"/>
        <w:keepLines w:val="0"/>
        <w:pageBreakBefore w:val="0"/>
        <w:widowControl w:val="0"/>
        <w:kinsoku/>
        <w:wordWrap/>
        <w:overflowPunct/>
        <w:topLinePunct w:val="0"/>
        <w:autoSpaceDE/>
        <w:autoSpaceDN/>
        <w:bidi w:val="0"/>
        <w:adjustRightInd w:val="0"/>
        <w:snapToGrid w:val="0"/>
        <w:spacing w:line="360" w:lineRule="auto"/>
        <w:ind w:right="0" w:firstLine="464" w:firstLineChars="200"/>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（一）按合同约定收取委托代理报酬；</w:t>
      </w:r>
    </w:p>
    <w:p w14:paraId="737BB0BB">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（二）对招标过程中应由委托人做出的决定</w:t>
      </w:r>
      <w:r>
        <w:rPr>
          <w:rFonts w:ascii="宋体" w:hAnsi="宋体" w:eastAsia="宋体" w:cs="宋体"/>
          <w:color w:val="auto"/>
          <w:spacing w:val="-3"/>
          <w:sz w:val="24"/>
          <w:szCs w:val="24"/>
          <w:highlight w:val="none"/>
        </w:rPr>
        <w:t>，代理人有权提出建议；</w:t>
      </w:r>
    </w:p>
    <w:p w14:paraId="1D0EF3D3">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（三）当委托人提供的资料不足或不明确时，有权要求委托人补足资料或作出明确</w:t>
      </w:r>
    </w:p>
    <w:p w14:paraId="2BE580B5">
      <w:pPr>
        <w:spacing w:before="275" w:line="220" w:lineRule="auto"/>
        <w:ind w:left="2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的答复；</w:t>
      </w:r>
    </w:p>
    <w:p w14:paraId="12438BC5">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（四）对于为本合同工程编制的所有文件拥有知识产权，委托人仅有使用或复制的</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权利；</w:t>
      </w:r>
    </w:p>
    <w:p w14:paraId="0F4C3F36">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Arial"/>
          <w:color w:val="auto"/>
          <w:sz w:val="21"/>
          <w:highlight w:val="none"/>
        </w:rPr>
      </w:pPr>
      <w:r>
        <w:rPr>
          <w:rFonts w:ascii="宋体" w:hAnsi="宋体" w:eastAsia="宋体" w:cs="宋体"/>
          <w:color w:val="auto"/>
          <w:spacing w:val="-2"/>
          <w:sz w:val="24"/>
          <w:szCs w:val="24"/>
          <w:highlight w:val="none"/>
        </w:rPr>
        <w:t>（五）依法享有的其他权利：</w:t>
      </w:r>
      <w:r>
        <w:rPr>
          <w:rFonts w:ascii="宋体" w:hAnsi="宋体" w:eastAsia="宋体" w:cs="宋体"/>
          <w:color w:val="auto"/>
          <w:spacing w:val="-2"/>
          <w:sz w:val="24"/>
          <w:szCs w:val="24"/>
          <w:highlight w:val="none"/>
          <w:u w:val="single" w:color="auto"/>
        </w:rPr>
        <w:t>无</w:t>
      </w:r>
      <w:r>
        <w:rPr>
          <w:rFonts w:ascii="宋体" w:hAnsi="宋体" w:eastAsia="宋体" w:cs="宋体"/>
          <w:color w:val="auto"/>
          <w:spacing w:val="-2"/>
          <w:sz w:val="24"/>
          <w:szCs w:val="24"/>
          <w:highlight w:val="none"/>
        </w:rPr>
        <w:t>。</w:t>
      </w:r>
    </w:p>
    <w:p w14:paraId="15AD7879">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第八条 委托人的义务</w:t>
      </w:r>
    </w:p>
    <w:p w14:paraId="44365F10">
      <w:pPr>
        <w:keepNext w:val="0"/>
        <w:keepLines w:val="0"/>
        <w:pageBreakBefore w:val="0"/>
        <w:widowControl w:val="0"/>
        <w:kinsoku/>
        <w:wordWrap/>
        <w:overflowPunct/>
        <w:topLinePunct w:val="0"/>
        <w:autoSpaceDE/>
        <w:autoSpaceDN/>
        <w:bidi w:val="0"/>
        <w:adjustRightInd w:val="0"/>
        <w:snapToGrid w:val="0"/>
        <w:spacing w:line="360" w:lineRule="auto"/>
        <w:ind w:right="0" w:firstLine="464" w:firstLineChars="200"/>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（一）按本合同的约定向代理人支付代理报酬；</w:t>
      </w:r>
    </w:p>
    <w:p w14:paraId="45279143">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（二）向代理人提供本工程招标代理业务应具备的相关工程前期资料（如立项批准</w:t>
      </w:r>
      <w:r>
        <w:rPr>
          <w:rFonts w:ascii="宋体" w:hAnsi="宋体" w:eastAsia="宋体" w:cs="宋体"/>
          <w:color w:val="auto"/>
          <w:spacing w:val="7"/>
          <w:sz w:val="24"/>
          <w:szCs w:val="24"/>
          <w:highlight w:val="none"/>
        </w:rPr>
        <w:t xml:space="preserve"> </w:t>
      </w:r>
      <w:r>
        <w:rPr>
          <w:rFonts w:ascii="宋体" w:hAnsi="宋体" w:eastAsia="宋体" w:cs="宋体"/>
          <w:color w:val="auto"/>
          <w:sz w:val="24"/>
          <w:szCs w:val="24"/>
          <w:highlight w:val="none"/>
        </w:rPr>
        <w:t>手续规划许可、报建证等）及资金落实情况资料：</w:t>
      </w:r>
      <w:r>
        <w:rPr>
          <w:rFonts w:ascii="宋体" w:hAnsi="宋体" w:eastAsia="宋体" w:cs="宋体"/>
          <w:color w:val="auto"/>
          <w:sz w:val="24"/>
          <w:szCs w:val="24"/>
          <w:highlight w:val="none"/>
          <w:u w:val="single" w:color="auto"/>
        </w:rPr>
        <w:t>招标项</w:t>
      </w:r>
      <w:r>
        <w:rPr>
          <w:rFonts w:ascii="宋体" w:hAnsi="宋体" w:eastAsia="宋体" w:cs="宋体"/>
          <w:color w:val="auto"/>
          <w:spacing w:val="-1"/>
          <w:sz w:val="24"/>
          <w:szCs w:val="24"/>
          <w:highlight w:val="none"/>
          <w:u w:val="single" w:color="auto"/>
        </w:rPr>
        <w:t>目送审备案前3天</w:t>
      </w:r>
      <w:r>
        <w:rPr>
          <w:rFonts w:ascii="宋体" w:hAnsi="宋体" w:eastAsia="宋体" w:cs="宋体"/>
          <w:color w:val="auto"/>
          <w:spacing w:val="-1"/>
          <w:sz w:val="24"/>
          <w:szCs w:val="24"/>
          <w:highlight w:val="none"/>
        </w:rPr>
        <w:t>；</w:t>
      </w:r>
    </w:p>
    <w:p w14:paraId="3B108336">
      <w:pPr>
        <w:keepNext w:val="0"/>
        <w:keepLines w:val="0"/>
        <w:pageBreakBefore w:val="0"/>
        <w:widowControl w:val="0"/>
        <w:kinsoku/>
        <w:wordWrap/>
        <w:overflowPunct/>
        <w:topLinePunct w:val="0"/>
        <w:autoSpaceDE/>
        <w:autoSpaceDN/>
        <w:bidi w:val="0"/>
        <w:adjustRightInd w:val="0"/>
        <w:snapToGrid w:val="0"/>
        <w:spacing w:line="360" w:lineRule="auto"/>
        <w:ind w:right="0" w:firstLine="464" w:firstLineChars="200"/>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（三）招标项目送审备案前3天向代理人提供完成本工程招标代理业务所需的全部技</w:t>
      </w:r>
      <w:r>
        <w:rPr>
          <w:rFonts w:ascii="宋体" w:hAnsi="宋体" w:eastAsia="宋体" w:cs="宋体"/>
          <w:color w:val="auto"/>
          <w:spacing w:val="11"/>
          <w:sz w:val="24"/>
          <w:szCs w:val="24"/>
          <w:highlight w:val="none"/>
        </w:rPr>
        <w:t xml:space="preserve"> </w:t>
      </w:r>
      <w:r>
        <w:rPr>
          <w:rFonts w:ascii="宋体" w:hAnsi="宋体" w:eastAsia="宋体" w:cs="宋体"/>
          <w:color w:val="auto"/>
          <w:sz w:val="24"/>
          <w:szCs w:val="24"/>
          <w:highlight w:val="none"/>
        </w:rPr>
        <w:t>术资料和图纸，需要交底的须向代理人详细交底，并对提供资</w:t>
      </w:r>
      <w:r>
        <w:rPr>
          <w:rFonts w:ascii="宋体" w:hAnsi="宋体" w:eastAsia="宋体" w:cs="宋体"/>
          <w:color w:val="auto"/>
          <w:spacing w:val="-1"/>
          <w:sz w:val="24"/>
          <w:szCs w:val="24"/>
          <w:highlight w:val="none"/>
        </w:rPr>
        <w:t>料的真实性、完整性、准</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确性负责；</w:t>
      </w:r>
    </w:p>
    <w:p w14:paraId="2421D25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（四）向代理人提供保证招标工作顺利完成的条</w:t>
      </w:r>
      <w:r>
        <w:rPr>
          <w:rFonts w:ascii="宋体" w:hAnsi="宋体" w:eastAsia="宋体" w:cs="宋体"/>
          <w:color w:val="auto"/>
          <w:spacing w:val="-1"/>
          <w:sz w:val="24"/>
          <w:szCs w:val="24"/>
          <w:highlight w:val="none"/>
        </w:rPr>
        <w:t>件：</w:t>
      </w:r>
      <w:r>
        <w:rPr>
          <w:rFonts w:ascii="宋体" w:hAnsi="宋体" w:eastAsia="宋体" w:cs="宋体"/>
          <w:color w:val="auto"/>
          <w:spacing w:val="-1"/>
          <w:sz w:val="24"/>
          <w:szCs w:val="24"/>
          <w:highlight w:val="none"/>
          <w:u w:val="single" w:color="auto"/>
        </w:rPr>
        <w:t>招标项目备案所需资料齐全；</w:t>
      </w:r>
    </w:p>
    <w:p w14:paraId="6CBD7873">
      <w:pPr>
        <w:keepNext w:val="0"/>
        <w:keepLines w:val="0"/>
        <w:pageBreakBefore w:val="0"/>
        <w:widowControl w:val="0"/>
        <w:kinsoku/>
        <w:wordWrap/>
        <w:overflowPunct/>
        <w:topLinePunct w:val="0"/>
        <w:autoSpaceDE/>
        <w:autoSpaceDN/>
        <w:bidi w:val="0"/>
        <w:adjustRightInd w:val="0"/>
        <w:snapToGrid w:val="0"/>
        <w:spacing w:line="360" w:lineRule="auto"/>
        <w:ind w:right="0" w:firstLine="464" w:firstLineChars="200"/>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（五）指定专人与代理人联系，指定人员如下：</w:t>
      </w:r>
      <w:r>
        <w:rPr>
          <w:rFonts w:ascii="宋体" w:hAnsi="宋体" w:eastAsia="宋体" w:cs="宋体"/>
          <w:color w:val="auto"/>
          <w:spacing w:val="11"/>
          <w:sz w:val="24"/>
          <w:szCs w:val="24"/>
          <w:highlight w:val="none"/>
        </w:rPr>
        <w:t xml:space="preserve"> </w:t>
      </w:r>
      <w:r>
        <w:rPr>
          <w:rFonts w:ascii="宋体" w:hAnsi="宋体" w:eastAsia="宋体" w:cs="宋体"/>
          <w:color w:val="auto"/>
          <w:spacing w:val="-1"/>
          <w:sz w:val="24"/>
          <w:szCs w:val="24"/>
          <w:highlight w:val="none"/>
        </w:rPr>
        <w:t>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，电话：</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3"/>
          <w:sz w:val="24"/>
          <w:szCs w:val="24"/>
          <w:highlight w:val="none"/>
          <w:u w:val="single" w:color="auto"/>
        </w:rPr>
        <w:t xml:space="preserve">    </w:t>
      </w:r>
    </w:p>
    <w:p w14:paraId="61293EF7">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（六）需要与第三方协调的工作：</w:t>
      </w:r>
      <w:r>
        <w:rPr>
          <w:rFonts w:ascii="宋体" w:hAnsi="宋体" w:eastAsia="宋体" w:cs="宋体"/>
          <w:color w:val="auto"/>
          <w:spacing w:val="-1"/>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16661831">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（七）应尽的其他义务：</w:t>
      </w:r>
      <w:r>
        <w:rPr>
          <w:rFonts w:ascii="宋体" w:hAnsi="宋体" w:eastAsia="宋体" w:cs="宋体"/>
          <w:color w:val="auto"/>
          <w:spacing w:val="-2"/>
          <w:sz w:val="24"/>
          <w:szCs w:val="24"/>
          <w:highlight w:val="none"/>
          <w:u w:val="single" w:color="auto"/>
        </w:rPr>
        <w:t>/</w:t>
      </w:r>
      <w:r>
        <w:rPr>
          <w:rFonts w:ascii="宋体" w:hAnsi="宋体" w:eastAsia="宋体" w:cs="宋体"/>
          <w:color w:val="auto"/>
          <w:sz w:val="24"/>
          <w:szCs w:val="24"/>
          <w:highlight w:val="none"/>
          <w:u w:val="single" w:color="auto"/>
        </w:rPr>
        <w:t xml:space="preserve">                              </w:t>
      </w:r>
    </w:p>
    <w:p w14:paraId="2E45A06C">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（八）委托人负有对代理人为本合同提供的技</w:t>
      </w:r>
      <w:r>
        <w:rPr>
          <w:rFonts w:ascii="宋体" w:hAnsi="宋体" w:eastAsia="宋体" w:cs="宋体"/>
          <w:color w:val="auto"/>
          <w:spacing w:val="-2"/>
          <w:sz w:val="24"/>
          <w:szCs w:val="24"/>
          <w:highlight w:val="none"/>
        </w:rPr>
        <w:t>术服务进行知识产权保护的责任。</w:t>
      </w:r>
    </w:p>
    <w:p w14:paraId="12574208">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Arial"/>
          <w:color w:val="auto"/>
          <w:sz w:val="21"/>
          <w:highlight w:val="none"/>
        </w:rPr>
      </w:pPr>
      <w:r>
        <w:rPr>
          <w:rFonts w:ascii="宋体" w:hAnsi="宋体" w:eastAsia="宋体" w:cs="宋体"/>
          <w:color w:val="auto"/>
          <w:spacing w:val="-1"/>
          <w:sz w:val="24"/>
          <w:szCs w:val="24"/>
          <w:highlight w:val="none"/>
        </w:rPr>
        <w:t>（九）委托人未能履行以上各项义务，给代理人造成损失的，应当赔偿代理人的有</w:t>
      </w:r>
      <w:r>
        <w:rPr>
          <w:rFonts w:ascii="宋体" w:hAnsi="宋体" w:eastAsia="宋体" w:cs="宋体"/>
          <w:color w:val="auto"/>
          <w:spacing w:val="-10"/>
          <w:sz w:val="24"/>
          <w:szCs w:val="24"/>
          <w:highlight w:val="none"/>
        </w:rPr>
        <w:t>关损失。</w:t>
      </w:r>
    </w:p>
    <w:p w14:paraId="12FEC570">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第九条 代理人的义务</w:t>
      </w:r>
    </w:p>
    <w:p w14:paraId="34C957F7">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（一）代理人应根据本合同中约定的委托招标代理业务的工作范围和内容，选择有</w:t>
      </w:r>
      <w:r>
        <w:rPr>
          <w:rFonts w:ascii="宋体" w:hAnsi="宋体" w:eastAsia="宋体" w:cs="宋体"/>
          <w:color w:val="auto"/>
          <w:spacing w:val="-2"/>
          <w:sz w:val="24"/>
          <w:szCs w:val="24"/>
          <w:highlight w:val="none"/>
        </w:rPr>
        <w:t>足够经验的专职技术经济人员担任招标代理项目负责人。</w:t>
      </w:r>
    </w:p>
    <w:p w14:paraId="0C0EA118">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招标代理项目负责人姓名：</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8"/>
          <w:sz w:val="24"/>
          <w:szCs w:val="24"/>
          <w:highlight w:val="none"/>
        </w:rPr>
        <w:t xml:space="preserve"> </w:t>
      </w:r>
      <w:r>
        <w:rPr>
          <w:rFonts w:ascii="宋体" w:hAnsi="宋体" w:eastAsia="宋体" w:cs="宋体"/>
          <w:color w:val="auto"/>
          <w:spacing w:val="-1"/>
          <w:sz w:val="24"/>
          <w:szCs w:val="24"/>
          <w:highlight w:val="none"/>
        </w:rPr>
        <w:t>， 身份证号：</w:t>
      </w:r>
      <w:r>
        <w:rPr>
          <w:rFonts w:hint="eastAsia" w:ascii="宋体" w:hAnsi="宋体" w:eastAsia="宋体" w:cs="宋体"/>
          <w:color w:val="auto"/>
          <w:spacing w:val="-1"/>
          <w:sz w:val="24"/>
          <w:szCs w:val="24"/>
          <w:highlight w:val="none"/>
          <w:u w:val="single" w:color="auto"/>
          <w:lang w:val="en-US" w:eastAsia="zh-CN"/>
        </w:rPr>
        <w:t xml:space="preserve">                 </w:t>
      </w:r>
      <w:r>
        <w:rPr>
          <w:rFonts w:ascii="宋体" w:hAnsi="宋体" w:eastAsia="宋体" w:cs="宋体"/>
          <w:color w:val="auto"/>
          <w:spacing w:val="-1"/>
          <w:sz w:val="24"/>
          <w:szCs w:val="24"/>
          <w:highlight w:val="none"/>
        </w:rPr>
        <w:t>。</w:t>
      </w:r>
    </w:p>
    <w:p w14:paraId="49F4CD6A">
      <w:pPr>
        <w:keepNext w:val="0"/>
        <w:keepLines w:val="0"/>
        <w:pageBreakBefore w:val="0"/>
        <w:widowControl w:val="0"/>
        <w:kinsoku/>
        <w:wordWrap/>
        <w:overflowPunct/>
        <w:topLinePunct w:val="0"/>
        <w:autoSpaceDE/>
        <w:autoSpaceDN/>
        <w:bidi w:val="0"/>
        <w:adjustRightInd w:val="0"/>
        <w:snapToGrid w:val="0"/>
        <w:spacing w:line="360" w:lineRule="auto"/>
        <w:ind w:right="0" w:firstLine="468" w:firstLineChars="200"/>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（二）代理人按本合同约定的内容和时间完成下列工作：</w:t>
      </w:r>
    </w:p>
    <w:p w14:paraId="75B894DF">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（1）依法按照公开、公平、公正和诚实信用原</w:t>
      </w:r>
      <w:r>
        <w:rPr>
          <w:rFonts w:ascii="宋体" w:hAnsi="宋体" w:eastAsia="宋体" w:cs="宋体"/>
          <w:color w:val="auto"/>
          <w:spacing w:val="-1"/>
          <w:sz w:val="24"/>
          <w:szCs w:val="24"/>
          <w:highlight w:val="none"/>
        </w:rPr>
        <w:t>则， 组织招标工作，维护各方的合</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法权益；</w:t>
      </w:r>
    </w:p>
    <w:p w14:paraId="7C8232D8">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（2）应用专业技术与技能为委托人提供完成招标工作</w:t>
      </w:r>
      <w:r>
        <w:rPr>
          <w:rFonts w:ascii="宋体" w:hAnsi="宋体" w:eastAsia="宋体" w:cs="宋体"/>
          <w:color w:val="auto"/>
          <w:spacing w:val="-3"/>
          <w:sz w:val="24"/>
          <w:szCs w:val="24"/>
          <w:highlight w:val="none"/>
        </w:rPr>
        <w:t>相关的咨询服务；</w:t>
      </w:r>
    </w:p>
    <w:p w14:paraId="2EBC1A42">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（3）向委托人宣传有关工程招标的法律、行政法规和规章，解释合理的招标程序，</w:t>
      </w:r>
      <w:r>
        <w:rPr>
          <w:rFonts w:ascii="宋体" w:hAnsi="宋体" w:eastAsia="宋体" w:cs="宋体"/>
          <w:color w:val="auto"/>
          <w:spacing w:val="3"/>
          <w:sz w:val="24"/>
          <w:szCs w:val="24"/>
          <w:highlight w:val="none"/>
        </w:rPr>
        <w:t xml:space="preserve"> </w:t>
      </w:r>
      <w:r>
        <w:rPr>
          <w:rFonts w:ascii="宋体" w:hAnsi="宋体" w:eastAsia="宋体" w:cs="宋体"/>
          <w:color w:val="auto"/>
          <w:spacing w:val="-7"/>
          <w:sz w:val="24"/>
          <w:szCs w:val="24"/>
          <w:highlight w:val="none"/>
        </w:rPr>
        <w:t>以便得到委托人的支持和配合；</w:t>
      </w:r>
    </w:p>
    <w:p w14:paraId="34AED0CD">
      <w:pPr>
        <w:keepNext w:val="0"/>
        <w:keepLines w:val="0"/>
        <w:pageBreakBefore w:val="0"/>
        <w:widowControl w:val="0"/>
        <w:kinsoku/>
        <w:wordWrap/>
        <w:overflowPunct/>
        <w:topLinePunct w:val="0"/>
        <w:autoSpaceDE/>
        <w:autoSpaceDN/>
        <w:bidi w:val="0"/>
        <w:adjustRightInd w:val="0"/>
        <w:snapToGrid w:val="0"/>
        <w:spacing w:line="360" w:lineRule="auto"/>
        <w:ind w:right="0" w:firstLine="448" w:firstLineChars="200"/>
        <w:textAlignment w:val="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（三）对接义务：</w:t>
      </w:r>
    </w:p>
    <w:p w14:paraId="3288652B">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1.积极主动提前对接自治区、钦州市相关管理部门，确保按时抽取评标专家参加评</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u w:val="single" w:color="auto"/>
        </w:rPr>
        <w:t>标事宜；</w:t>
      </w:r>
    </w:p>
    <w:p w14:paraId="6B51C055">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u w:val="single" w:color="auto"/>
        </w:rPr>
        <w:t>2.处理投标人提出的异议，并配合监督部门调查违法行为。</w:t>
      </w:r>
    </w:p>
    <w:p w14:paraId="0B59D268">
      <w:pPr>
        <w:keepNext w:val="0"/>
        <w:keepLines w:val="0"/>
        <w:pageBreakBefore w:val="0"/>
        <w:widowControl w:val="0"/>
        <w:kinsoku/>
        <w:wordWrap/>
        <w:overflowPunct/>
        <w:topLinePunct w:val="0"/>
        <w:autoSpaceDE/>
        <w:autoSpaceDN/>
        <w:bidi w:val="0"/>
        <w:adjustRightInd w:val="0"/>
        <w:snapToGrid w:val="0"/>
        <w:spacing w:line="360" w:lineRule="auto"/>
        <w:ind w:right="0" w:firstLine="452" w:firstLineChars="200"/>
        <w:textAlignment w:val="auto"/>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（四）代理人应在</w:t>
      </w:r>
      <w:r>
        <w:rPr>
          <w:rFonts w:ascii="宋体" w:hAnsi="宋体" w:eastAsia="宋体" w:cs="宋体"/>
          <w:color w:val="auto"/>
          <w:spacing w:val="-7"/>
          <w:sz w:val="24"/>
          <w:szCs w:val="24"/>
          <w:highlight w:val="none"/>
          <w:u w:val="single" w:color="auto"/>
        </w:rPr>
        <w:t xml:space="preserve">2024 </w:t>
      </w:r>
      <w:r>
        <w:rPr>
          <w:rFonts w:ascii="宋体" w:hAnsi="宋体" w:eastAsia="宋体" w:cs="宋体"/>
          <w:color w:val="auto"/>
          <w:spacing w:val="-7"/>
          <w:sz w:val="24"/>
          <w:szCs w:val="24"/>
          <w:highlight w:val="none"/>
        </w:rPr>
        <w:t>年</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104"/>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7"/>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7"/>
          <w:sz w:val="24"/>
          <w:szCs w:val="24"/>
          <w:highlight w:val="none"/>
        </w:rPr>
        <w:t>日前完成招标</w:t>
      </w:r>
      <w:r>
        <w:rPr>
          <w:rFonts w:ascii="宋体" w:hAnsi="宋体" w:eastAsia="宋体" w:cs="宋体"/>
          <w:color w:val="auto"/>
          <w:spacing w:val="-8"/>
          <w:sz w:val="24"/>
          <w:szCs w:val="24"/>
          <w:highlight w:val="none"/>
        </w:rPr>
        <w:t>、开标等工作， 如逾期一天，代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理人应向委托人支付相当于合同委托报酬总额的</w:t>
      </w:r>
      <w:r>
        <w:rPr>
          <w:rFonts w:ascii="宋体" w:hAnsi="宋体" w:eastAsia="宋体" w:cs="宋体"/>
          <w:color w:val="auto"/>
          <w:spacing w:val="-3"/>
          <w:sz w:val="24"/>
          <w:szCs w:val="24"/>
          <w:highlight w:val="none"/>
          <w:u w:val="single" w:color="auto"/>
        </w:rPr>
        <w:t xml:space="preserve">0.2  </w:t>
      </w:r>
      <w:r>
        <w:rPr>
          <w:rFonts w:ascii="宋体" w:hAnsi="宋体" w:eastAsia="宋体" w:cs="宋体"/>
          <w:color w:val="auto"/>
          <w:spacing w:val="-3"/>
          <w:sz w:val="24"/>
          <w:szCs w:val="24"/>
          <w:highlight w:val="none"/>
        </w:rPr>
        <w:t>%的违约金，超过【7</w:t>
      </w:r>
      <w:r>
        <w:rPr>
          <w:rFonts w:ascii="宋体" w:hAnsi="宋体" w:eastAsia="宋体" w:cs="宋体"/>
          <w:color w:val="auto"/>
          <w:spacing w:val="-4"/>
          <w:sz w:val="24"/>
          <w:szCs w:val="24"/>
          <w:highlight w:val="none"/>
        </w:rPr>
        <w:t>】天的，委托</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人有权解除合同并要求代理人支付相当于本合同约定服务费用总</w:t>
      </w:r>
      <w:r>
        <w:rPr>
          <w:rFonts w:ascii="宋体" w:hAnsi="宋体" w:eastAsia="宋体" w:cs="宋体"/>
          <w:color w:val="auto"/>
          <w:spacing w:val="-4"/>
          <w:sz w:val="24"/>
          <w:szCs w:val="24"/>
          <w:highlight w:val="none"/>
        </w:rPr>
        <w:t>额20%的违约金。如因代</w:t>
      </w:r>
      <w:r>
        <w:rPr>
          <w:rFonts w:ascii="宋体" w:hAnsi="宋体" w:eastAsia="宋体" w:cs="宋体"/>
          <w:color w:val="auto"/>
          <w:sz w:val="24"/>
          <w:szCs w:val="24"/>
          <w:highlight w:val="none"/>
        </w:rPr>
        <w:t xml:space="preserve"> 理人延误招标工作而造成委托人损失的，代理人还应就委</w:t>
      </w:r>
      <w:r>
        <w:rPr>
          <w:rFonts w:ascii="宋体" w:hAnsi="宋体" w:eastAsia="宋体" w:cs="宋体"/>
          <w:color w:val="auto"/>
          <w:spacing w:val="-1"/>
          <w:sz w:val="24"/>
          <w:szCs w:val="24"/>
          <w:highlight w:val="none"/>
        </w:rPr>
        <w:t>托人的损失给予赔偿，包括但</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不限于诉讼费、保全费、律师费、差旅费等。</w:t>
      </w:r>
    </w:p>
    <w:p w14:paraId="041A44D8">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（五）代理人应对招标工作中代理人所出具有关数据的计算、技术经济资料等的科</w:t>
      </w:r>
      <w:r>
        <w:rPr>
          <w:rFonts w:ascii="宋体" w:hAnsi="宋体" w:eastAsia="宋体" w:cs="宋体"/>
          <w:color w:val="auto"/>
          <w:spacing w:val="10"/>
          <w:sz w:val="24"/>
          <w:szCs w:val="24"/>
          <w:highlight w:val="none"/>
        </w:rPr>
        <w:t xml:space="preserve"> </w:t>
      </w:r>
      <w:r>
        <w:rPr>
          <w:rFonts w:ascii="宋体" w:hAnsi="宋体" w:eastAsia="宋体" w:cs="宋体"/>
          <w:color w:val="auto"/>
          <w:spacing w:val="-5"/>
          <w:sz w:val="24"/>
          <w:szCs w:val="24"/>
          <w:highlight w:val="none"/>
        </w:rPr>
        <w:t>学性和准确性负责。</w:t>
      </w:r>
    </w:p>
    <w:p w14:paraId="362D7B33">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（六）代理人不得接受与本合同工程建设项目中委托招标范围之内的相关的投标咨</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询业务。</w:t>
      </w:r>
    </w:p>
    <w:p w14:paraId="2F85310C">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（七）代理人为本合同提供技术服务的知识产权应属代理人专有。任何第三方如果</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提出侵权指控，代理人须与第三方交涉并承担由此而引起的一切法</w:t>
      </w:r>
      <w:r>
        <w:rPr>
          <w:rFonts w:ascii="宋体" w:hAnsi="宋体" w:eastAsia="宋体" w:cs="宋体"/>
          <w:color w:val="auto"/>
          <w:spacing w:val="-2"/>
          <w:sz w:val="24"/>
          <w:szCs w:val="24"/>
          <w:highlight w:val="none"/>
        </w:rPr>
        <w:t>律责任和费用。</w:t>
      </w:r>
    </w:p>
    <w:p w14:paraId="0DBB45A4">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（八）未经委托人同意，代理人不得分包或转让本合同的任何权利和义务。</w:t>
      </w:r>
    </w:p>
    <w:p w14:paraId="01DC171E">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（九）代理人不得接受所有投标人的礼品、</w:t>
      </w:r>
      <w:r>
        <w:rPr>
          <w:rFonts w:ascii="宋体" w:hAnsi="宋体" w:eastAsia="宋体" w:cs="宋体"/>
          <w:color w:val="auto"/>
          <w:spacing w:val="-1"/>
          <w:sz w:val="24"/>
          <w:szCs w:val="24"/>
          <w:highlight w:val="none"/>
        </w:rPr>
        <w:t>宴请和任何其它好处，不得泄露招标、</w:t>
      </w:r>
      <w:r>
        <w:rPr>
          <w:rFonts w:ascii="宋体" w:hAnsi="宋体" w:eastAsia="宋体" w:cs="宋体"/>
          <w:color w:val="auto"/>
          <w:sz w:val="24"/>
          <w:szCs w:val="24"/>
          <w:highlight w:val="none"/>
        </w:rPr>
        <w:t xml:space="preserve"> 评标、定标过程中依法需要保密的内容。合同终止后，未经委托</w:t>
      </w:r>
      <w:r>
        <w:rPr>
          <w:rFonts w:ascii="宋体" w:hAnsi="宋体" w:eastAsia="宋体" w:cs="宋体"/>
          <w:color w:val="auto"/>
          <w:spacing w:val="-1"/>
          <w:sz w:val="24"/>
          <w:szCs w:val="24"/>
          <w:highlight w:val="none"/>
        </w:rPr>
        <w:t>人同意，代理人不得泄</w:t>
      </w:r>
      <w:r>
        <w:rPr>
          <w:rFonts w:ascii="宋体" w:hAnsi="宋体" w:eastAsia="宋体" w:cs="宋体"/>
          <w:color w:val="auto"/>
          <w:spacing w:val="-3"/>
          <w:sz w:val="24"/>
          <w:szCs w:val="24"/>
          <w:highlight w:val="none"/>
        </w:rPr>
        <w:t>漏与本合同工程相关的任何招标资料和情况。</w:t>
      </w:r>
    </w:p>
    <w:p w14:paraId="74027407">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Arial"/>
          <w:color w:val="auto"/>
          <w:sz w:val="21"/>
          <w:highlight w:val="none"/>
        </w:rPr>
      </w:pPr>
      <w:r>
        <w:rPr>
          <w:rFonts w:ascii="宋体" w:hAnsi="宋体" w:eastAsia="宋体" w:cs="宋体"/>
          <w:color w:val="auto"/>
          <w:spacing w:val="-1"/>
          <w:sz w:val="24"/>
          <w:szCs w:val="24"/>
          <w:highlight w:val="none"/>
        </w:rPr>
        <w:t>（十</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代理人未能履行以上各项义务，给委托人造成损失的，应当赔偿委托人的有</w:t>
      </w:r>
      <w:r>
        <w:rPr>
          <w:rFonts w:ascii="宋体" w:hAnsi="宋体" w:eastAsia="宋体" w:cs="宋体"/>
          <w:color w:val="auto"/>
          <w:spacing w:val="6"/>
          <w:sz w:val="24"/>
          <w:szCs w:val="24"/>
          <w:highlight w:val="none"/>
        </w:rPr>
        <w:t xml:space="preserve"> </w:t>
      </w:r>
      <w:r>
        <w:rPr>
          <w:rFonts w:ascii="宋体" w:hAnsi="宋体" w:eastAsia="宋体" w:cs="宋体"/>
          <w:color w:val="auto"/>
          <w:spacing w:val="-10"/>
          <w:sz w:val="24"/>
          <w:szCs w:val="24"/>
          <w:highlight w:val="none"/>
        </w:rPr>
        <w:t>关损失。</w:t>
      </w:r>
    </w:p>
    <w:p w14:paraId="2EEF812F">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第十条 违约责任</w:t>
      </w:r>
    </w:p>
    <w:p w14:paraId="06179F29">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outlineLvl w:val="1"/>
        <w:rPr>
          <w:rFonts w:ascii="宋体" w:hAnsi="宋体" w:eastAsia="宋体" w:cs="宋体"/>
          <w:b/>
          <w:bCs/>
          <w:color w:val="auto"/>
          <w:spacing w:val="-5"/>
          <w:sz w:val="24"/>
          <w:szCs w:val="24"/>
          <w:highlight w:val="none"/>
        </w:rPr>
      </w:pPr>
      <w:r>
        <w:rPr>
          <w:rFonts w:ascii="宋体" w:hAnsi="宋体" w:eastAsia="宋体" w:cs="宋体"/>
          <w:b/>
          <w:bCs/>
          <w:color w:val="auto"/>
          <w:spacing w:val="-5"/>
          <w:sz w:val="24"/>
          <w:szCs w:val="24"/>
          <w:highlight w:val="none"/>
        </w:rPr>
        <w:t>（一）委托人违约责任</w:t>
      </w:r>
    </w:p>
    <w:p w14:paraId="4977C29C">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委托人未按本合同约定向代理人提供为保证招标工作顺利完成</w:t>
      </w:r>
      <w:r>
        <w:rPr>
          <w:rFonts w:ascii="宋体" w:hAnsi="宋体" w:eastAsia="宋体" w:cs="宋体"/>
          <w:color w:val="auto"/>
          <w:spacing w:val="-1"/>
          <w:sz w:val="24"/>
          <w:szCs w:val="24"/>
          <w:highlight w:val="none"/>
        </w:rPr>
        <w:t>的条件，致使招标工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作无法进行，承担</w:t>
      </w:r>
      <w:r>
        <w:rPr>
          <w:rFonts w:ascii="宋体" w:hAnsi="宋体" w:eastAsia="宋体" w:cs="宋体"/>
          <w:color w:val="auto"/>
          <w:spacing w:val="1"/>
          <w:sz w:val="24"/>
          <w:szCs w:val="24"/>
          <w:highlight w:val="none"/>
          <w:u w:val="single" w:color="auto"/>
        </w:rPr>
        <w:t>开标时间顺延的责任。</w:t>
      </w:r>
    </w:p>
    <w:p w14:paraId="0EC3A52B">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outlineLvl w:val="1"/>
        <w:rPr>
          <w:rFonts w:ascii="宋体" w:hAnsi="宋体" w:eastAsia="宋体" w:cs="宋体"/>
          <w:b/>
          <w:bCs/>
          <w:color w:val="auto"/>
          <w:spacing w:val="-5"/>
          <w:sz w:val="24"/>
          <w:szCs w:val="24"/>
          <w:highlight w:val="none"/>
        </w:rPr>
      </w:pPr>
      <w:r>
        <w:rPr>
          <w:rFonts w:ascii="宋体" w:hAnsi="宋体" w:eastAsia="宋体" w:cs="宋体"/>
          <w:b/>
          <w:bCs/>
          <w:color w:val="auto"/>
          <w:spacing w:val="-5"/>
          <w:sz w:val="24"/>
          <w:szCs w:val="24"/>
          <w:highlight w:val="none"/>
        </w:rPr>
        <w:t>（二）代理人违约责任</w:t>
      </w:r>
    </w:p>
    <w:p w14:paraId="757978E9">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1.代理人未按本合同专用条款的约定，向委托人提供为完成招标工作的服务，除应</w:t>
      </w:r>
      <w:r>
        <w:rPr>
          <w:rFonts w:ascii="宋体" w:hAnsi="宋体" w:eastAsia="宋体" w:cs="宋体"/>
          <w:color w:val="auto"/>
          <w:spacing w:val="8"/>
          <w:sz w:val="24"/>
          <w:szCs w:val="24"/>
          <w:highlight w:val="none"/>
        </w:rPr>
        <w:t xml:space="preserve"> </w:t>
      </w:r>
      <w:r>
        <w:rPr>
          <w:rFonts w:ascii="宋体" w:hAnsi="宋体" w:eastAsia="宋体" w:cs="宋体"/>
          <w:color w:val="auto"/>
          <w:spacing w:val="-3"/>
          <w:sz w:val="24"/>
          <w:szCs w:val="24"/>
          <w:highlight w:val="none"/>
        </w:rPr>
        <w:t>承担逾期违约责任外，代理人应赔偿委托人因此遭受的损失；</w:t>
      </w:r>
    </w:p>
    <w:p w14:paraId="5C297974">
      <w:pPr>
        <w:keepNext w:val="0"/>
        <w:keepLines w:val="0"/>
        <w:pageBreakBefore w:val="0"/>
        <w:widowControl w:val="0"/>
        <w:kinsoku/>
        <w:wordWrap/>
        <w:overflowPunct/>
        <w:topLinePunct w:val="0"/>
        <w:autoSpaceDE/>
        <w:autoSpaceDN/>
        <w:bidi w:val="0"/>
        <w:adjustRightInd w:val="0"/>
        <w:snapToGrid w:val="0"/>
        <w:spacing w:line="360" w:lineRule="auto"/>
        <w:ind w:right="0" w:firstLine="460" w:firstLineChars="200"/>
        <w:textAlignment w:val="auto"/>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2.代理人未按本合同的约定，接受了与本合同工程建设项目有关的投标咨询业务的，</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rPr>
        <w:t>委托人有权解除合同，代理人应向委托人支付本合同委托报酬总额的30</w:t>
      </w:r>
      <w:r>
        <w:rPr>
          <w:rFonts w:ascii="宋体" w:hAnsi="宋体" w:eastAsia="宋体" w:cs="宋体"/>
          <w:color w:val="auto"/>
          <w:spacing w:val="-4"/>
          <w:sz w:val="24"/>
          <w:szCs w:val="24"/>
          <w:highlight w:val="none"/>
        </w:rPr>
        <w:t>%作为违约金，且</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赔偿委托人因此遭受的损失；</w:t>
      </w:r>
    </w:p>
    <w:p w14:paraId="72BF9F21">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3.代理人未按本合同的约定，泄露了与本合同工程</w:t>
      </w:r>
      <w:r>
        <w:rPr>
          <w:rFonts w:ascii="宋体" w:hAnsi="宋体" w:eastAsia="宋体" w:cs="宋体"/>
          <w:color w:val="auto"/>
          <w:spacing w:val="-1"/>
          <w:sz w:val="24"/>
          <w:szCs w:val="24"/>
          <w:highlight w:val="none"/>
        </w:rPr>
        <w:t>相关的任何招标资料和情况，委</w:t>
      </w:r>
      <w:r>
        <w:rPr>
          <w:rFonts w:ascii="宋体" w:hAnsi="宋体" w:eastAsia="宋体" w:cs="宋体"/>
          <w:color w:val="auto"/>
          <w:sz w:val="24"/>
          <w:szCs w:val="24"/>
          <w:highlight w:val="none"/>
        </w:rPr>
        <w:t xml:space="preserve"> 托人有权解除合同，代理人应向委托人支付</w:t>
      </w:r>
      <w:r>
        <w:rPr>
          <w:rFonts w:ascii="宋体" w:hAnsi="宋体" w:eastAsia="宋体" w:cs="宋体"/>
          <w:color w:val="auto"/>
          <w:sz w:val="24"/>
          <w:szCs w:val="24"/>
          <w:highlight w:val="none"/>
          <w:u w:val="single" w:color="auto"/>
        </w:rPr>
        <w:t>20</w:t>
      </w:r>
      <w:r>
        <w:rPr>
          <w:rFonts w:ascii="宋体" w:hAnsi="宋体" w:eastAsia="宋体" w:cs="宋体"/>
          <w:color w:val="auto"/>
          <w:spacing w:val="-1"/>
          <w:sz w:val="24"/>
          <w:szCs w:val="24"/>
          <w:highlight w:val="none"/>
          <w:u w:val="single" w:color="auto"/>
        </w:rPr>
        <w:t xml:space="preserve">00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
          <w:sz w:val="24"/>
          <w:szCs w:val="24"/>
          <w:highlight w:val="none"/>
        </w:rPr>
        <w:t>元作为违约金，且应赔偿委托人因此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2AF2033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4.代理人保证享有合法的资质，保证招标代理工作的合法性、</w:t>
      </w:r>
      <w:r>
        <w:rPr>
          <w:rFonts w:ascii="宋体" w:hAnsi="宋体" w:eastAsia="宋体" w:cs="宋体"/>
          <w:color w:val="auto"/>
          <w:spacing w:val="-1"/>
          <w:sz w:val="24"/>
          <w:szCs w:val="24"/>
          <w:highlight w:val="none"/>
        </w:rPr>
        <w:t>公正性。如因此导致</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项目流标、废标的，</w:t>
      </w:r>
      <w:r>
        <w:rPr>
          <w:rFonts w:ascii="宋体" w:hAnsi="宋体" w:eastAsia="宋体" w:cs="宋体"/>
          <w:color w:val="auto"/>
          <w:spacing w:val="-37"/>
          <w:sz w:val="24"/>
          <w:szCs w:val="24"/>
          <w:highlight w:val="none"/>
        </w:rPr>
        <w:t xml:space="preserve"> </w:t>
      </w:r>
      <w:r>
        <w:rPr>
          <w:rFonts w:ascii="宋体" w:hAnsi="宋体" w:eastAsia="宋体" w:cs="宋体"/>
          <w:color w:val="auto"/>
          <w:spacing w:val="-5"/>
          <w:sz w:val="24"/>
          <w:szCs w:val="24"/>
          <w:highlight w:val="none"/>
        </w:rPr>
        <w:t>应向委托人支付相当于合同总价款30%的</w:t>
      </w:r>
      <w:r>
        <w:rPr>
          <w:rFonts w:ascii="宋体" w:hAnsi="宋体" w:eastAsia="宋体" w:cs="宋体"/>
          <w:color w:val="auto"/>
          <w:spacing w:val="-6"/>
          <w:sz w:val="24"/>
          <w:szCs w:val="24"/>
          <w:highlight w:val="none"/>
        </w:rPr>
        <w:t>违约金，且赔偿委托人因此</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遭受的损失。</w:t>
      </w:r>
    </w:p>
    <w:p w14:paraId="6861E6A8">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outlineLvl w:val="1"/>
        <w:rPr>
          <w:rFonts w:ascii="宋体" w:hAnsi="宋体" w:eastAsia="宋体" w:cs="宋体"/>
          <w:b/>
          <w:bCs/>
          <w:color w:val="auto"/>
          <w:spacing w:val="-5"/>
          <w:sz w:val="24"/>
          <w:szCs w:val="24"/>
          <w:highlight w:val="none"/>
        </w:rPr>
      </w:pPr>
      <w:r>
        <w:rPr>
          <w:rFonts w:ascii="宋体" w:hAnsi="宋体" w:eastAsia="宋体" w:cs="宋体"/>
          <w:b/>
          <w:bCs/>
          <w:color w:val="auto"/>
          <w:spacing w:val="-5"/>
          <w:sz w:val="24"/>
          <w:szCs w:val="24"/>
          <w:highlight w:val="none"/>
        </w:rPr>
        <w:t>（三）第三方违约</w:t>
      </w:r>
    </w:p>
    <w:p w14:paraId="54882F74">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Arial"/>
          <w:color w:val="auto"/>
          <w:sz w:val="21"/>
          <w:highlight w:val="none"/>
        </w:rPr>
      </w:pPr>
      <w:r>
        <w:rPr>
          <w:rFonts w:ascii="宋体" w:hAnsi="宋体" w:eastAsia="宋体" w:cs="宋体"/>
          <w:color w:val="auto"/>
          <w:sz w:val="24"/>
          <w:szCs w:val="24"/>
          <w:highlight w:val="none"/>
        </w:rPr>
        <w:t>如果一方的违约被认定为是与第三方共同造成的</w:t>
      </w:r>
      <w:r>
        <w:rPr>
          <w:rFonts w:ascii="宋体" w:hAnsi="宋体" w:eastAsia="宋体" w:cs="宋体"/>
          <w:color w:val="auto"/>
          <w:spacing w:val="-1"/>
          <w:sz w:val="24"/>
          <w:szCs w:val="24"/>
          <w:highlight w:val="none"/>
        </w:rPr>
        <w:t>，则应由合同双方中有违约的一方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先行向另一方承担全部违约责任，再由承担违</w:t>
      </w:r>
      <w:r>
        <w:rPr>
          <w:rFonts w:ascii="宋体" w:hAnsi="宋体" w:eastAsia="宋体" w:cs="宋体"/>
          <w:color w:val="auto"/>
          <w:spacing w:val="-2"/>
          <w:sz w:val="24"/>
          <w:szCs w:val="24"/>
          <w:highlight w:val="none"/>
        </w:rPr>
        <w:t>约责任的一方向第三方追索。</w:t>
      </w:r>
    </w:p>
    <w:p w14:paraId="2C3540D5">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第十一条 索赔</w:t>
      </w:r>
    </w:p>
    <w:p w14:paraId="795E0120">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（一）当事人一方向另一方提出索赔时，要</w:t>
      </w:r>
      <w:r>
        <w:rPr>
          <w:rFonts w:ascii="宋体" w:hAnsi="宋体" w:eastAsia="宋体" w:cs="宋体"/>
          <w:color w:val="auto"/>
          <w:spacing w:val="-1"/>
          <w:sz w:val="24"/>
          <w:szCs w:val="24"/>
          <w:highlight w:val="none"/>
        </w:rPr>
        <w:t>有正当的索赔理由，且有索赔事件发生</w:t>
      </w:r>
      <w:r>
        <w:rPr>
          <w:rFonts w:ascii="宋体" w:hAnsi="宋体" w:eastAsia="宋体" w:cs="宋体"/>
          <w:color w:val="auto"/>
          <w:spacing w:val="-7"/>
          <w:sz w:val="24"/>
          <w:szCs w:val="24"/>
          <w:highlight w:val="none"/>
        </w:rPr>
        <w:t>时的有效证据。</w:t>
      </w:r>
    </w:p>
    <w:p w14:paraId="785A8B0D">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（二）委托人未能按合同约定履行自己的各项义务，或者发生应由委托人承担责任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的其他情况，给代理人造成损失，代理人可按下列程序以书</w:t>
      </w:r>
      <w:r>
        <w:rPr>
          <w:rFonts w:ascii="宋体" w:hAnsi="宋体" w:eastAsia="宋体" w:cs="宋体"/>
          <w:color w:val="auto"/>
          <w:spacing w:val="-3"/>
          <w:sz w:val="24"/>
          <w:szCs w:val="24"/>
          <w:highlight w:val="none"/>
        </w:rPr>
        <w:t>面形式向委托人索赔：</w:t>
      </w:r>
    </w:p>
    <w:p w14:paraId="6194C347">
      <w:pPr>
        <w:keepNext w:val="0"/>
        <w:keepLines w:val="0"/>
        <w:pageBreakBefore w:val="0"/>
        <w:widowControl w:val="0"/>
        <w:kinsoku/>
        <w:wordWrap/>
        <w:overflowPunct/>
        <w:topLinePunct w:val="0"/>
        <w:autoSpaceDE/>
        <w:autoSpaceDN/>
        <w:bidi w:val="0"/>
        <w:adjustRightInd w:val="0"/>
        <w:snapToGrid w:val="0"/>
        <w:spacing w:line="360" w:lineRule="auto"/>
        <w:ind w:right="0" w:firstLine="468" w:firstLineChars="200"/>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1.索赔事件发生后7天内，向委托人发出索赔报告及有关资料；</w:t>
      </w:r>
    </w:p>
    <w:p w14:paraId="559EF182">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2.委托人收到代理人的索赔报告及有关资料后，于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人进一步补充索赔理由和证据；</w:t>
      </w:r>
    </w:p>
    <w:p w14:paraId="6D3AC316">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3.委托人在收到代理人送交的索赔报告和有关资料后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6"/>
          <w:sz w:val="24"/>
          <w:szCs w:val="24"/>
          <w:highlight w:val="none"/>
        </w:rPr>
        <w:t xml:space="preserve"> </w:t>
      </w:r>
      <w:r>
        <w:rPr>
          <w:rFonts w:ascii="宋体" w:hAnsi="宋体" w:eastAsia="宋体" w:cs="宋体"/>
          <w:color w:val="auto"/>
          <w:spacing w:val="-1"/>
          <w:sz w:val="24"/>
          <w:szCs w:val="24"/>
          <w:highlight w:val="none"/>
        </w:rPr>
        <w:t>天内未予答复，或未对代</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理人作进一步要求，视为该项索赔已经认可。</w:t>
      </w:r>
    </w:p>
    <w:p w14:paraId="7ED1C3F8">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（三）代理人未能按合同约定履行自己的各项义务，或者发生应由代理人承担责任</w:t>
      </w:r>
      <w:r>
        <w:rPr>
          <w:rFonts w:ascii="宋体" w:hAnsi="宋体" w:eastAsia="宋体" w:cs="宋体"/>
          <w:color w:val="auto"/>
          <w:spacing w:val="8"/>
          <w:sz w:val="24"/>
          <w:szCs w:val="24"/>
          <w:highlight w:val="none"/>
        </w:rPr>
        <w:t xml:space="preserve"> </w:t>
      </w:r>
      <w:r>
        <w:rPr>
          <w:rFonts w:ascii="宋体" w:hAnsi="宋体" w:eastAsia="宋体" w:cs="宋体"/>
          <w:color w:val="auto"/>
          <w:spacing w:val="-2"/>
          <w:sz w:val="24"/>
          <w:szCs w:val="24"/>
          <w:highlight w:val="none"/>
        </w:rPr>
        <w:t>的其他情况，给委托人造成经济损失，委托人可按下列程序以书面形</w:t>
      </w:r>
      <w:r>
        <w:rPr>
          <w:rFonts w:ascii="宋体" w:hAnsi="宋体" w:eastAsia="宋体" w:cs="宋体"/>
          <w:color w:val="auto"/>
          <w:spacing w:val="-3"/>
          <w:sz w:val="24"/>
          <w:szCs w:val="24"/>
          <w:highlight w:val="none"/>
        </w:rPr>
        <w:t>式向代理人索赔：</w:t>
      </w:r>
    </w:p>
    <w:p w14:paraId="41CAE9E7">
      <w:pPr>
        <w:keepNext w:val="0"/>
        <w:keepLines w:val="0"/>
        <w:pageBreakBefore w:val="0"/>
        <w:widowControl w:val="0"/>
        <w:kinsoku/>
        <w:wordWrap/>
        <w:overflowPunct/>
        <w:topLinePunct w:val="0"/>
        <w:autoSpaceDE/>
        <w:autoSpaceDN/>
        <w:bidi w:val="0"/>
        <w:adjustRightInd w:val="0"/>
        <w:snapToGrid w:val="0"/>
        <w:spacing w:line="360" w:lineRule="auto"/>
        <w:ind w:right="0" w:firstLine="468" w:firstLineChars="200"/>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1.索赔事件发生后7天内，向代理人发出索赔报告及相关资料；</w:t>
      </w:r>
    </w:p>
    <w:p w14:paraId="708F78FB">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Arial"/>
          <w:color w:val="auto"/>
          <w:sz w:val="21"/>
          <w:highlight w:val="none"/>
        </w:rPr>
      </w:pPr>
      <w:r>
        <w:rPr>
          <w:rFonts w:ascii="宋体" w:hAnsi="宋体" w:eastAsia="宋体" w:cs="宋体"/>
          <w:color w:val="auto"/>
          <w:spacing w:val="-1"/>
          <w:sz w:val="24"/>
          <w:szCs w:val="24"/>
          <w:highlight w:val="none"/>
        </w:rPr>
        <w:t>2.代理人收到委托人的索赔报告及有关资料后，于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pacing w:val="-94"/>
          <w:sz w:val="24"/>
          <w:szCs w:val="24"/>
          <w:highlight w:val="none"/>
        </w:rPr>
        <w:t xml:space="preserve"> </w:t>
      </w:r>
      <w:r>
        <w:rPr>
          <w:rFonts w:ascii="宋体" w:hAnsi="宋体" w:eastAsia="宋体" w:cs="宋体"/>
          <w:color w:val="auto"/>
          <w:spacing w:val="-1"/>
          <w:sz w:val="24"/>
          <w:szCs w:val="24"/>
          <w:highlight w:val="none"/>
        </w:rPr>
        <w:t>天内给予答复，或要求代理</w:t>
      </w:r>
      <w:r>
        <w:rPr>
          <w:rFonts w:ascii="宋体" w:hAnsi="宋体" w:eastAsia="宋体" w:cs="宋体"/>
          <w:color w:val="auto"/>
          <w:sz w:val="24"/>
          <w:szCs w:val="24"/>
          <w:highlight w:val="none"/>
        </w:rPr>
        <w:t xml:space="preserve"> 人进一步补充索赔理由和证据；代理人在收到委托人送交的索赔报</w:t>
      </w:r>
      <w:r>
        <w:rPr>
          <w:rFonts w:ascii="宋体" w:hAnsi="宋体" w:eastAsia="宋体" w:cs="宋体"/>
          <w:color w:val="auto"/>
          <w:spacing w:val="-1"/>
          <w:sz w:val="24"/>
          <w:szCs w:val="24"/>
          <w:highlight w:val="none"/>
        </w:rPr>
        <w:t>告和有关资料后</w:t>
      </w:r>
      <w:r>
        <w:rPr>
          <w:rFonts w:ascii="宋体" w:hAnsi="宋体" w:eastAsia="宋体" w:cs="宋体"/>
          <w:color w:val="auto"/>
          <w:spacing w:val="-1"/>
          <w:sz w:val="24"/>
          <w:szCs w:val="24"/>
          <w:highlight w:val="none"/>
          <w:u w:val="single" w:color="auto"/>
        </w:rPr>
        <w:t xml:space="preserve">7   </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日内未予答复，或未对委托人作进一步要求，视为该索赔已经认可。</w:t>
      </w:r>
    </w:p>
    <w:p w14:paraId="1A88E6EA">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第十二条 争议解决</w:t>
      </w:r>
    </w:p>
    <w:p w14:paraId="64BA87E2">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Arial"/>
          <w:color w:val="auto"/>
          <w:sz w:val="21"/>
          <w:highlight w:val="none"/>
        </w:rPr>
      </w:pPr>
      <w:r>
        <w:rPr>
          <w:rFonts w:ascii="宋体" w:hAnsi="宋体" w:eastAsia="宋体" w:cs="宋体"/>
          <w:color w:val="auto"/>
          <w:sz w:val="24"/>
          <w:szCs w:val="24"/>
          <w:highlight w:val="none"/>
        </w:rPr>
        <w:t>委托人和代理人履行合同时发生争议，可以和解或者向有关</w:t>
      </w:r>
      <w:r>
        <w:rPr>
          <w:rFonts w:ascii="宋体" w:hAnsi="宋体" w:eastAsia="宋体" w:cs="宋体"/>
          <w:color w:val="auto"/>
          <w:spacing w:val="-1"/>
          <w:sz w:val="24"/>
          <w:szCs w:val="24"/>
          <w:highlight w:val="none"/>
        </w:rPr>
        <w:t>部门或机构申请调解。</w:t>
      </w:r>
      <w:r>
        <w:rPr>
          <w:rFonts w:ascii="宋体" w:hAnsi="宋体" w:eastAsia="宋体" w:cs="宋体"/>
          <w:color w:val="auto"/>
          <w:sz w:val="24"/>
          <w:szCs w:val="24"/>
          <w:highlight w:val="none"/>
        </w:rPr>
        <w:t xml:space="preserve"> 当事人不愿和解、调解或者和解、调解不成的，任何一方可</w:t>
      </w:r>
      <w:r>
        <w:rPr>
          <w:rFonts w:ascii="宋体" w:hAnsi="宋体" w:eastAsia="宋体" w:cs="宋体"/>
          <w:color w:val="auto"/>
          <w:spacing w:val="-1"/>
          <w:sz w:val="24"/>
          <w:szCs w:val="24"/>
          <w:highlight w:val="none"/>
        </w:rPr>
        <w:t>向委托人所在地的人民法院</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提起诉讼。</w:t>
      </w:r>
    </w:p>
    <w:p w14:paraId="0D528BA8">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第十三条 合同变更、生效与终止</w:t>
      </w:r>
    </w:p>
    <w:p w14:paraId="4BB1B20B">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outlineLvl w:val="1"/>
        <w:rPr>
          <w:rFonts w:ascii="宋体" w:hAnsi="宋体" w:eastAsia="宋体" w:cs="宋体"/>
          <w:b/>
          <w:bCs/>
          <w:color w:val="auto"/>
          <w:spacing w:val="-5"/>
          <w:sz w:val="24"/>
          <w:szCs w:val="24"/>
          <w:highlight w:val="none"/>
        </w:rPr>
      </w:pPr>
      <w:r>
        <w:rPr>
          <w:rFonts w:ascii="宋体" w:hAnsi="宋体" w:eastAsia="宋体" w:cs="宋体"/>
          <w:b/>
          <w:bCs/>
          <w:color w:val="auto"/>
          <w:spacing w:val="-5"/>
          <w:sz w:val="24"/>
          <w:szCs w:val="24"/>
          <w:highlight w:val="none"/>
        </w:rPr>
        <w:t>（一）合同变更或解除</w:t>
      </w:r>
    </w:p>
    <w:p w14:paraId="3EEC0819">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1.本合同签订后，如因法律、行政法规发生变化或由于任何后续新颁布的法律、行</w:t>
      </w:r>
      <w:r>
        <w:rPr>
          <w:rFonts w:ascii="宋体" w:hAnsi="宋体" w:eastAsia="宋体" w:cs="宋体"/>
          <w:color w:val="auto"/>
          <w:spacing w:val="9"/>
          <w:sz w:val="24"/>
          <w:szCs w:val="24"/>
          <w:highlight w:val="none"/>
        </w:rPr>
        <w:t xml:space="preserve"> </w:t>
      </w:r>
      <w:r>
        <w:rPr>
          <w:rFonts w:ascii="宋体" w:hAnsi="宋体" w:eastAsia="宋体" w:cs="宋体"/>
          <w:color w:val="auto"/>
          <w:sz w:val="24"/>
          <w:szCs w:val="24"/>
          <w:highlight w:val="none"/>
        </w:rPr>
        <w:t>政法规导致服务所需的成本或时间发生改变，则本合同约定的服</w:t>
      </w:r>
      <w:r>
        <w:rPr>
          <w:rFonts w:ascii="宋体" w:hAnsi="宋体" w:eastAsia="宋体" w:cs="宋体"/>
          <w:color w:val="auto"/>
          <w:spacing w:val="-1"/>
          <w:sz w:val="24"/>
          <w:szCs w:val="24"/>
          <w:highlight w:val="none"/>
        </w:rPr>
        <w:t>务报酬和服务期限由双</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方签订补充协议进行相应调整。</w:t>
      </w:r>
    </w:p>
    <w:p w14:paraId="3D3AD0E5">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2.本合同当事人一方要求变更或解除合同时，除法</w:t>
      </w:r>
      <w:r>
        <w:rPr>
          <w:rFonts w:ascii="宋体" w:hAnsi="宋体" w:eastAsia="宋体" w:cs="宋体"/>
          <w:color w:val="auto"/>
          <w:spacing w:val="-1"/>
          <w:sz w:val="24"/>
          <w:szCs w:val="24"/>
          <w:highlight w:val="none"/>
        </w:rPr>
        <w:t>律、行政法规另有规定外，应与对方当事人协商一致并达成书面协议。未达成书面协议的</w:t>
      </w:r>
      <w:r>
        <w:rPr>
          <w:rFonts w:ascii="宋体" w:hAnsi="宋体" w:eastAsia="宋体" w:cs="宋体"/>
          <w:color w:val="auto"/>
          <w:spacing w:val="-2"/>
          <w:sz w:val="24"/>
          <w:szCs w:val="24"/>
          <w:highlight w:val="none"/>
        </w:rPr>
        <w:t>，本合同依然有效。</w:t>
      </w:r>
    </w:p>
    <w:p w14:paraId="1A7E74DA">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3.因解除合同使当事人一放遭受损失的，除依</w:t>
      </w:r>
      <w:r>
        <w:rPr>
          <w:rFonts w:ascii="宋体" w:hAnsi="宋体" w:eastAsia="宋体" w:cs="宋体"/>
          <w:color w:val="auto"/>
          <w:spacing w:val="-1"/>
          <w:sz w:val="24"/>
          <w:szCs w:val="24"/>
          <w:highlight w:val="none"/>
        </w:rPr>
        <w:t>法可以免除责任外，应由责任方负责</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赔偿对方的损失，赔偿方法与金额由双方在协议书约定。</w:t>
      </w:r>
    </w:p>
    <w:p w14:paraId="3A9722B3">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outlineLvl w:val="1"/>
        <w:rPr>
          <w:rFonts w:ascii="宋体" w:hAnsi="宋体" w:eastAsia="宋体" w:cs="宋体"/>
          <w:b/>
          <w:bCs/>
          <w:color w:val="auto"/>
          <w:spacing w:val="-5"/>
          <w:sz w:val="24"/>
          <w:szCs w:val="24"/>
          <w:highlight w:val="none"/>
        </w:rPr>
      </w:pPr>
      <w:r>
        <w:rPr>
          <w:rFonts w:ascii="宋体" w:hAnsi="宋体" w:eastAsia="宋体" w:cs="宋体"/>
          <w:b/>
          <w:bCs/>
          <w:color w:val="auto"/>
          <w:spacing w:val="-5"/>
          <w:sz w:val="24"/>
          <w:szCs w:val="24"/>
          <w:highlight w:val="none"/>
        </w:rPr>
        <w:t>（二）合同生效</w:t>
      </w:r>
    </w:p>
    <w:p w14:paraId="7C43A8E7">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本合同自双方法定代表人或其授权代表签章或签</w:t>
      </w:r>
      <w:r>
        <w:rPr>
          <w:rFonts w:ascii="宋体" w:hAnsi="宋体" w:eastAsia="宋体" w:cs="宋体"/>
          <w:color w:val="auto"/>
          <w:spacing w:val="-2"/>
          <w:sz w:val="24"/>
          <w:szCs w:val="24"/>
          <w:highlight w:val="none"/>
        </w:rPr>
        <w:t>字并盖章之日起生效。</w:t>
      </w:r>
    </w:p>
    <w:p w14:paraId="21646BF5">
      <w:pPr>
        <w:keepNext w:val="0"/>
        <w:keepLines w:val="0"/>
        <w:pageBreakBefore w:val="0"/>
        <w:widowControl w:val="0"/>
        <w:kinsoku/>
        <w:wordWrap/>
        <w:overflowPunct/>
        <w:topLinePunct w:val="0"/>
        <w:autoSpaceDE/>
        <w:autoSpaceDN/>
        <w:bidi w:val="0"/>
        <w:adjustRightInd w:val="0"/>
        <w:snapToGrid w:val="0"/>
        <w:spacing w:line="360" w:lineRule="auto"/>
        <w:ind w:firstLine="462" w:firstLineChars="200"/>
        <w:textAlignment w:val="auto"/>
        <w:outlineLvl w:val="1"/>
        <w:rPr>
          <w:rFonts w:ascii="宋体" w:hAnsi="宋体" w:eastAsia="宋体" w:cs="宋体"/>
          <w:b/>
          <w:bCs/>
          <w:color w:val="auto"/>
          <w:spacing w:val="-5"/>
          <w:sz w:val="24"/>
          <w:szCs w:val="24"/>
          <w:highlight w:val="none"/>
        </w:rPr>
      </w:pPr>
      <w:r>
        <w:rPr>
          <w:rFonts w:ascii="宋体" w:hAnsi="宋体" w:eastAsia="宋体" w:cs="宋体"/>
          <w:b/>
          <w:bCs/>
          <w:color w:val="auto"/>
          <w:spacing w:val="-5"/>
          <w:sz w:val="24"/>
          <w:szCs w:val="24"/>
          <w:highlight w:val="none"/>
        </w:rPr>
        <w:t>（三）合同终止</w:t>
      </w:r>
    </w:p>
    <w:p w14:paraId="571C9FC6">
      <w:pPr>
        <w:keepNext w:val="0"/>
        <w:keepLines w:val="0"/>
        <w:pageBreakBefore w:val="0"/>
        <w:widowControl w:val="0"/>
        <w:kinsoku/>
        <w:wordWrap/>
        <w:overflowPunct/>
        <w:topLinePunct w:val="0"/>
        <w:autoSpaceDE/>
        <w:autoSpaceDN/>
        <w:bidi w:val="0"/>
        <w:adjustRightInd w:val="0"/>
        <w:snapToGrid w:val="0"/>
        <w:spacing w:line="360" w:lineRule="auto"/>
        <w:ind w:right="0" w:firstLine="476" w:firstLineChars="200"/>
        <w:textAlignment w:val="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1.代理人完成委托人全部委托招标代理业务，且委托人或中标人支付了全部代理服</w:t>
      </w:r>
      <w:r>
        <w:rPr>
          <w:rFonts w:ascii="宋体" w:hAnsi="宋体" w:eastAsia="宋体" w:cs="宋体"/>
          <w:color w:val="auto"/>
          <w:spacing w:val="10"/>
          <w:sz w:val="24"/>
          <w:szCs w:val="24"/>
          <w:highlight w:val="none"/>
        </w:rPr>
        <w:t xml:space="preserve"> </w:t>
      </w:r>
      <w:r>
        <w:rPr>
          <w:rFonts w:ascii="宋体" w:hAnsi="宋体" w:eastAsia="宋体" w:cs="宋体"/>
          <w:color w:val="auto"/>
          <w:spacing w:val="-3"/>
          <w:sz w:val="24"/>
          <w:szCs w:val="24"/>
          <w:highlight w:val="none"/>
        </w:rPr>
        <w:t>务报酬（含附加服务的报酬）后本合同终止。</w:t>
      </w:r>
    </w:p>
    <w:p w14:paraId="21AA70C8">
      <w:pPr>
        <w:keepNext w:val="0"/>
        <w:keepLines w:val="0"/>
        <w:pageBreakBefore w:val="0"/>
        <w:widowControl w:val="0"/>
        <w:kinsoku/>
        <w:wordWrap/>
        <w:overflowPunct/>
        <w:topLinePunct w:val="0"/>
        <w:autoSpaceDE/>
        <w:autoSpaceDN/>
        <w:bidi w:val="0"/>
        <w:adjustRightInd w:val="0"/>
        <w:snapToGrid w:val="0"/>
        <w:spacing w:line="360" w:lineRule="auto"/>
        <w:ind w:right="0" w:firstLine="472" w:firstLineChars="200"/>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2.本合同终止并不影响各方应有的权利和应承担的义务。</w:t>
      </w:r>
    </w:p>
    <w:p w14:paraId="2B1A8ED3">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3.因不可抗力，致使当事人一方或双方不能履</w:t>
      </w:r>
      <w:r>
        <w:rPr>
          <w:rFonts w:ascii="宋体" w:hAnsi="宋体" w:eastAsia="宋体" w:cs="宋体"/>
          <w:color w:val="auto"/>
          <w:spacing w:val="-1"/>
          <w:sz w:val="24"/>
          <w:szCs w:val="24"/>
          <w:highlight w:val="none"/>
        </w:rPr>
        <w:t>行本合同时，双方应协商确定本合同</w:t>
      </w:r>
      <w:r>
        <w:rPr>
          <w:rFonts w:ascii="宋体" w:hAnsi="宋体" w:eastAsia="宋体" w:cs="宋体"/>
          <w:color w:val="auto"/>
          <w:sz w:val="24"/>
          <w:szCs w:val="24"/>
          <w:highlight w:val="none"/>
        </w:rPr>
        <w:t xml:space="preserve"> 继续履行的条件或终止本合同。如果双方不能就本合同继续履</w:t>
      </w:r>
      <w:r>
        <w:rPr>
          <w:rFonts w:ascii="宋体" w:hAnsi="宋体" w:eastAsia="宋体" w:cs="宋体"/>
          <w:color w:val="auto"/>
          <w:spacing w:val="-1"/>
          <w:sz w:val="24"/>
          <w:szCs w:val="24"/>
          <w:highlight w:val="none"/>
        </w:rPr>
        <w:t>行的条件或终止本合同达</w:t>
      </w:r>
      <w:r>
        <w:rPr>
          <w:rFonts w:ascii="宋体" w:hAnsi="宋体" w:eastAsia="宋体" w:cs="宋体"/>
          <w:color w:val="auto"/>
          <w:sz w:val="24"/>
          <w:szCs w:val="24"/>
          <w:highlight w:val="none"/>
        </w:rPr>
        <w:t xml:space="preserve"> 成一致意见，本合同自行终止。除委托人应付给代理人已完成</w:t>
      </w:r>
      <w:r>
        <w:rPr>
          <w:rFonts w:ascii="宋体" w:hAnsi="宋体" w:eastAsia="宋体" w:cs="宋体"/>
          <w:color w:val="auto"/>
          <w:spacing w:val="-1"/>
          <w:sz w:val="24"/>
          <w:szCs w:val="24"/>
          <w:highlight w:val="none"/>
        </w:rPr>
        <w:t>工作的报酬外，各自承担</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相应的损失。</w:t>
      </w:r>
    </w:p>
    <w:p w14:paraId="653D0695">
      <w:pPr>
        <w:keepNext w:val="0"/>
        <w:keepLines w:val="0"/>
        <w:pageBreakBefore w:val="0"/>
        <w:widowControl w:val="0"/>
        <w:kinsoku/>
        <w:wordWrap/>
        <w:overflowPunct/>
        <w:topLinePunct w:val="0"/>
        <w:autoSpaceDE/>
        <w:autoSpaceDN/>
        <w:bidi w:val="0"/>
        <w:adjustRightInd w:val="0"/>
        <w:snapToGrid w:val="0"/>
        <w:spacing w:line="360" w:lineRule="auto"/>
        <w:ind w:right="0" w:firstLine="464" w:firstLineChars="200"/>
        <w:textAlignment w:val="auto"/>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4.本合同的权利和义务终止后，委托人和代理人应当遵</w:t>
      </w:r>
      <w:r>
        <w:rPr>
          <w:rFonts w:ascii="宋体" w:hAnsi="宋体" w:eastAsia="宋体" w:cs="宋体"/>
          <w:color w:val="auto"/>
          <w:spacing w:val="-5"/>
          <w:sz w:val="24"/>
          <w:szCs w:val="24"/>
          <w:highlight w:val="none"/>
        </w:rPr>
        <w:t>循诚实信用原则，履行通知、</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协助、保密等义务。</w:t>
      </w:r>
    </w:p>
    <w:p w14:paraId="6EDB560D">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第十四条 关于送达</w:t>
      </w:r>
    </w:p>
    <w:p w14:paraId="09D05916">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双方一致同意将本合同首部列明的地址及其他联系方式作</w:t>
      </w:r>
      <w:r>
        <w:rPr>
          <w:rFonts w:ascii="宋体" w:hAnsi="宋体" w:eastAsia="宋体" w:cs="宋体"/>
          <w:color w:val="auto"/>
          <w:spacing w:val="-1"/>
          <w:sz w:val="24"/>
          <w:szCs w:val="24"/>
          <w:highlight w:val="none"/>
        </w:rPr>
        <w:t>为各自的指定送达地址和</w:t>
      </w:r>
      <w:r>
        <w:rPr>
          <w:rFonts w:ascii="宋体" w:hAnsi="宋体" w:eastAsia="宋体" w:cs="宋体"/>
          <w:color w:val="auto"/>
          <w:sz w:val="24"/>
          <w:szCs w:val="24"/>
          <w:highlight w:val="none"/>
        </w:rPr>
        <w:t xml:space="preserve"> 联系方式，寄送方按上述地址和联系方式寄出后七日内，接</w:t>
      </w:r>
      <w:r>
        <w:rPr>
          <w:rFonts w:ascii="宋体" w:hAnsi="宋体" w:eastAsia="宋体" w:cs="宋体"/>
          <w:color w:val="auto"/>
          <w:spacing w:val="-1"/>
          <w:sz w:val="24"/>
          <w:szCs w:val="24"/>
          <w:highlight w:val="none"/>
        </w:rPr>
        <w:t>收方仍未签收的则视为寄送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方已有效送达，接收方自行承担由此产生的法律后果。</w:t>
      </w:r>
    </w:p>
    <w:p w14:paraId="44CFF85F">
      <w:pPr>
        <w:keepNext w:val="0"/>
        <w:keepLines w:val="0"/>
        <w:pageBreakBefore w:val="0"/>
        <w:widowControl w:val="0"/>
        <w:kinsoku/>
        <w:wordWrap/>
        <w:overflowPunct/>
        <w:topLinePunct w:val="0"/>
        <w:autoSpaceDE/>
        <w:autoSpaceDN/>
        <w:bidi w:val="0"/>
        <w:adjustRightInd w:val="0"/>
        <w:snapToGrid w:val="0"/>
        <w:spacing w:line="360" w:lineRule="auto"/>
        <w:ind w:right="0" w:firstLine="468" w:firstLineChars="200"/>
        <w:textAlignment w:val="auto"/>
        <w:rPr>
          <w:rFonts w:ascii="Arial"/>
          <w:color w:val="auto"/>
          <w:sz w:val="21"/>
          <w:highlight w:val="none"/>
        </w:rPr>
      </w:pPr>
      <w:r>
        <w:rPr>
          <w:rFonts w:ascii="宋体" w:hAnsi="宋体" w:eastAsia="宋体" w:cs="宋体"/>
          <w:color w:val="auto"/>
          <w:spacing w:val="-3"/>
          <w:sz w:val="24"/>
          <w:szCs w:val="24"/>
          <w:highlight w:val="none"/>
        </w:rPr>
        <w:t>以上送达约定同样适用于律师函、诉讼文书、仲裁文书等的送达。</w:t>
      </w:r>
    </w:p>
    <w:p w14:paraId="2DA1B19B">
      <w:pPr>
        <w:pStyle w:val="11"/>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466" w:firstLineChars="200"/>
        <w:textAlignment w:val="auto"/>
        <w:outlineLvl w:val="0"/>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第十五条 其他</w:t>
      </w:r>
    </w:p>
    <w:p w14:paraId="2232BEAB">
      <w:pPr>
        <w:keepNext w:val="0"/>
        <w:keepLines w:val="0"/>
        <w:pageBreakBefore w:val="0"/>
        <w:widowControl w:val="0"/>
        <w:kinsoku/>
        <w:wordWrap/>
        <w:overflowPunct/>
        <w:topLinePunct w:val="0"/>
        <w:autoSpaceDE/>
        <w:autoSpaceDN/>
        <w:bidi w:val="0"/>
        <w:adjustRightInd w:val="0"/>
        <w:snapToGrid w:val="0"/>
        <w:spacing w:line="360" w:lineRule="auto"/>
        <w:ind w:right="0" w:firstLine="468" w:firstLineChars="200"/>
        <w:textAlignment w:val="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双方约定本合同一式</w:t>
      </w:r>
      <w:r>
        <w:rPr>
          <w:rFonts w:ascii="宋体" w:hAnsi="宋体" w:eastAsia="宋体" w:cs="宋体"/>
          <w:color w:val="auto"/>
          <w:spacing w:val="-3"/>
          <w:sz w:val="24"/>
          <w:szCs w:val="24"/>
          <w:highlight w:val="none"/>
          <w:u w:val="single" w:color="auto"/>
        </w:rPr>
        <w:t xml:space="preserve">伍 </w:t>
      </w:r>
      <w:r>
        <w:rPr>
          <w:rFonts w:ascii="宋体" w:hAnsi="宋体" w:eastAsia="宋体" w:cs="宋体"/>
          <w:color w:val="auto"/>
          <w:spacing w:val="-3"/>
          <w:sz w:val="24"/>
          <w:szCs w:val="24"/>
          <w:highlight w:val="none"/>
        </w:rPr>
        <w:t>份，其中，委托人执</w:t>
      </w:r>
      <w:r>
        <w:rPr>
          <w:rFonts w:ascii="宋体" w:hAnsi="宋体" w:eastAsia="宋体" w:cs="宋体"/>
          <w:color w:val="auto"/>
          <w:spacing w:val="-3"/>
          <w:sz w:val="24"/>
          <w:szCs w:val="24"/>
          <w:highlight w:val="none"/>
          <w:u w:val="single" w:color="auto"/>
        </w:rPr>
        <w:t xml:space="preserve">贰 </w:t>
      </w:r>
      <w:r>
        <w:rPr>
          <w:rFonts w:ascii="宋体" w:hAnsi="宋体" w:eastAsia="宋体" w:cs="宋体"/>
          <w:color w:val="auto"/>
          <w:spacing w:val="-4"/>
          <w:sz w:val="24"/>
          <w:szCs w:val="24"/>
          <w:highlight w:val="none"/>
        </w:rPr>
        <w:t>份，代理人执</w:t>
      </w:r>
      <w:r>
        <w:rPr>
          <w:rFonts w:ascii="宋体" w:hAnsi="宋体" w:eastAsia="宋体" w:cs="宋体"/>
          <w:color w:val="auto"/>
          <w:spacing w:val="-4"/>
          <w:sz w:val="24"/>
          <w:szCs w:val="24"/>
          <w:highlight w:val="none"/>
          <w:u w:val="single" w:color="auto"/>
        </w:rPr>
        <w:t xml:space="preserve">贰 </w:t>
      </w:r>
      <w:r>
        <w:rPr>
          <w:rFonts w:ascii="宋体" w:hAnsi="宋体" w:eastAsia="宋体" w:cs="宋体"/>
          <w:color w:val="auto"/>
          <w:spacing w:val="-4"/>
          <w:sz w:val="24"/>
          <w:szCs w:val="24"/>
          <w:highlight w:val="none"/>
        </w:rPr>
        <w:t>份，报招投标管理</w:t>
      </w:r>
      <w:r>
        <w:rPr>
          <w:rFonts w:ascii="宋体" w:hAnsi="宋体" w:eastAsia="宋体" w:cs="宋体"/>
          <w:color w:val="auto"/>
          <w:sz w:val="24"/>
          <w:szCs w:val="24"/>
          <w:highlight w:val="none"/>
        </w:rPr>
        <w:t xml:space="preserve"> 机构</w:t>
      </w:r>
      <w:r>
        <w:rPr>
          <w:rFonts w:ascii="宋体" w:hAnsi="宋体" w:eastAsia="宋体" w:cs="宋体"/>
          <w:color w:val="auto"/>
          <w:spacing w:val="-1"/>
          <w:sz w:val="24"/>
          <w:szCs w:val="24"/>
          <w:highlight w:val="none"/>
        </w:rPr>
        <w:t>壹份，具有同等法律效力。</w:t>
      </w:r>
    </w:p>
    <w:p w14:paraId="06A621F5">
      <w:pPr>
        <w:keepNext w:val="0"/>
        <w:keepLines w:val="0"/>
        <w:pageBreakBefore w:val="0"/>
        <w:widowControl w:val="0"/>
        <w:kinsoku/>
        <w:wordWrap/>
        <w:overflowPunct/>
        <w:topLinePunct w:val="0"/>
        <w:autoSpaceDE/>
        <w:autoSpaceDN/>
        <w:bidi w:val="0"/>
        <w:adjustRightInd w:val="0"/>
        <w:snapToGrid w:val="0"/>
        <w:spacing w:line="360" w:lineRule="auto"/>
        <w:ind w:right="0" w:firstLine="464" w:firstLineChars="200"/>
        <w:textAlignment w:val="auto"/>
        <w:rPr>
          <w:rFonts w:ascii="Arial"/>
          <w:color w:val="auto"/>
          <w:sz w:val="21"/>
          <w:highlight w:val="none"/>
        </w:rPr>
      </w:pPr>
      <w:r>
        <w:rPr>
          <w:rFonts w:ascii="宋体" w:hAnsi="宋体" w:eastAsia="宋体" w:cs="宋体"/>
          <w:color w:val="auto"/>
          <w:spacing w:val="-4"/>
          <w:sz w:val="24"/>
          <w:szCs w:val="24"/>
          <w:highlight w:val="none"/>
        </w:rPr>
        <w:t>（以下无正文）</w:t>
      </w:r>
    </w:p>
    <w:p w14:paraId="19487D29">
      <w:pPr>
        <w:spacing w:line="277" w:lineRule="auto"/>
        <w:rPr>
          <w:rFonts w:ascii="Arial"/>
          <w:color w:val="auto"/>
          <w:sz w:val="21"/>
          <w:highlight w:val="none"/>
        </w:rPr>
      </w:pPr>
    </w:p>
    <w:p w14:paraId="0EBA9A72">
      <w:pPr>
        <w:spacing w:before="78" w:line="221"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（此页为签署页）</w:t>
      </w:r>
    </w:p>
    <w:p w14:paraId="3A5C4E46">
      <w:pPr>
        <w:spacing w:before="8"/>
        <w:rPr>
          <w:rFonts w:hint="eastAsia" w:ascii="宋体" w:hAnsi="宋体" w:eastAsia="宋体" w:cs="宋体"/>
          <w:color w:val="auto"/>
          <w:highlight w:val="none"/>
        </w:rPr>
      </w:pPr>
    </w:p>
    <w:p w14:paraId="6E8C37F3">
      <w:pPr>
        <w:spacing w:before="8"/>
        <w:rPr>
          <w:rFonts w:hint="eastAsia" w:ascii="宋体" w:hAnsi="宋体" w:eastAsia="宋体" w:cs="宋体"/>
          <w:color w:val="auto"/>
          <w:highlight w:val="none"/>
        </w:rPr>
      </w:pPr>
    </w:p>
    <w:p w14:paraId="6E51AF04">
      <w:pPr>
        <w:spacing w:before="8"/>
        <w:rPr>
          <w:rFonts w:hint="eastAsia" w:ascii="宋体" w:hAnsi="宋体" w:eastAsia="宋体" w:cs="宋体"/>
          <w:color w:val="auto"/>
          <w:highlight w:val="none"/>
        </w:rPr>
      </w:pPr>
    </w:p>
    <w:p w14:paraId="4D45607B">
      <w:pPr>
        <w:spacing w:before="8"/>
        <w:rPr>
          <w:rFonts w:hint="eastAsia" w:ascii="宋体" w:hAnsi="宋体" w:eastAsia="宋体" w:cs="宋体"/>
          <w:color w:val="auto"/>
          <w:highlight w:val="none"/>
        </w:rPr>
      </w:pPr>
    </w:p>
    <w:p w14:paraId="5A662E5E">
      <w:pPr>
        <w:rPr>
          <w:rFonts w:hint="eastAsia" w:ascii="宋体" w:hAnsi="宋体" w:eastAsia="宋体" w:cs="宋体"/>
          <w:color w:val="auto"/>
          <w:highlight w:val="none"/>
        </w:rPr>
        <w:sectPr>
          <w:headerReference r:id="rId8" w:type="default"/>
          <w:footerReference r:id="rId9" w:type="default"/>
          <w:pgSz w:w="11907" w:h="16839"/>
          <w:pgMar w:top="934" w:right="1410" w:bottom="884" w:left="1389" w:header="738" w:footer="648" w:gutter="0"/>
          <w:cols w:equalWidth="0" w:num="1">
            <w:col w:w="9107"/>
          </w:cols>
        </w:sectPr>
      </w:pPr>
    </w:p>
    <w:p w14:paraId="7B9DD9E3">
      <w:pPr>
        <w:pStyle w:val="11"/>
        <w:spacing w:before="53" w:line="242" w:lineRule="auto"/>
        <w:ind w:left="15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委托人（盖章</w:t>
      </w:r>
      <w:r>
        <w:rPr>
          <w:rFonts w:hint="eastAsia" w:ascii="宋体" w:hAnsi="宋体" w:eastAsia="宋体" w:cs="宋体"/>
          <w:color w:val="auto"/>
          <w:spacing w:val="-3"/>
          <w:sz w:val="24"/>
          <w:szCs w:val="24"/>
          <w:highlight w:val="none"/>
        </w:rPr>
        <w:t>）：</w:t>
      </w:r>
    </w:p>
    <w:p w14:paraId="7D71D26E">
      <w:pPr>
        <w:spacing w:line="241" w:lineRule="auto"/>
        <w:rPr>
          <w:rFonts w:hint="eastAsia" w:ascii="宋体" w:hAnsi="宋体" w:eastAsia="宋体" w:cs="宋体"/>
          <w:color w:val="auto"/>
          <w:sz w:val="24"/>
          <w:szCs w:val="24"/>
          <w:highlight w:val="none"/>
        </w:rPr>
      </w:pPr>
    </w:p>
    <w:p w14:paraId="5596D79D">
      <w:pPr>
        <w:spacing w:line="241" w:lineRule="auto"/>
        <w:rPr>
          <w:rFonts w:hint="eastAsia" w:ascii="宋体" w:hAnsi="宋体" w:eastAsia="宋体" w:cs="宋体"/>
          <w:color w:val="auto"/>
          <w:sz w:val="24"/>
          <w:szCs w:val="24"/>
          <w:highlight w:val="none"/>
        </w:rPr>
      </w:pPr>
    </w:p>
    <w:p w14:paraId="5620A64D">
      <w:pPr>
        <w:spacing w:line="242" w:lineRule="auto"/>
        <w:rPr>
          <w:rFonts w:hint="eastAsia" w:ascii="宋体" w:hAnsi="宋体" w:eastAsia="宋体" w:cs="宋体"/>
          <w:color w:val="auto"/>
          <w:sz w:val="24"/>
          <w:szCs w:val="24"/>
          <w:highlight w:val="none"/>
        </w:rPr>
      </w:pPr>
    </w:p>
    <w:p w14:paraId="7245B482">
      <w:pPr>
        <w:pStyle w:val="11"/>
        <w:spacing w:before="79" w:line="315" w:lineRule="exact"/>
        <w:ind w:left="155"/>
        <w:rPr>
          <w:rFonts w:hint="eastAsia" w:ascii="宋体" w:hAnsi="宋体" w:eastAsia="宋体" w:cs="宋体"/>
          <w:color w:val="auto"/>
          <w:sz w:val="24"/>
          <w:szCs w:val="24"/>
          <w:highlight w:val="none"/>
        </w:rPr>
      </w:pPr>
      <w:r>
        <w:rPr>
          <w:rFonts w:hint="eastAsia" w:ascii="宋体" w:hAnsi="宋体" w:eastAsia="宋体" w:cs="宋体"/>
          <w:color w:val="auto"/>
          <w:spacing w:val="-3"/>
          <w:position w:val="1"/>
          <w:sz w:val="24"/>
          <w:szCs w:val="24"/>
          <w:highlight w:val="none"/>
        </w:rPr>
        <w:t>法定代表人</w:t>
      </w:r>
    </w:p>
    <w:p w14:paraId="308AEC9E">
      <w:pPr>
        <w:pStyle w:val="11"/>
        <w:spacing w:before="244" w:line="242" w:lineRule="auto"/>
        <w:ind w:left="15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或授权代表（签字</w:t>
      </w:r>
      <w:r>
        <w:rPr>
          <w:rFonts w:hint="eastAsia" w:ascii="宋体" w:hAnsi="宋体" w:eastAsia="宋体" w:cs="宋体"/>
          <w:color w:val="auto"/>
          <w:spacing w:val="-2"/>
          <w:sz w:val="24"/>
          <w:szCs w:val="24"/>
          <w:highlight w:val="none"/>
        </w:rPr>
        <w:t>）：</w:t>
      </w:r>
    </w:p>
    <w:p w14:paraId="49608077">
      <w:pPr>
        <w:spacing w:line="244" w:lineRule="auto"/>
        <w:rPr>
          <w:rFonts w:hint="eastAsia" w:ascii="宋体" w:hAnsi="宋体" w:eastAsia="宋体" w:cs="宋体"/>
          <w:color w:val="auto"/>
          <w:sz w:val="24"/>
          <w:szCs w:val="24"/>
          <w:highlight w:val="none"/>
        </w:rPr>
      </w:pPr>
    </w:p>
    <w:p w14:paraId="3B8BDFE6">
      <w:pPr>
        <w:spacing w:line="244" w:lineRule="auto"/>
        <w:rPr>
          <w:rFonts w:hint="eastAsia" w:ascii="宋体" w:hAnsi="宋体" w:eastAsia="宋体" w:cs="宋体"/>
          <w:color w:val="auto"/>
          <w:sz w:val="24"/>
          <w:szCs w:val="24"/>
          <w:highlight w:val="none"/>
        </w:rPr>
      </w:pPr>
    </w:p>
    <w:p w14:paraId="581003C9">
      <w:pPr>
        <w:spacing w:line="244" w:lineRule="auto"/>
        <w:rPr>
          <w:rFonts w:hint="eastAsia" w:ascii="宋体" w:hAnsi="宋体" w:eastAsia="宋体" w:cs="宋体"/>
          <w:color w:val="auto"/>
          <w:sz w:val="24"/>
          <w:szCs w:val="24"/>
          <w:highlight w:val="none"/>
        </w:rPr>
      </w:pPr>
    </w:p>
    <w:p w14:paraId="3B4A8B9B">
      <w:pPr>
        <w:spacing w:line="244" w:lineRule="auto"/>
        <w:rPr>
          <w:rFonts w:hint="eastAsia" w:ascii="宋体" w:hAnsi="宋体" w:eastAsia="宋体" w:cs="宋体"/>
          <w:color w:val="auto"/>
          <w:sz w:val="24"/>
          <w:szCs w:val="24"/>
          <w:highlight w:val="none"/>
        </w:rPr>
      </w:pPr>
    </w:p>
    <w:p w14:paraId="59AD282F">
      <w:pPr>
        <w:pStyle w:val="11"/>
        <w:spacing w:before="78" w:line="317" w:lineRule="exact"/>
        <w:ind w:right="42" w:firstLine="236"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pacing w:val="-2"/>
          <w:position w:val="1"/>
          <w:sz w:val="24"/>
          <w:szCs w:val="24"/>
          <w:highlight w:val="none"/>
        </w:rPr>
        <w:t>签订时间：</w:t>
      </w:r>
      <w:r>
        <w:rPr>
          <w:rFonts w:hint="eastAsia" w:ascii="宋体" w:hAnsi="宋体" w:eastAsia="宋体" w:cs="宋体"/>
          <w:color w:val="auto"/>
          <w:spacing w:val="13"/>
          <w:position w:val="1"/>
          <w:sz w:val="24"/>
          <w:szCs w:val="24"/>
          <w:highlight w:val="none"/>
        </w:rPr>
        <w:t xml:space="preserve">   </w:t>
      </w:r>
      <w:r>
        <w:rPr>
          <w:rFonts w:hint="eastAsia" w:ascii="宋体" w:hAnsi="宋体" w:eastAsia="宋体" w:cs="宋体"/>
          <w:color w:val="auto"/>
          <w:spacing w:val="-2"/>
          <w:position w:val="1"/>
          <w:sz w:val="24"/>
          <w:szCs w:val="24"/>
          <w:highlight w:val="none"/>
        </w:rPr>
        <w:t>年</w:t>
      </w:r>
    </w:p>
    <w:p w14:paraId="1C6443EC">
      <w:pPr>
        <w:spacing w:line="366" w:lineRule="auto"/>
        <w:rPr>
          <w:rFonts w:hint="eastAsia" w:ascii="宋体" w:hAnsi="宋体" w:eastAsia="宋体" w:cs="宋体"/>
          <w:color w:val="auto"/>
          <w:sz w:val="24"/>
          <w:szCs w:val="24"/>
          <w:highlight w:val="none"/>
        </w:rPr>
      </w:pPr>
    </w:p>
    <w:p w14:paraId="2B2737D5">
      <w:pPr>
        <w:spacing w:before="69" w:line="26" w:lineRule="exact"/>
        <w:ind w:left="22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7F9BEF0">
      <w:pPr>
        <w:spacing w:line="1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p>
    <w:p w14:paraId="4E78945D">
      <w:pPr>
        <w:pStyle w:val="11"/>
        <w:spacing w:before="52" w:line="242" w:lineRule="auto"/>
        <w:ind w:left="190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代理人（盖章</w:t>
      </w:r>
      <w:r>
        <w:rPr>
          <w:rFonts w:hint="eastAsia" w:ascii="宋体" w:hAnsi="宋体" w:eastAsia="宋体" w:cs="宋体"/>
          <w:color w:val="auto"/>
          <w:spacing w:val="-3"/>
          <w:sz w:val="24"/>
          <w:szCs w:val="24"/>
          <w:highlight w:val="none"/>
        </w:rPr>
        <w:t>）：</w:t>
      </w:r>
    </w:p>
    <w:p w14:paraId="01693FC9">
      <w:pPr>
        <w:spacing w:line="241" w:lineRule="auto"/>
        <w:rPr>
          <w:rFonts w:hint="eastAsia" w:ascii="宋体" w:hAnsi="宋体" w:eastAsia="宋体" w:cs="宋体"/>
          <w:color w:val="auto"/>
          <w:sz w:val="24"/>
          <w:szCs w:val="24"/>
          <w:highlight w:val="none"/>
        </w:rPr>
      </w:pPr>
    </w:p>
    <w:p w14:paraId="07D484AC">
      <w:pPr>
        <w:spacing w:line="241" w:lineRule="auto"/>
        <w:rPr>
          <w:rFonts w:hint="eastAsia" w:ascii="宋体" w:hAnsi="宋体" w:eastAsia="宋体" w:cs="宋体"/>
          <w:color w:val="auto"/>
          <w:sz w:val="24"/>
          <w:szCs w:val="24"/>
          <w:highlight w:val="none"/>
        </w:rPr>
      </w:pPr>
    </w:p>
    <w:p w14:paraId="44136BB4">
      <w:pPr>
        <w:spacing w:line="242" w:lineRule="auto"/>
        <w:rPr>
          <w:rFonts w:hint="eastAsia" w:ascii="宋体" w:hAnsi="宋体" w:eastAsia="宋体" w:cs="宋体"/>
          <w:color w:val="auto"/>
          <w:sz w:val="24"/>
          <w:szCs w:val="24"/>
          <w:highlight w:val="none"/>
        </w:rPr>
      </w:pPr>
    </w:p>
    <w:p w14:paraId="2DCC7BDE">
      <w:pPr>
        <w:pStyle w:val="11"/>
        <w:spacing w:before="78" w:line="316" w:lineRule="exact"/>
        <w:ind w:left="1913"/>
        <w:rPr>
          <w:rFonts w:hint="eastAsia" w:ascii="宋体" w:hAnsi="宋体" w:eastAsia="宋体" w:cs="宋体"/>
          <w:color w:val="auto"/>
          <w:sz w:val="24"/>
          <w:szCs w:val="24"/>
          <w:highlight w:val="none"/>
        </w:rPr>
      </w:pPr>
      <w:r>
        <w:rPr>
          <w:rFonts w:hint="eastAsia" w:ascii="宋体" w:hAnsi="宋体" w:eastAsia="宋体" w:cs="宋体"/>
          <w:color w:val="auto"/>
          <w:spacing w:val="-3"/>
          <w:position w:val="1"/>
          <w:sz w:val="24"/>
          <w:szCs w:val="24"/>
          <w:highlight w:val="none"/>
        </w:rPr>
        <w:t>法定代表人</w:t>
      </w:r>
    </w:p>
    <w:p w14:paraId="2A6FA191">
      <w:pPr>
        <w:pStyle w:val="11"/>
        <w:spacing w:before="243" w:line="242" w:lineRule="auto"/>
        <w:ind w:left="191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或授权代表（签字</w:t>
      </w:r>
      <w:r>
        <w:rPr>
          <w:rFonts w:hint="eastAsia" w:ascii="宋体" w:hAnsi="宋体" w:eastAsia="宋体" w:cs="宋体"/>
          <w:color w:val="auto"/>
          <w:spacing w:val="-2"/>
          <w:sz w:val="24"/>
          <w:szCs w:val="24"/>
          <w:highlight w:val="none"/>
        </w:rPr>
        <w:t>）：</w:t>
      </w:r>
    </w:p>
    <w:p w14:paraId="187E8431">
      <w:pPr>
        <w:spacing w:line="420" w:lineRule="auto"/>
        <w:rPr>
          <w:rFonts w:hint="eastAsia" w:ascii="宋体" w:hAnsi="宋体" w:eastAsia="宋体" w:cs="宋体"/>
          <w:color w:val="auto"/>
          <w:sz w:val="24"/>
          <w:szCs w:val="24"/>
          <w:highlight w:val="none"/>
        </w:rPr>
      </w:pPr>
    </w:p>
    <w:p w14:paraId="41B47F25">
      <w:pPr>
        <w:pStyle w:val="11"/>
        <w:spacing w:before="79" w:line="242"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签订地点：广西自贸区钦州港片区</w:t>
      </w:r>
    </w:p>
    <w:p w14:paraId="4883AE3A">
      <w:pPr>
        <w:pStyle w:val="11"/>
        <w:spacing w:before="245" w:line="316" w:lineRule="exact"/>
        <w:ind w:left="241"/>
        <w:rPr>
          <w:rFonts w:hint="eastAsia" w:ascii="宋体" w:hAnsi="宋体" w:eastAsia="宋体" w:cs="宋体"/>
          <w:color w:val="auto"/>
          <w:sz w:val="24"/>
          <w:szCs w:val="24"/>
          <w:highlight w:val="none"/>
        </w:rPr>
      </w:pPr>
      <w:r>
        <w:rPr>
          <w:rFonts w:hint="eastAsia" w:ascii="宋体" w:hAnsi="宋体" w:eastAsia="宋体" w:cs="宋体"/>
          <w:color w:val="auto"/>
          <w:spacing w:val="-8"/>
          <w:position w:val="1"/>
          <w:sz w:val="24"/>
          <w:szCs w:val="24"/>
          <w:highlight w:val="none"/>
        </w:rPr>
        <w:t>月</w:t>
      </w:r>
      <w:r>
        <w:rPr>
          <w:rFonts w:hint="eastAsia" w:ascii="宋体" w:hAnsi="宋体" w:eastAsia="宋体" w:cs="宋体"/>
          <w:color w:val="auto"/>
          <w:spacing w:val="28"/>
          <w:position w:val="1"/>
          <w:sz w:val="24"/>
          <w:szCs w:val="24"/>
          <w:highlight w:val="none"/>
        </w:rPr>
        <w:t xml:space="preserve">   </w:t>
      </w:r>
      <w:r>
        <w:rPr>
          <w:rFonts w:hint="eastAsia" w:ascii="宋体" w:hAnsi="宋体" w:eastAsia="宋体" w:cs="宋体"/>
          <w:color w:val="auto"/>
          <w:spacing w:val="-8"/>
          <w:position w:val="1"/>
          <w:sz w:val="24"/>
          <w:szCs w:val="24"/>
          <w:highlight w:val="none"/>
        </w:rPr>
        <w:t xml:space="preserve">日      </w:t>
      </w:r>
      <w:r>
        <w:rPr>
          <w:rFonts w:hint="eastAsia" w:ascii="宋体" w:hAnsi="宋体" w:eastAsia="宋体" w:cs="宋体"/>
          <w:color w:val="auto"/>
          <w:spacing w:val="-8"/>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签订时间：</w:t>
      </w:r>
      <w:r>
        <w:rPr>
          <w:rFonts w:hint="eastAsia" w:ascii="宋体" w:hAnsi="宋体" w:eastAsia="宋体" w:cs="宋体"/>
          <w:color w:val="auto"/>
          <w:spacing w:val="13"/>
          <w:position w:val="1"/>
          <w:sz w:val="24"/>
          <w:szCs w:val="24"/>
          <w:highlight w:val="none"/>
        </w:rPr>
        <w:t xml:space="preserve">   </w:t>
      </w:r>
      <w:r>
        <w:rPr>
          <w:rFonts w:hint="eastAsia" w:ascii="宋体" w:hAnsi="宋体" w:eastAsia="宋体" w:cs="宋体"/>
          <w:color w:val="auto"/>
          <w:spacing w:val="-8"/>
          <w:position w:val="1"/>
          <w:sz w:val="24"/>
          <w:szCs w:val="24"/>
          <w:highlight w:val="none"/>
        </w:rPr>
        <w:t>年</w:t>
      </w:r>
      <w:r>
        <w:rPr>
          <w:rFonts w:hint="eastAsia" w:ascii="宋体" w:hAnsi="宋体" w:eastAsia="宋体" w:cs="宋体"/>
          <w:color w:val="auto"/>
          <w:spacing w:val="13"/>
          <w:position w:val="1"/>
          <w:sz w:val="24"/>
          <w:szCs w:val="24"/>
          <w:highlight w:val="none"/>
        </w:rPr>
        <w:t xml:space="preserve">   </w:t>
      </w:r>
      <w:r>
        <w:rPr>
          <w:rFonts w:hint="eastAsia" w:ascii="宋体" w:hAnsi="宋体" w:eastAsia="宋体" w:cs="宋体"/>
          <w:color w:val="auto"/>
          <w:spacing w:val="-8"/>
          <w:position w:val="1"/>
          <w:sz w:val="24"/>
          <w:szCs w:val="24"/>
          <w:highlight w:val="none"/>
        </w:rPr>
        <w:t>月</w:t>
      </w:r>
      <w:r>
        <w:rPr>
          <w:rFonts w:hint="eastAsia" w:ascii="宋体" w:hAnsi="宋体" w:eastAsia="宋体" w:cs="宋体"/>
          <w:color w:val="auto"/>
          <w:spacing w:val="24"/>
          <w:position w:val="1"/>
          <w:sz w:val="24"/>
          <w:szCs w:val="24"/>
          <w:highlight w:val="none"/>
        </w:rPr>
        <w:t xml:space="preserve">   </w:t>
      </w:r>
      <w:r>
        <w:rPr>
          <w:rFonts w:hint="eastAsia" w:ascii="宋体" w:hAnsi="宋体" w:eastAsia="宋体" w:cs="宋体"/>
          <w:color w:val="auto"/>
          <w:spacing w:val="-8"/>
          <w:position w:val="1"/>
          <w:sz w:val="24"/>
          <w:szCs w:val="24"/>
          <w:highlight w:val="none"/>
        </w:rPr>
        <w:t>日</w:t>
      </w:r>
    </w:p>
    <w:p w14:paraId="1BBC05A1">
      <w:pPr>
        <w:spacing w:line="366" w:lineRule="auto"/>
        <w:rPr>
          <w:rFonts w:hint="eastAsia" w:ascii="宋体" w:hAnsi="宋体" w:eastAsia="宋体" w:cs="宋体"/>
          <w:color w:val="auto"/>
          <w:sz w:val="24"/>
          <w:szCs w:val="24"/>
          <w:highlight w:val="none"/>
        </w:rPr>
      </w:pPr>
    </w:p>
    <w:p w14:paraId="0771264B">
      <w:pPr>
        <w:spacing w:before="70" w:line="26" w:lineRule="exact"/>
        <w:ind w:left="19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w:t>
      </w:r>
    </w:p>
    <w:p w14:paraId="0DF97A7F">
      <w:pPr>
        <w:spacing w:line="26" w:lineRule="exact"/>
        <w:rPr>
          <w:rFonts w:ascii="Times New Roman" w:hAnsi="Times New Roman" w:eastAsia="Times New Roman" w:cs="Times New Roman"/>
          <w:color w:val="auto"/>
          <w:sz w:val="24"/>
          <w:szCs w:val="24"/>
          <w:highlight w:val="none"/>
        </w:rPr>
        <w:sectPr>
          <w:type w:val="continuous"/>
          <w:pgSz w:w="11907" w:h="16839"/>
          <w:pgMar w:top="934" w:right="1410" w:bottom="884" w:left="1389" w:header="738" w:footer="648" w:gutter="0"/>
          <w:cols w:equalWidth="0" w:num="2">
            <w:col w:w="2612" w:space="100"/>
            <w:col w:w="6396"/>
          </w:cols>
        </w:sectPr>
      </w:pPr>
    </w:p>
    <w:p w14:paraId="234F6DE0">
      <w:pPr>
        <w:pStyle w:val="11"/>
        <w:spacing w:before="314" w:line="398" w:lineRule="exact"/>
        <w:rPr>
          <w:color w:val="auto"/>
          <w:sz w:val="30"/>
          <w:szCs w:val="30"/>
          <w:highlight w:val="none"/>
        </w:rPr>
      </w:pPr>
      <w:r>
        <w:rPr>
          <w:color w:val="auto"/>
          <w:spacing w:val="-17"/>
          <w:position w:val="1"/>
          <w:sz w:val="30"/>
          <w:szCs w:val="30"/>
          <w:highlight w:val="none"/>
        </w:rPr>
        <w:t>附件</w:t>
      </w:r>
      <w:r>
        <w:rPr>
          <w:color w:val="auto"/>
          <w:spacing w:val="-37"/>
          <w:position w:val="1"/>
          <w:sz w:val="30"/>
          <w:szCs w:val="30"/>
          <w:highlight w:val="none"/>
        </w:rPr>
        <w:t xml:space="preserve"> </w:t>
      </w:r>
      <w:r>
        <w:rPr>
          <w:rFonts w:ascii="Times New Roman" w:hAnsi="Times New Roman" w:eastAsia="Times New Roman" w:cs="Times New Roman"/>
          <w:color w:val="auto"/>
          <w:spacing w:val="-17"/>
          <w:position w:val="1"/>
          <w:sz w:val="30"/>
          <w:szCs w:val="30"/>
          <w:highlight w:val="none"/>
        </w:rPr>
        <w:t>1</w:t>
      </w:r>
      <w:r>
        <w:rPr>
          <w:color w:val="auto"/>
          <w:spacing w:val="-17"/>
          <w:position w:val="1"/>
          <w:sz w:val="30"/>
          <w:szCs w:val="30"/>
          <w:highlight w:val="none"/>
        </w:rPr>
        <w:t>：</w:t>
      </w:r>
    </w:p>
    <w:p w14:paraId="75849591">
      <w:pPr>
        <w:keepNext w:val="0"/>
        <w:keepLines w:val="0"/>
        <w:pageBreakBefore w:val="0"/>
        <w:widowControl w:val="0"/>
        <w:kinsoku/>
        <w:wordWrap/>
        <w:overflowPunct/>
        <w:topLinePunct w:val="0"/>
        <w:autoSpaceDE/>
        <w:autoSpaceDN/>
        <w:bidi w:val="0"/>
        <w:adjustRightInd w:val="0"/>
        <w:snapToGrid w:val="0"/>
        <w:spacing w:before="0" w:beforeLines="100" w:after="0" w:afterLines="100" w:line="240" w:lineRule="auto"/>
        <w:ind w:left="0"/>
        <w:jc w:val="center"/>
        <w:textAlignment w:val="auto"/>
        <w:outlineLvl w:val="0"/>
        <w:rPr>
          <w:rFonts w:ascii="微软雅黑" w:hAnsi="微软雅黑" w:eastAsia="微软雅黑" w:cs="微软雅黑"/>
          <w:color w:val="auto"/>
          <w:sz w:val="36"/>
          <w:szCs w:val="36"/>
          <w:highlight w:val="none"/>
        </w:rPr>
      </w:pPr>
      <w:r>
        <w:rPr>
          <w:rFonts w:ascii="微软雅黑" w:hAnsi="微软雅黑" w:eastAsia="微软雅黑" w:cs="微软雅黑"/>
          <w:color w:val="auto"/>
          <w:spacing w:val="-2"/>
          <w:sz w:val="36"/>
          <w:szCs w:val="36"/>
          <w:highlight w:val="none"/>
        </w:rPr>
        <w:t>廉政承诺协议书</w:t>
      </w:r>
    </w:p>
    <w:p w14:paraId="64CD6ACB">
      <w:pPr>
        <w:keepNext w:val="0"/>
        <w:keepLines w:val="0"/>
        <w:pageBreakBefore w:val="0"/>
        <w:widowControl w:val="0"/>
        <w:kinsoku/>
        <w:wordWrap/>
        <w:overflowPunct/>
        <w:topLinePunct w:val="0"/>
        <w:autoSpaceDE/>
        <w:autoSpaceDN/>
        <w:bidi w:val="0"/>
        <w:adjustRightInd w:val="0"/>
        <w:snapToGrid w:val="0"/>
        <w:spacing w:line="360" w:lineRule="auto"/>
        <w:ind w:left="0" w:right="0" w:firstLine="0"/>
        <w:textAlignment w:val="auto"/>
        <w:rPr>
          <w:rFonts w:ascii="宋体" w:hAnsi="宋体" w:eastAsia="宋体" w:cs="宋体"/>
          <w:color w:val="auto"/>
          <w:spacing w:val="1"/>
          <w:sz w:val="24"/>
          <w:szCs w:val="24"/>
          <w:highlight w:val="none"/>
        </w:rPr>
      </w:pPr>
      <w:r>
        <w:rPr>
          <w:rFonts w:ascii="宋体" w:hAnsi="宋体" w:eastAsia="宋体" w:cs="宋体"/>
          <w:color w:val="auto"/>
          <w:spacing w:val="-3"/>
          <w:sz w:val="24"/>
          <w:szCs w:val="24"/>
          <w:highlight w:val="none"/>
        </w:rPr>
        <w:t>甲方</w:t>
      </w:r>
      <w:r>
        <w:rPr>
          <w:rFonts w:ascii="宋体" w:hAnsi="宋体" w:eastAsia="宋体" w:cs="宋体"/>
          <w:color w:val="auto"/>
          <w:spacing w:val="-2"/>
          <w:sz w:val="24"/>
          <w:szCs w:val="24"/>
          <w:highlight w:val="none"/>
        </w:rPr>
        <w:t>：</w:t>
      </w:r>
      <w:r>
        <w:rPr>
          <w:rFonts w:hint="eastAsia" w:ascii="宋体" w:hAnsi="宋体" w:eastAsia="宋体" w:cs="宋体"/>
          <w:color w:val="auto"/>
          <w:spacing w:val="-3"/>
          <w:sz w:val="24"/>
          <w:szCs w:val="24"/>
          <w:highlight w:val="none"/>
          <w:u w:val="single" w:color="auto"/>
          <w:lang w:eastAsia="zh-CN"/>
        </w:rPr>
        <w:t>广西自贸区产融城市运营管理有限公司</w:t>
      </w:r>
      <w:r>
        <w:rPr>
          <w:rFonts w:ascii="宋体" w:hAnsi="宋体" w:eastAsia="宋体" w:cs="宋体"/>
          <w:color w:val="auto"/>
          <w:spacing w:val="1"/>
          <w:sz w:val="24"/>
          <w:szCs w:val="24"/>
          <w:highlight w:val="none"/>
        </w:rPr>
        <w:t xml:space="preserve"> </w:t>
      </w:r>
    </w:p>
    <w:p w14:paraId="60181590">
      <w:pPr>
        <w:keepNext w:val="0"/>
        <w:keepLines w:val="0"/>
        <w:pageBreakBefore w:val="0"/>
        <w:widowControl w:val="0"/>
        <w:kinsoku/>
        <w:wordWrap/>
        <w:overflowPunct/>
        <w:topLinePunct w:val="0"/>
        <w:autoSpaceDE/>
        <w:autoSpaceDN/>
        <w:bidi w:val="0"/>
        <w:adjustRightInd w:val="0"/>
        <w:snapToGrid w:val="0"/>
        <w:spacing w:line="360" w:lineRule="auto"/>
        <w:ind w:left="0" w:right="0" w:firstLine="0"/>
        <w:textAlignment w:val="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乙方：</w:t>
      </w:r>
      <w:r>
        <w:rPr>
          <w:rFonts w:hint="eastAsia" w:ascii="宋体" w:hAnsi="宋体" w:eastAsia="宋体" w:cs="宋体"/>
          <w:color w:val="auto"/>
          <w:spacing w:val="-2"/>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val="en-US" w:eastAsia="zh-CN"/>
        </w:rPr>
        <w:t xml:space="preserve">    </w:t>
      </w:r>
      <w:r>
        <w:rPr>
          <w:rFonts w:ascii="宋体" w:hAnsi="宋体" w:eastAsia="宋体" w:cs="宋体"/>
          <w:color w:val="auto"/>
          <w:sz w:val="24"/>
          <w:szCs w:val="24"/>
          <w:highlight w:val="none"/>
          <w:u w:val="single" w:color="auto"/>
        </w:rPr>
        <w:t xml:space="preserve">      </w:t>
      </w:r>
    </w:p>
    <w:p w14:paraId="688AA1D9">
      <w:pPr>
        <w:keepNext w:val="0"/>
        <w:keepLines w:val="0"/>
        <w:pageBreakBefore w:val="0"/>
        <w:widowControl w:val="0"/>
        <w:kinsoku/>
        <w:wordWrap/>
        <w:overflowPunct/>
        <w:topLinePunct w:val="0"/>
        <w:autoSpaceDE/>
        <w:autoSpaceDN/>
        <w:bidi w:val="0"/>
        <w:adjustRightInd w:val="0"/>
        <w:snapToGrid w:val="0"/>
        <w:spacing w:line="360" w:lineRule="auto"/>
        <w:ind w:left="4"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为加强廉政建设，从制度机制上杜绝不廉洁行为，</w:t>
      </w:r>
      <w:r>
        <w:rPr>
          <w:rFonts w:hint="eastAsia" w:ascii="宋体" w:hAnsi="宋体" w:eastAsia="宋体" w:cs="宋体"/>
          <w:color w:val="auto"/>
          <w:spacing w:val="-1"/>
          <w:sz w:val="24"/>
          <w:szCs w:val="24"/>
          <w:highlight w:val="none"/>
        </w:rPr>
        <w:t>维护双方企业的利益，根据廉政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建设的有关规定，经双方协商，同意订立本廉政协议书。</w:t>
      </w:r>
    </w:p>
    <w:p w14:paraId="6CC1AABD">
      <w:pPr>
        <w:keepNext w:val="0"/>
        <w:keepLines w:val="0"/>
        <w:pageBreakBefore w:val="0"/>
        <w:widowControl w:val="0"/>
        <w:kinsoku/>
        <w:wordWrap/>
        <w:overflowPunct/>
        <w:topLinePunct w:val="0"/>
        <w:autoSpaceDE/>
        <w:autoSpaceDN/>
        <w:bidi w:val="0"/>
        <w:adjustRightInd w:val="0"/>
        <w:snapToGrid w:val="0"/>
        <w:spacing w:line="360" w:lineRule="auto"/>
        <w:ind w:left="4"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一、双方的廉政承诺</w:t>
      </w:r>
    </w:p>
    <w:p w14:paraId="6430DABC">
      <w:pPr>
        <w:keepNext w:val="0"/>
        <w:keepLines w:val="0"/>
        <w:pageBreakBefore w:val="0"/>
        <w:widowControl w:val="0"/>
        <w:kinsoku/>
        <w:wordWrap/>
        <w:overflowPunct/>
        <w:topLinePunct w:val="0"/>
        <w:autoSpaceDE/>
        <w:autoSpaceDN/>
        <w:bidi w:val="0"/>
        <w:adjustRightInd w:val="0"/>
        <w:snapToGrid w:val="0"/>
        <w:spacing w:line="360" w:lineRule="auto"/>
        <w:ind w:left="4"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（一）严格遵守国家有关法律法规及上级主管单位的有关规定。</w:t>
      </w:r>
    </w:p>
    <w:p w14:paraId="004F5549">
      <w:pPr>
        <w:keepNext w:val="0"/>
        <w:keepLines w:val="0"/>
        <w:pageBreakBefore w:val="0"/>
        <w:widowControl w:val="0"/>
        <w:kinsoku/>
        <w:wordWrap/>
        <w:overflowPunct/>
        <w:topLinePunct w:val="0"/>
        <w:autoSpaceDE/>
        <w:autoSpaceDN/>
        <w:bidi w:val="0"/>
        <w:adjustRightInd w:val="0"/>
        <w:snapToGrid w:val="0"/>
        <w:spacing w:line="360" w:lineRule="auto"/>
        <w:ind w:left="4"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（二）严格执行合同规定，自觉按合同办事。</w:t>
      </w:r>
    </w:p>
    <w:p w14:paraId="3691E2C5">
      <w:pPr>
        <w:keepNext w:val="0"/>
        <w:keepLines w:val="0"/>
        <w:pageBreakBefore w:val="0"/>
        <w:widowControl w:val="0"/>
        <w:kinsoku/>
        <w:wordWrap/>
        <w:overflowPunct/>
        <w:topLinePunct w:val="0"/>
        <w:autoSpaceDE/>
        <w:autoSpaceDN/>
        <w:bidi w:val="0"/>
        <w:adjustRightInd w:val="0"/>
        <w:snapToGrid w:val="0"/>
        <w:spacing w:line="360" w:lineRule="auto"/>
        <w:ind w:left="4"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（三）在业务活动坚持公开、公正、诚信、透明原则（除法律认定的商业秘密或合同文件另有规定之外），不得损害国家利益和集体利益。</w:t>
      </w:r>
    </w:p>
    <w:p w14:paraId="2C18099F">
      <w:pPr>
        <w:keepNext w:val="0"/>
        <w:keepLines w:val="0"/>
        <w:pageBreakBefore w:val="0"/>
        <w:widowControl w:val="0"/>
        <w:kinsoku/>
        <w:wordWrap/>
        <w:overflowPunct/>
        <w:topLinePunct w:val="0"/>
        <w:autoSpaceDE/>
        <w:autoSpaceDN/>
        <w:bidi w:val="0"/>
        <w:adjustRightInd w:val="0"/>
        <w:snapToGrid w:val="0"/>
        <w:spacing w:line="360" w:lineRule="auto"/>
        <w:ind w:left="4"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（四）建立健全廉政制度，开展廉政教育，公布举报电话，开展监督并认真查处违 法违纪行为。</w:t>
      </w:r>
    </w:p>
    <w:p w14:paraId="5628095E">
      <w:pPr>
        <w:keepNext w:val="0"/>
        <w:keepLines w:val="0"/>
        <w:pageBreakBefore w:val="0"/>
        <w:widowControl w:val="0"/>
        <w:kinsoku/>
        <w:wordWrap/>
        <w:overflowPunct/>
        <w:topLinePunct w:val="0"/>
        <w:autoSpaceDE/>
        <w:autoSpaceDN/>
        <w:bidi w:val="0"/>
        <w:adjustRightInd w:val="0"/>
        <w:snapToGrid w:val="0"/>
        <w:spacing w:line="360" w:lineRule="auto"/>
        <w:ind w:left="4"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（五）发现对方在业务活动中有违反廉政规定的行为，应当及时提醒对方纠正。</w:t>
      </w:r>
    </w:p>
    <w:p w14:paraId="0B87521C">
      <w:pPr>
        <w:keepNext w:val="0"/>
        <w:keepLines w:val="0"/>
        <w:pageBreakBefore w:val="0"/>
        <w:widowControl w:val="0"/>
        <w:kinsoku/>
        <w:wordWrap/>
        <w:overflowPunct/>
        <w:topLinePunct w:val="0"/>
        <w:autoSpaceDE/>
        <w:autoSpaceDN/>
        <w:bidi w:val="0"/>
        <w:adjustRightInd w:val="0"/>
        <w:snapToGrid w:val="0"/>
        <w:spacing w:line="360" w:lineRule="auto"/>
        <w:ind w:left="4"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（六）发现对方有严重违反本协议义务条款的行为，应当及时向其上级有关部门举报，建议给予处理并要求告知处理结果。 </w:t>
      </w:r>
    </w:p>
    <w:p w14:paraId="67012EB8">
      <w:pPr>
        <w:keepNext w:val="0"/>
        <w:keepLines w:val="0"/>
        <w:pageBreakBefore w:val="0"/>
        <w:widowControl w:val="0"/>
        <w:kinsoku/>
        <w:wordWrap/>
        <w:overflowPunct/>
        <w:topLinePunct w:val="0"/>
        <w:autoSpaceDE/>
        <w:autoSpaceDN/>
        <w:bidi w:val="0"/>
        <w:adjustRightInd w:val="0"/>
        <w:snapToGrid w:val="0"/>
        <w:spacing w:line="360" w:lineRule="auto"/>
        <w:ind w:left="4"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二、双方的廉政义务</w:t>
      </w:r>
    </w:p>
    <w:p w14:paraId="25F3EDAF">
      <w:pPr>
        <w:keepNext w:val="0"/>
        <w:keepLines w:val="0"/>
        <w:pageBreakBefore w:val="0"/>
        <w:widowControl w:val="0"/>
        <w:kinsoku/>
        <w:wordWrap/>
        <w:overflowPunct/>
        <w:topLinePunct w:val="0"/>
        <w:autoSpaceDE/>
        <w:autoSpaceDN/>
        <w:bidi w:val="0"/>
        <w:adjustRightInd w:val="0"/>
        <w:snapToGrid w:val="0"/>
        <w:spacing w:line="360" w:lineRule="auto"/>
        <w:ind w:left="4" w:right="2" w:firstLine="456"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rPr>
        <w:t>甲乙双方及其工作人员不得有以下行为</w:t>
      </w:r>
      <w:r>
        <w:rPr>
          <w:rFonts w:hint="eastAsia" w:ascii="宋体" w:hAnsi="宋体" w:eastAsia="宋体" w:cs="宋体"/>
          <w:color w:val="auto"/>
          <w:spacing w:val="-6"/>
          <w:sz w:val="24"/>
          <w:szCs w:val="24"/>
          <w:highlight w:val="none"/>
          <w:lang w:eastAsia="zh-CN"/>
        </w:rPr>
        <w:t>：</w:t>
      </w:r>
    </w:p>
    <w:p w14:paraId="30A904F1">
      <w:pPr>
        <w:keepNext w:val="0"/>
        <w:keepLines w:val="0"/>
        <w:pageBreakBefore w:val="0"/>
        <w:widowControl w:val="0"/>
        <w:kinsoku/>
        <w:wordWrap/>
        <w:overflowPunct/>
        <w:topLinePunct w:val="0"/>
        <w:autoSpaceDE/>
        <w:autoSpaceDN/>
        <w:bidi w:val="0"/>
        <w:adjustRightInd w:val="0"/>
        <w:snapToGrid w:val="0"/>
        <w:spacing w:line="360" w:lineRule="auto"/>
        <w:ind w:left="2" w:right="2"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1.向对方及其工作人员行贿或索要、接受对方及其工作人员的礼金、有价证券和贵</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9"/>
          <w:sz w:val="24"/>
          <w:szCs w:val="24"/>
          <w:highlight w:val="none"/>
        </w:rPr>
        <w:t>重物品。</w:t>
      </w:r>
    </w:p>
    <w:p w14:paraId="58935C60">
      <w:pPr>
        <w:keepNext w:val="0"/>
        <w:keepLines w:val="0"/>
        <w:pageBreakBefore w:val="0"/>
        <w:widowControl w:val="0"/>
        <w:kinsoku/>
        <w:wordWrap/>
        <w:overflowPunct/>
        <w:topLinePunct w:val="0"/>
        <w:autoSpaceDE/>
        <w:autoSpaceDN/>
        <w:bidi w:val="0"/>
        <w:adjustRightInd w:val="0"/>
        <w:snapToGrid w:val="0"/>
        <w:spacing w:line="360" w:lineRule="auto"/>
        <w:ind w:left="1"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2.为对方及其工作人员报销或索要、接受对方及其</w:t>
      </w:r>
      <w:r>
        <w:rPr>
          <w:rFonts w:hint="eastAsia" w:ascii="宋体" w:hAnsi="宋体" w:eastAsia="宋体" w:cs="宋体"/>
          <w:color w:val="auto"/>
          <w:spacing w:val="-1"/>
          <w:sz w:val="24"/>
          <w:szCs w:val="24"/>
          <w:highlight w:val="none"/>
        </w:rPr>
        <w:t>工作人员报销任何应当由对方支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付的各种费用。</w:t>
      </w:r>
    </w:p>
    <w:p w14:paraId="18136945">
      <w:pPr>
        <w:keepNext w:val="0"/>
        <w:keepLines w:val="0"/>
        <w:pageBreakBefore w:val="0"/>
        <w:widowControl w:val="0"/>
        <w:kinsoku/>
        <w:wordWrap/>
        <w:overflowPunct/>
        <w:topLinePunct w:val="0"/>
        <w:autoSpaceDE/>
        <w:autoSpaceDN/>
        <w:bidi w:val="0"/>
        <w:adjustRightInd w:val="0"/>
        <w:snapToGrid w:val="0"/>
        <w:spacing w:line="360" w:lineRule="auto"/>
        <w:ind w:left="21"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3.为对方及其工作人员安排或参加对方及其工</w:t>
      </w:r>
      <w:r>
        <w:rPr>
          <w:rFonts w:hint="eastAsia" w:ascii="宋体" w:hAnsi="宋体" w:eastAsia="宋体" w:cs="宋体"/>
          <w:color w:val="auto"/>
          <w:spacing w:val="-1"/>
          <w:sz w:val="24"/>
          <w:szCs w:val="24"/>
          <w:highlight w:val="none"/>
        </w:rPr>
        <w:t>作人员安排的可能影响公正执行公务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的宴请或娱乐活动。</w:t>
      </w:r>
    </w:p>
    <w:p w14:paraId="14D0C3BF">
      <w:pPr>
        <w:keepNext w:val="0"/>
        <w:keepLines w:val="0"/>
        <w:pageBreakBefore w:val="0"/>
        <w:widowControl w:val="0"/>
        <w:kinsoku/>
        <w:wordWrap/>
        <w:overflowPunct/>
        <w:topLinePunct w:val="0"/>
        <w:autoSpaceDE/>
        <w:autoSpaceDN/>
        <w:bidi w:val="0"/>
        <w:adjustRightInd w:val="0"/>
        <w:snapToGrid w:val="0"/>
        <w:spacing w:line="360" w:lineRule="auto"/>
        <w:ind w:left="21"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4.为对方及其工作人员购置、提供或接受对方及其工作人员购置、提供的通讯工具、 交通工具和高档办公用品等。</w:t>
      </w:r>
    </w:p>
    <w:p w14:paraId="512F0205">
      <w:pPr>
        <w:keepNext w:val="0"/>
        <w:keepLines w:val="0"/>
        <w:pageBreakBefore w:val="0"/>
        <w:widowControl w:val="0"/>
        <w:kinsoku/>
        <w:wordWrap/>
        <w:overflowPunct/>
        <w:topLinePunct w:val="0"/>
        <w:autoSpaceDE/>
        <w:autoSpaceDN/>
        <w:bidi w:val="0"/>
        <w:adjustRightInd w:val="0"/>
        <w:snapToGrid w:val="0"/>
        <w:spacing w:line="360" w:lineRule="auto"/>
        <w:ind w:left="21"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5.为对方及其工作人员安排或索要、接受对方及其工作人员安排的住房装修、婚丧 嫁娶、配偶子女工作以及出国出境、旅游等活动。</w:t>
      </w:r>
    </w:p>
    <w:p w14:paraId="016AD13A">
      <w:pPr>
        <w:keepNext w:val="0"/>
        <w:keepLines w:val="0"/>
        <w:pageBreakBefore w:val="0"/>
        <w:widowControl w:val="0"/>
        <w:kinsoku/>
        <w:wordWrap/>
        <w:overflowPunct/>
        <w:topLinePunct w:val="0"/>
        <w:autoSpaceDE/>
        <w:autoSpaceDN/>
        <w:bidi w:val="0"/>
        <w:adjustRightInd w:val="0"/>
        <w:snapToGrid w:val="0"/>
        <w:spacing w:line="360" w:lineRule="auto"/>
        <w:ind w:left="21" w:right="2" w:firstLine="46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6.有违反廉政要求其他情形。</w:t>
      </w:r>
    </w:p>
    <w:p w14:paraId="186A666A">
      <w:pPr>
        <w:keepNext w:val="0"/>
        <w:keepLines w:val="0"/>
        <w:pageBreakBefore w:val="0"/>
        <w:widowControl w:val="0"/>
        <w:kinsoku/>
        <w:wordWrap/>
        <w:overflowPunct/>
        <w:topLinePunct w:val="0"/>
        <w:autoSpaceDE/>
        <w:autoSpaceDN/>
        <w:bidi w:val="0"/>
        <w:adjustRightInd w:val="0"/>
        <w:snapToGrid w:val="0"/>
        <w:spacing w:line="360" w:lineRule="auto"/>
        <w:ind w:left="4" w:right="2"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、违约责任</w:t>
      </w:r>
    </w:p>
    <w:p w14:paraId="3190C0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若一方及其工作人员有违反法律法规及本协议书的，应</w:t>
      </w:r>
      <w:r>
        <w:rPr>
          <w:rFonts w:hint="eastAsia" w:ascii="宋体" w:hAnsi="宋体" w:eastAsia="宋体" w:cs="宋体"/>
          <w:color w:val="auto"/>
          <w:spacing w:val="-1"/>
          <w:sz w:val="24"/>
          <w:szCs w:val="24"/>
          <w:highlight w:val="none"/>
        </w:rPr>
        <w:t>依法依规对相关责任人进行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严肃处理，并向守约方支付至少</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5"/>
          <w:sz w:val="24"/>
          <w:szCs w:val="24"/>
          <w:highlight w:val="none"/>
        </w:rPr>
        <w:t>10000</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5"/>
          <w:sz w:val="24"/>
          <w:szCs w:val="24"/>
          <w:highlight w:val="none"/>
        </w:rPr>
        <w:t>元的违约金；若违约方给守约方造成经济损失的，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应按照损失的金额的</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5"/>
          <w:sz w:val="24"/>
          <w:szCs w:val="24"/>
          <w:highlight w:val="none"/>
        </w:rPr>
        <w:t>倍给守约方予以赔偿；涉嫌犯罪的，移送司法机关追究相关责任。</w:t>
      </w:r>
    </w:p>
    <w:p w14:paraId="434883FE">
      <w:pPr>
        <w:keepNext w:val="0"/>
        <w:keepLines w:val="0"/>
        <w:pageBreakBefore w:val="0"/>
        <w:widowControl w:val="0"/>
        <w:kinsoku/>
        <w:wordWrap/>
        <w:overflowPunct/>
        <w:topLinePunct w:val="0"/>
        <w:autoSpaceDE/>
        <w:autoSpaceDN/>
        <w:bidi w:val="0"/>
        <w:adjustRightInd w:val="0"/>
        <w:snapToGrid w:val="0"/>
        <w:spacing w:line="360" w:lineRule="auto"/>
        <w:ind w:left="4" w:right="2" w:firstLine="476" w:firstLineChars="200"/>
        <w:textAlignment w:val="auto"/>
        <w:rPr>
          <w:rFonts w:hint="eastAsia" w:ascii="宋体" w:hAnsi="宋体" w:eastAsia="宋体" w:cs="宋体"/>
          <w:color w:val="auto"/>
          <w:spacing w:val="28"/>
          <w:sz w:val="24"/>
          <w:szCs w:val="24"/>
          <w:highlight w:val="none"/>
        </w:rPr>
      </w:pPr>
      <w:r>
        <w:rPr>
          <w:rFonts w:hint="eastAsia" w:ascii="宋体" w:hAnsi="宋体" w:eastAsia="宋体" w:cs="宋体"/>
          <w:color w:val="auto"/>
          <w:spacing w:val="-1"/>
          <w:sz w:val="24"/>
          <w:szCs w:val="24"/>
          <w:highlight w:val="none"/>
          <w:lang w:val="en-US" w:eastAsia="zh-CN"/>
        </w:rPr>
        <w:t>四</w:t>
      </w:r>
      <w:r>
        <w:rPr>
          <w:rFonts w:hint="eastAsia" w:ascii="宋体" w:hAnsi="宋体" w:eastAsia="宋体" w:cs="宋体"/>
          <w:color w:val="auto"/>
          <w:spacing w:val="-1"/>
          <w:sz w:val="24"/>
          <w:szCs w:val="24"/>
          <w:highlight w:val="none"/>
        </w:rPr>
        <w:t xml:space="preserve"> 、甲方举报方式：</w:t>
      </w:r>
      <w:r>
        <w:rPr>
          <w:rFonts w:hint="eastAsia" w:ascii="宋体" w:hAnsi="宋体" w:eastAsia="宋体" w:cs="宋体"/>
          <w:color w:val="auto"/>
          <w:spacing w:val="28"/>
          <w:sz w:val="24"/>
          <w:szCs w:val="24"/>
          <w:highlight w:val="none"/>
        </w:rPr>
        <w:t xml:space="preserve"> </w:t>
      </w:r>
    </w:p>
    <w:p w14:paraId="0D6BB486">
      <w:pPr>
        <w:keepNext w:val="0"/>
        <w:keepLines w:val="0"/>
        <w:pageBreakBefore w:val="0"/>
        <w:widowControl w:val="0"/>
        <w:kinsoku/>
        <w:wordWrap/>
        <w:overflowPunct/>
        <w:topLinePunct w:val="0"/>
        <w:autoSpaceDE/>
        <w:autoSpaceDN/>
        <w:bidi w:val="0"/>
        <w:adjustRightInd w:val="0"/>
        <w:snapToGrid w:val="0"/>
        <w:spacing w:line="360" w:lineRule="auto"/>
        <w:ind w:left="21" w:right="2" w:firstLine="476"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1.电话举报</w:t>
      </w:r>
      <w:r>
        <w:rPr>
          <w:rFonts w:hint="eastAsia" w:ascii="宋体" w:hAnsi="宋体" w:eastAsia="宋体" w:cs="宋体"/>
          <w:color w:val="auto"/>
          <w:spacing w:val="-1"/>
          <w:sz w:val="24"/>
          <w:szCs w:val="24"/>
          <w:highlight w:val="none"/>
          <w:u w:val="single" w:color="auto"/>
        </w:rPr>
        <w:t>：0777-</w:t>
      </w:r>
      <w:r>
        <w:rPr>
          <w:rFonts w:hint="eastAsia" w:ascii="宋体" w:hAnsi="宋体" w:eastAsia="宋体" w:cs="宋体"/>
          <w:color w:val="auto"/>
          <w:spacing w:val="-2"/>
          <w:sz w:val="24"/>
          <w:szCs w:val="24"/>
          <w:highlight w:val="none"/>
          <w:u w:val="single" w:color="auto"/>
        </w:rPr>
        <w:t>5818333</w:t>
      </w:r>
      <w:r>
        <w:rPr>
          <w:rFonts w:hint="eastAsia" w:ascii="宋体" w:hAnsi="宋体" w:eastAsia="宋体" w:cs="宋体"/>
          <w:color w:val="auto"/>
          <w:spacing w:val="-2"/>
          <w:sz w:val="24"/>
          <w:szCs w:val="24"/>
          <w:highlight w:val="none"/>
        </w:rPr>
        <w:t>；</w:t>
      </w:r>
    </w:p>
    <w:p w14:paraId="543AE2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2.邮箱举报：</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"mailto:zimaokaitoujituan@163.com；"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u w:val="single" w:color="auto"/>
        </w:rPr>
        <w:t>zimaokaitouj</w:t>
      </w:r>
      <w:r>
        <w:rPr>
          <w:rFonts w:hint="eastAsia" w:ascii="宋体" w:hAnsi="宋体" w:eastAsia="宋体" w:cs="宋体"/>
          <w:color w:val="auto"/>
          <w:spacing w:val="-1"/>
          <w:sz w:val="24"/>
          <w:szCs w:val="24"/>
          <w:highlight w:val="none"/>
          <w:u w:val="single" w:color="auto"/>
        </w:rPr>
        <w:t>ituan@163.com</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rPr>
        <w:fldChar w:fldCharType="end"/>
      </w:r>
    </w:p>
    <w:p w14:paraId="3976CA5B">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乙方举报方式：</w:t>
      </w:r>
    </w:p>
    <w:p w14:paraId="1BEFC1FC">
      <w:pPr>
        <w:keepNext w:val="0"/>
        <w:keepLines w:val="0"/>
        <w:pageBreakBefore w:val="0"/>
        <w:widowControl w:val="0"/>
        <w:kinsoku/>
        <w:wordWrap/>
        <w:overflowPunct/>
        <w:topLinePunct w:val="0"/>
        <w:autoSpaceDE/>
        <w:autoSpaceDN/>
        <w:bidi w:val="0"/>
        <w:adjustRightInd w:val="0"/>
        <w:snapToGrid w:val="0"/>
        <w:spacing w:line="360" w:lineRule="auto"/>
        <w:ind w:left="21" w:right="2" w:firstLine="464" w:firstLineChars="200"/>
        <w:textAlignment w:val="auto"/>
        <w:rPr>
          <w:rFonts w:hint="eastAsia" w:ascii="宋体" w:hAnsi="宋体" w:eastAsia="宋体" w:cs="宋体"/>
          <w:color w:val="auto"/>
          <w:spacing w:val="18"/>
          <w:sz w:val="24"/>
          <w:szCs w:val="24"/>
          <w:highlight w:val="none"/>
        </w:rPr>
      </w:pPr>
      <w:r>
        <w:rPr>
          <w:rFonts w:hint="eastAsia" w:ascii="宋体" w:hAnsi="宋体" w:eastAsia="宋体" w:cs="宋体"/>
          <w:color w:val="auto"/>
          <w:spacing w:val="-4"/>
          <w:sz w:val="24"/>
          <w:szCs w:val="24"/>
          <w:highlight w:val="none"/>
          <w:lang w:val="en-US" w:eastAsia="zh-CN"/>
        </w:rPr>
        <w:t>1.</w:t>
      </w:r>
      <w:r>
        <w:rPr>
          <w:rFonts w:hint="eastAsia" w:ascii="宋体" w:hAnsi="宋体" w:eastAsia="宋体" w:cs="宋体"/>
          <w:color w:val="auto"/>
          <w:spacing w:val="-4"/>
          <w:sz w:val="24"/>
          <w:szCs w:val="24"/>
          <w:highlight w:val="none"/>
        </w:rPr>
        <w:t>电话举报：</w:t>
      </w:r>
      <w:r>
        <w:rPr>
          <w:rFonts w:hint="eastAsia" w:ascii="宋体" w:hAnsi="宋体" w:eastAsia="宋体" w:cs="宋体"/>
          <w:color w:val="auto"/>
          <w:spacing w:val="-4"/>
          <w:sz w:val="24"/>
          <w:szCs w:val="24"/>
          <w:highlight w:val="none"/>
          <w:u w:val="single" w:color="auto"/>
        </w:rPr>
        <w:t>0777-2361182</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8"/>
          <w:sz w:val="24"/>
          <w:szCs w:val="24"/>
          <w:highlight w:val="none"/>
        </w:rPr>
        <w:t xml:space="preserve"> </w:t>
      </w:r>
    </w:p>
    <w:p w14:paraId="629DB9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2.邮箱举报：</w:t>
      </w:r>
      <w:r>
        <w:rPr>
          <w:rFonts w:hint="eastAsia" w:ascii="宋体" w:hAnsi="宋体" w:eastAsia="宋体" w:cs="宋体"/>
          <w:color w:val="auto"/>
          <w:sz w:val="24"/>
          <w:szCs w:val="24"/>
          <w:highlight w:val="none"/>
          <w:u w:val="single" w:color="auto"/>
        </w:rPr>
        <w:t>zimaokaitouj</w:t>
      </w:r>
      <w:r>
        <w:rPr>
          <w:rFonts w:hint="eastAsia" w:ascii="宋体" w:hAnsi="宋体" w:eastAsia="宋体" w:cs="宋体"/>
          <w:color w:val="auto"/>
          <w:spacing w:val="-1"/>
          <w:sz w:val="24"/>
          <w:szCs w:val="24"/>
          <w:highlight w:val="none"/>
          <w:u w:val="single" w:color="auto"/>
        </w:rPr>
        <w:t>ituan@163.com</w:t>
      </w:r>
      <w:r>
        <w:rPr>
          <w:rFonts w:hint="eastAsia" w:ascii="宋体" w:hAnsi="宋体" w:eastAsia="宋体" w:cs="宋体"/>
          <w:color w:val="auto"/>
          <w:spacing w:val="-1"/>
          <w:sz w:val="24"/>
          <w:szCs w:val="24"/>
          <w:highlight w:val="none"/>
        </w:rPr>
        <w:t>。</w:t>
      </w:r>
    </w:p>
    <w:p w14:paraId="31CA09E2">
      <w:pPr>
        <w:keepNext w:val="0"/>
        <w:keepLines w:val="0"/>
        <w:pageBreakBefore w:val="0"/>
        <w:widowControl w:val="0"/>
        <w:kinsoku/>
        <w:wordWrap/>
        <w:overflowPunct/>
        <w:topLinePunct w:val="0"/>
        <w:autoSpaceDE/>
        <w:autoSpaceDN/>
        <w:bidi w:val="0"/>
        <w:adjustRightInd w:val="0"/>
        <w:snapToGrid w:val="0"/>
        <w:spacing w:line="360" w:lineRule="auto"/>
        <w:ind w:left="4" w:right="2" w:firstLine="468"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lang w:val="en-US" w:eastAsia="zh-CN"/>
        </w:rPr>
        <w:t>五</w:t>
      </w:r>
      <w:r>
        <w:rPr>
          <w:rFonts w:hint="eastAsia" w:ascii="宋体" w:hAnsi="宋体" w:eastAsia="宋体" w:cs="宋体"/>
          <w:color w:val="auto"/>
          <w:spacing w:val="-3"/>
          <w:sz w:val="24"/>
          <w:szCs w:val="24"/>
          <w:highlight w:val="none"/>
        </w:rPr>
        <w:t>、本协议书作为编号为：</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110"/>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rPr>
        <w:t>招标代理服务合同》（以下简称为“主合同”）的附件，一式贰份，甲</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2"/>
          <w:sz w:val="24"/>
          <w:szCs w:val="24"/>
          <w:highlight w:val="none"/>
        </w:rPr>
        <w:t>乙双方各执壹份，具有同等法律效力，有效期与主合同相同，经甲乙双方签署后生效。</w:t>
      </w:r>
    </w:p>
    <w:p w14:paraId="573286F3">
      <w:pPr>
        <w:keepNext w:val="0"/>
        <w:keepLines w:val="0"/>
        <w:pageBreakBefore w:val="0"/>
        <w:widowControl w:val="0"/>
        <w:kinsoku/>
        <w:wordWrap/>
        <w:overflowPunct/>
        <w:topLinePunct w:val="0"/>
        <w:autoSpaceDE/>
        <w:autoSpaceDN/>
        <w:bidi w:val="0"/>
        <w:adjustRightInd w:val="0"/>
        <w:snapToGrid w:val="0"/>
        <w:spacing w:line="360" w:lineRule="auto"/>
        <w:ind w:left="4" w:right="2" w:firstLine="468" w:firstLineChars="200"/>
        <w:textAlignment w:val="auto"/>
        <w:rPr>
          <w:rFonts w:hint="eastAsia" w:ascii="宋体" w:hAnsi="宋体" w:eastAsia="宋体" w:cs="宋体"/>
          <w:color w:val="auto"/>
          <w:spacing w:val="-3"/>
          <w:sz w:val="24"/>
          <w:szCs w:val="24"/>
          <w:highlight w:val="none"/>
          <w:lang w:val="en-US" w:eastAsia="zh-CN"/>
        </w:rPr>
      </w:pPr>
    </w:p>
    <w:p w14:paraId="074D51C0">
      <w:pPr>
        <w:keepNext w:val="0"/>
        <w:keepLines w:val="0"/>
        <w:pageBreakBefore w:val="0"/>
        <w:widowControl w:val="0"/>
        <w:kinsoku/>
        <w:wordWrap/>
        <w:overflowPunct/>
        <w:topLinePunct w:val="0"/>
        <w:autoSpaceDE/>
        <w:autoSpaceDN/>
        <w:bidi w:val="0"/>
        <w:adjustRightInd w:val="0"/>
        <w:snapToGrid w:val="0"/>
        <w:spacing w:line="360" w:lineRule="auto"/>
        <w:ind w:left="4" w:right="2" w:firstLine="468" w:firstLineChars="200"/>
        <w:textAlignment w:val="auto"/>
        <w:rPr>
          <w:rFonts w:hint="eastAsia" w:ascii="宋体" w:hAnsi="宋体" w:eastAsia="宋体" w:cs="宋体"/>
          <w:color w:val="auto"/>
          <w:spacing w:val="-3"/>
          <w:sz w:val="24"/>
          <w:szCs w:val="24"/>
          <w:highlight w:val="none"/>
          <w:lang w:val="en-US" w:eastAsia="zh-CN"/>
        </w:rPr>
      </w:pPr>
    </w:p>
    <w:p w14:paraId="7344AD6F">
      <w:pPr>
        <w:keepNext w:val="0"/>
        <w:keepLines w:val="0"/>
        <w:pageBreakBefore w:val="0"/>
        <w:widowControl w:val="0"/>
        <w:kinsoku/>
        <w:wordWrap/>
        <w:overflowPunct/>
        <w:topLinePunct w:val="0"/>
        <w:autoSpaceDE/>
        <w:autoSpaceDN/>
        <w:bidi w:val="0"/>
        <w:adjustRightInd w:val="0"/>
        <w:snapToGrid w:val="0"/>
        <w:spacing w:line="360" w:lineRule="auto"/>
        <w:ind w:left="4" w:right="2" w:firstLine="468" w:firstLineChars="2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甲方（盖章）：                                乙方（盖章）：</w:t>
      </w:r>
    </w:p>
    <w:p w14:paraId="3C5F4203">
      <w:pPr>
        <w:keepNext w:val="0"/>
        <w:keepLines w:val="0"/>
        <w:pageBreakBefore w:val="0"/>
        <w:widowControl w:val="0"/>
        <w:kinsoku/>
        <w:wordWrap/>
        <w:overflowPunct/>
        <w:topLinePunct w:val="0"/>
        <w:autoSpaceDE/>
        <w:autoSpaceDN/>
        <w:bidi w:val="0"/>
        <w:adjustRightInd w:val="0"/>
        <w:snapToGrid w:val="0"/>
        <w:spacing w:line="360" w:lineRule="auto"/>
        <w:ind w:left="4" w:right="2" w:firstLine="468" w:firstLineChars="200"/>
        <w:textAlignment w:val="auto"/>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法定代表人                                   法定代表人</w:t>
      </w:r>
    </w:p>
    <w:p w14:paraId="38D499E8">
      <w:pPr>
        <w:keepNext w:val="0"/>
        <w:keepLines w:val="0"/>
        <w:pageBreakBefore w:val="0"/>
        <w:widowControl w:val="0"/>
        <w:kinsoku/>
        <w:wordWrap/>
        <w:overflowPunct/>
        <w:topLinePunct w:val="0"/>
        <w:autoSpaceDE/>
        <w:autoSpaceDN/>
        <w:bidi w:val="0"/>
        <w:adjustRightInd w:val="0"/>
        <w:snapToGrid w:val="0"/>
        <w:spacing w:line="360" w:lineRule="auto"/>
        <w:ind w:left="4" w:right="2" w:firstLine="468"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3"/>
          <w:sz w:val="24"/>
          <w:szCs w:val="24"/>
          <w:highlight w:val="none"/>
          <w:lang w:val="en-US" w:eastAsia="zh-CN"/>
        </w:rPr>
        <w:t>或授权代表（签字或盖章）：                    或授权代表（签字或盖章</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w:t>
      </w:r>
    </w:p>
    <w:p w14:paraId="25629E2F">
      <w:pPr>
        <w:keepNext w:val="0"/>
        <w:keepLines w:val="0"/>
        <w:pageBreakBefore w:val="0"/>
        <w:widowControl w:val="0"/>
        <w:kinsoku/>
        <w:wordWrap/>
        <w:overflowPunct/>
        <w:topLinePunct w:val="0"/>
        <w:autoSpaceDE/>
        <w:autoSpaceDN/>
        <w:bidi w:val="0"/>
        <w:adjustRightInd w:val="0"/>
        <w:snapToGrid w:val="0"/>
        <w:spacing w:line="360" w:lineRule="auto"/>
        <w:ind w:left="4" w:right="2" w:firstLine="484" w:firstLineChars="200"/>
        <w:textAlignment w:val="auto"/>
        <w:rPr>
          <w:rFonts w:hint="eastAsia" w:ascii="宋体" w:hAnsi="宋体" w:eastAsia="宋体" w:cs="宋体"/>
          <w:color w:val="auto"/>
          <w:spacing w:val="1"/>
          <w:sz w:val="24"/>
          <w:szCs w:val="24"/>
          <w:highlight w:val="none"/>
        </w:rPr>
      </w:pPr>
    </w:p>
    <w:p w14:paraId="1AB53E03">
      <w:pPr>
        <w:keepNext w:val="0"/>
        <w:keepLines w:val="0"/>
        <w:pageBreakBefore w:val="0"/>
        <w:widowControl w:val="0"/>
        <w:kinsoku/>
        <w:wordWrap/>
        <w:overflowPunct/>
        <w:topLinePunct w:val="0"/>
        <w:autoSpaceDE/>
        <w:autoSpaceDN/>
        <w:bidi w:val="0"/>
        <w:adjustRightInd w:val="0"/>
        <w:snapToGrid w:val="0"/>
        <w:spacing w:line="360" w:lineRule="auto"/>
        <w:ind w:left="4" w:right="2" w:firstLine="484" w:firstLineChars="200"/>
        <w:jc w:val="center"/>
        <w:textAlignment w:val="auto"/>
        <w:rPr>
          <w:rFonts w:hint="eastAsia" w:ascii="宋体" w:hAnsi="宋体" w:eastAsia="宋体" w:cs="宋体"/>
          <w:color w:val="auto"/>
          <w:spacing w:val="1"/>
          <w:sz w:val="24"/>
          <w:szCs w:val="24"/>
          <w:highlight w:val="none"/>
        </w:rPr>
      </w:pPr>
    </w:p>
    <w:p w14:paraId="5F2E1284">
      <w:pPr>
        <w:keepNext w:val="0"/>
        <w:keepLines w:val="0"/>
        <w:pageBreakBefore w:val="0"/>
        <w:widowControl w:val="0"/>
        <w:kinsoku/>
        <w:wordWrap/>
        <w:overflowPunct/>
        <w:topLinePunct w:val="0"/>
        <w:autoSpaceDE/>
        <w:autoSpaceDN/>
        <w:bidi w:val="0"/>
        <w:adjustRightInd w:val="0"/>
        <w:snapToGrid w:val="0"/>
        <w:spacing w:line="360" w:lineRule="auto"/>
        <w:ind w:left="4" w:right="2" w:firstLine="476" w:firstLineChars="200"/>
        <w:jc w:val="center"/>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签订地点：广西自贸区钦州港片区</w:t>
      </w:r>
    </w:p>
    <w:p w14:paraId="47C82A20">
      <w:pPr>
        <w:keepNext w:val="0"/>
        <w:keepLines w:val="0"/>
        <w:pageBreakBefore w:val="0"/>
        <w:widowControl/>
        <w:kinsoku/>
        <w:wordWrap/>
        <w:overflowPunct w:val="0"/>
        <w:topLinePunct w:val="0"/>
        <w:autoSpaceDE w:val="0"/>
        <w:autoSpaceDN w:val="0"/>
        <w:bidi w:val="0"/>
        <w:adjustRightInd w:val="0"/>
        <w:snapToGrid w:val="0"/>
        <w:spacing w:line="360" w:lineRule="auto"/>
        <w:ind w:left="4" w:right="2" w:firstLine="460" w:firstLineChars="200"/>
        <w:textAlignment w:val="auto"/>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rPr>
        <w:t xml:space="preserve">签订时间：   年   月   日      </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5"/>
          <w:sz w:val="24"/>
          <w:szCs w:val="24"/>
          <w:highlight w:val="none"/>
        </w:rPr>
        <w:t xml:space="preserve"> 签订时间：   年   月   日</w:t>
      </w:r>
    </w:p>
    <w:sectPr>
      <w:headerReference r:id="rId10" w:type="default"/>
      <w:footerReference r:id="rId11"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82421">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233A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0233A6">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7B2E">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C210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CC210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E698">
    <w:pPr>
      <w:pStyle w:val="11"/>
      <w:spacing w:line="231" w:lineRule="auto"/>
      <w:ind w:left="5268"/>
      <w:rPr>
        <w:sz w:val="18"/>
        <w:szCs w:val="18"/>
      </w:rPr>
    </w:pPr>
    <w:r>
      <w:rPr>
        <w:spacing w:val="-7"/>
        <w:sz w:val="18"/>
        <w:szCs w:val="18"/>
      </w:rPr>
      <w:t>第</w:t>
    </w:r>
    <w:r>
      <w:rPr>
        <w:spacing w:val="5"/>
        <w:sz w:val="18"/>
        <w:szCs w:val="18"/>
      </w:rPr>
      <w:t xml:space="preserve"> </w:t>
    </w:r>
    <w:r>
      <w:rPr>
        <w:rFonts w:ascii="Times New Roman" w:hAnsi="Times New Roman" w:eastAsia="Times New Roman" w:cs="Times New Roman"/>
        <w:spacing w:val="-7"/>
        <w:sz w:val="18"/>
        <w:szCs w:val="18"/>
      </w:rPr>
      <w:t xml:space="preserve">1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92A97">
    <w:pPr>
      <w:pStyle w:val="11"/>
      <w:spacing w:line="231" w:lineRule="auto"/>
      <w:ind w:left="3884"/>
      <w:rPr>
        <w:sz w:val="18"/>
        <w:szCs w:val="18"/>
      </w:rPr>
    </w:pPr>
    <w:r>
      <w:rPr>
        <w:spacing w:val="-7"/>
        <w:sz w:val="18"/>
        <w:szCs w:val="18"/>
      </w:rPr>
      <w:t xml:space="preserve">第 </w:t>
    </w:r>
    <w:r>
      <w:rPr>
        <w:rFonts w:ascii="Times New Roman" w:hAnsi="Times New Roman" w:eastAsia="Times New Roman" w:cs="Times New Roman"/>
        <w:spacing w:val="-7"/>
        <w:sz w:val="18"/>
        <w:szCs w:val="18"/>
      </w:rPr>
      <w:t>3</w:t>
    </w:r>
    <w:r>
      <w:rPr>
        <w:rFonts w:ascii="Times New Roman" w:hAnsi="Times New Roman" w:eastAsia="Times New Roman" w:cs="Times New Roman"/>
        <w:spacing w:val="43"/>
        <w:sz w:val="18"/>
        <w:szCs w:val="18"/>
      </w:rPr>
      <w:t xml:space="preserve"> </w:t>
    </w:r>
    <w:r>
      <w:rPr>
        <w:spacing w:val="-7"/>
        <w:sz w:val="18"/>
        <w:szCs w:val="18"/>
      </w:rPr>
      <w:t xml:space="preserve">页 共 </w:t>
    </w:r>
    <w:r>
      <w:rPr>
        <w:rFonts w:ascii="Times New Roman" w:hAnsi="Times New Roman" w:eastAsia="Times New Roman" w:cs="Times New Roman"/>
        <w:spacing w:val="-7"/>
        <w:sz w:val="18"/>
        <w:szCs w:val="18"/>
      </w:rPr>
      <w:t xml:space="preserve">13  </w:t>
    </w:r>
    <w:r>
      <w:rPr>
        <w:spacing w:val="-7"/>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DDF66">
    <w:pPr>
      <w:pStyle w:val="11"/>
      <w:spacing w:line="231" w:lineRule="auto"/>
      <w:ind w:left="3833"/>
      <w:rPr>
        <w:sz w:val="18"/>
        <w:szCs w:val="18"/>
      </w:rPr>
    </w:pPr>
    <w:r>
      <w:rPr>
        <w:spacing w:val="-9"/>
        <w:sz w:val="18"/>
        <w:szCs w:val="18"/>
      </w:rPr>
      <w:t>第</w:t>
    </w:r>
    <w:r>
      <w:rPr>
        <w:spacing w:val="1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39"/>
        <w:sz w:val="18"/>
        <w:szCs w:val="18"/>
      </w:rPr>
      <w:t xml:space="preserve"> </w:t>
    </w:r>
    <w:r>
      <w:rPr>
        <w:spacing w:val="-9"/>
        <w:sz w:val="18"/>
        <w:szCs w:val="18"/>
      </w:rPr>
      <w:t>页 共</w:t>
    </w:r>
    <w:r>
      <w:rPr>
        <w:spacing w:val="5"/>
        <w:sz w:val="18"/>
        <w:szCs w:val="18"/>
      </w:rPr>
      <w:t xml:space="preserve"> </w:t>
    </w:r>
    <w:r>
      <w:rPr>
        <w:rFonts w:ascii="Times New Roman" w:hAnsi="Times New Roman" w:eastAsia="Times New Roman" w:cs="Times New Roman"/>
        <w:spacing w:val="-9"/>
        <w:sz w:val="18"/>
        <w:szCs w:val="18"/>
      </w:rPr>
      <w:t xml:space="preserve">13  </w:t>
    </w:r>
    <w:r>
      <w:rPr>
        <w:spacing w:val="-9"/>
        <w:sz w:val="18"/>
        <w:szCs w:val="18"/>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5ACDB">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019F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534019F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9B707">
    <w:pPr>
      <w:spacing w:before="16" w:line="174" w:lineRule="auto"/>
      <w:ind w:right="24"/>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4C8F9">
    <w:pPr>
      <w:spacing w:before="16" w:line="174" w:lineRule="auto"/>
      <w:jc w:val="right"/>
      <w:rPr>
        <w:rFonts w:ascii="Times New Roman" w:hAnsi="Times New Roman" w:eastAsia="Times New Roman" w:cs="Times New Roman"/>
        <w:sz w:val="18"/>
        <w:szCs w:val="18"/>
      </w:rPr>
    </w:pPr>
    <w:r>
      <w:rPr>
        <w:rFonts w:ascii="宋体" w:hAnsi="宋体" w:eastAsia="宋体" w:cs="宋体"/>
        <w:sz w:val="18"/>
        <w:szCs w:val="18"/>
      </w:rPr>
      <w:t>合同编码：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B9AB8">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755337A"/>
    <w:multiLevelType w:val="singleLevel"/>
    <w:tmpl w:val="9755337A"/>
    <w:lvl w:ilvl="0" w:tentative="0">
      <w:start w:val="1"/>
      <w:numFmt w:val="decimal"/>
      <w:suff w:val="nothing"/>
      <w:lvlText w:val="（%1）"/>
      <w:lvlJc w:val="left"/>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F2E3E6DF"/>
    <w:multiLevelType w:val="singleLevel"/>
    <w:tmpl w:val="F2E3E6D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5MDRkN2UyZWU2ZmU4NGE1YjI3ZDQ0MWRkNzEyYzk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7D10D2"/>
    <w:rsid w:val="02CD67D2"/>
    <w:rsid w:val="02DB5955"/>
    <w:rsid w:val="02FD74D4"/>
    <w:rsid w:val="030A43DB"/>
    <w:rsid w:val="033C11D8"/>
    <w:rsid w:val="035641C4"/>
    <w:rsid w:val="03604CAA"/>
    <w:rsid w:val="036A4F1F"/>
    <w:rsid w:val="038B47A5"/>
    <w:rsid w:val="039247BD"/>
    <w:rsid w:val="03A03587"/>
    <w:rsid w:val="03A65568"/>
    <w:rsid w:val="03B7546F"/>
    <w:rsid w:val="03BA5B02"/>
    <w:rsid w:val="03CB1065"/>
    <w:rsid w:val="03D210FC"/>
    <w:rsid w:val="03D42065"/>
    <w:rsid w:val="03ED7150"/>
    <w:rsid w:val="03F352D2"/>
    <w:rsid w:val="0417795F"/>
    <w:rsid w:val="044E5E4A"/>
    <w:rsid w:val="04501B95"/>
    <w:rsid w:val="049104C4"/>
    <w:rsid w:val="04D65B48"/>
    <w:rsid w:val="04D878A9"/>
    <w:rsid w:val="04DC1B79"/>
    <w:rsid w:val="05214488"/>
    <w:rsid w:val="053628E9"/>
    <w:rsid w:val="054A6494"/>
    <w:rsid w:val="05555183"/>
    <w:rsid w:val="05A017DF"/>
    <w:rsid w:val="05DD2775"/>
    <w:rsid w:val="05FEDE97"/>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6923A0"/>
    <w:rsid w:val="088E7380"/>
    <w:rsid w:val="08A25D65"/>
    <w:rsid w:val="08AF5390"/>
    <w:rsid w:val="08CA553B"/>
    <w:rsid w:val="08F7532E"/>
    <w:rsid w:val="092330B8"/>
    <w:rsid w:val="09393854"/>
    <w:rsid w:val="09560051"/>
    <w:rsid w:val="0957698D"/>
    <w:rsid w:val="095920CF"/>
    <w:rsid w:val="098715B8"/>
    <w:rsid w:val="09991889"/>
    <w:rsid w:val="0999550E"/>
    <w:rsid w:val="09CE6744"/>
    <w:rsid w:val="09EF20F3"/>
    <w:rsid w:val="09F938DF"/>
    <w:rsid w:val="0A135D35"/>
    <w:rsid w:val="0A875AA6"/>
    <w:rsid w:val="0A93392A"/>
    <w:rsid w:val="0A9C2B56"/>
    <w:rsid w:val="0AD74629"/>
    <w:rsid w:val="0B061635"/>
    <w:rsid w:val="0B0D7385"/>
    <w:rsid w:val="0B495DBA"/>
    <w:rsid w:val="0B4F0EB0"/>
    <w:rsid w:val="0B7179DC"/>
    <w:rsid w:val="0C163BB6"/>
    <w:rsid w:val="0C2639B5"/>
    <w:rsid w:val="0C2E124D"/>
    <w:rsid w:val="0C897DF8"/>
    <w:rsid w:val="0C94337F"/>
    <w:rsid w:val="0CA33AF7"/>
    <w:rsid w:val="0CAB1B12"/>
    <w:rsid w:val="0CC7252F"/>
    <w:rsid w:val="0CCA6F1A"/>
    <w:rsid w:val="0CD80FB6"/>
    <w:rsid w:val="0CDB634D"/>
    <w:rsid w:val="0D2640FB"/>
    <w:rsid w:val="0D5D5AC8"/>
    <w:rsid w:val="0DAD282A"/>
    <w:rsid w:val="0DCD73D4"/>
    <w:rsid w:val="0DE84494"/>
    <w:rsid w:val="0E0C387F"/>
    <w:rsid w:val="0E157483"/>
    <w:rsid w:val="0E74127F"/>
    <w:rsid w:val="0E9C2040"/>
    <w:rsid w:val="0EAC460C"/>
    <w:rsid w:val="0EB473DE"/>
    <w:rsid w:val="0F31498D"/>
    <w:rsid w:val="0F534060"/>
    <w:rsid w:val="0F6404D7"/>
    <w:rsid w:val="0F75172D"/>
    <w:rsid w:val="0F906D7B"/>
    <w:rsid w:val="0FDC333D"/>
    <w:rsid w:val="0FEC7044"/>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706EDE"/>
    <w:rsid w:val="118E286E"/>
    <w:rsid w:val="11A85C5E"/>
    <w:rsid w:val="11B14F44"/>
    <w:rsid w:val="11D45567"/>
    <w:rsid w:val="123C45D4"/>
    <w:rsid w:val="12516365"/>
    <w:rsid w:val="125838F7"/>
    <w:rsid w:val="12924115"/>
    <w:rsid w:val="130D010A"/>
    <w:rsid w:val="13622204"/>
    <w:rsid w:val="138758AD"/>
    <w:rsid w:val="14162842"/>
    <w:rsid w:val="14443604"/>
    <w:rsid w:val="14492D94"/>
    <w:rsid w:val="144C726A"/>
    <w:rsid w:val="14516A37"/>
    <w:rsid w:val="147075B1"/>
    <w:rsid w:val="14A34D88"/>
    <w:rsid w:val="14C602DB"/>
    <w:rsid w:val="14D473D9"/>
    <w:rsid w:val="14DA26BB"/>
    <w:rsid w:val="14E95E62"/>
    <w:rsid w:val="150D5DD3"/>
    <w:rsid w:val="155415AA"/>
    <w:rsid w:val="15627EDD"/>
    <w:rsid w:val="158D5A96"/>
    <w:rsid w:val="159B231F"/>
    <w:rsid w:val="15B658CF"/>
    <w:rsid w:val="162C5573"/>
    <w:rsid w:val="163F084C"/>
    <w:rsid w:val="167772FE"/>
    <w:rsid w:val="16A73FF1"/>
    <w:rsid w:val="16CA640B"/>
    <w:rsid w:val="16CE2DF1"/>
    <w:rsid w:val="17286BD3"/>
    <w:rsid w:val="175244AC"/>
    <w:rsid w:val="175F32E3"/>
    <w:rsid w:val="176A0626"/>
    <w:rsid w:val="176A6CA5"/>
    <w:rsid w:val="176B3553"/>
    <w:rsid w:val="179C3018"/>
    <w:rsid w:val="17BC51A7"/>
    <w:rsid w:val="17C148DE"/>
    <w:rsid w:val="17E22F5C"/>
    <w:rsid w:val="17EE5248"/>
    <w:rsid w:val="18617C01"/>
    <w:rsid w:val="188A2BDA"/>
    <w:rsid w:val="189C4D3A"/>
    <w:rsid w:val="18A81AF8"/>
    <w:rsid w:val="18BE0646"/>
    <w:rsid w:val="18DA1C61"/>
    <w:rsid w:val="18EF1C33"/>
    <w:rsid w:val="18FA3E66"/>
    <w:rsid w:val="1910640B"/>
    <w:rsid w:val="194F5560"/>
    <w:rsid w:val="19BC275F"/>
    <w:rsid w:val="19BF644E"/>
    <w:rsid w:val="19D84033"/>
    <w:rsid w:val="1A206975"/>
    <w:rsid w:val="1A22137A"/>
    <w:rsid w:val="1A5F04E9"/>
    <w:rsid w:val="1A6223BF"/>
    <w:rsid w:val="1A6D4B8A"/>
    <w:rsid w:val="1A787E71"/>
    <w:rsid w:val="1A802718"/>
    <w:rsid w:val="1AAA29E0"/>
    <w:rsid w:val="1AAE5637"/>
    <w:rsid w:val="1AB62EC5"/>
    <w:rsid w:val="1AD36D55"/>
    <w:rsid w:val="1AE07CCB"/>
    <w:rsid w:val="1AE62938"/>
    <w:rsid w:val="1AF01232"/>
    <w:rsid w:val="1B254619"/>
    <w:rsid w:val="1B3072A4"/>
    <w:rsid w:val="1B3A39A7"/>
    <w:rsid w:val="1BA442B5"/>
    <w:rsid w:val="1BAA59F9"/>
    <w:rsid w:val="1BB30052"/>
    <w:rsid w:val="1BE624A8"/>
    <w:rsid w:val="1C00404F"/>
    <w:rsid w:val="1C0D36BB"/>
    <w:rsid w:val="1C2503CF"/>
    <w:rsid w:val="1C362498"/>
    <w:rsid w:val="1C3A461F"/>
    <w:rsid w:val="1C583DAC"/>
    <w:rsid w:val="1C735BE1"/>
    <w:rsid w:val="1C7F25A2"/>
    <w:rsid w:val="1C875E9B"/>
    <w:rsid w:val="1C98087D"/>
    <w:rsid w:val="1C99577A"/>
    <w:rsid w:val="1C9A1E10"/>
    <w:rsid w:val="1CD42935"/>
    <w:rsid w:val="1D1F5A7B"/>
    <w:rsid w:val="1D5F4C18"/>
    <w:rsid w:val="1DA510CB"/>
    <w:rsid w:val="1E2C177F"/>
    <w:rsid w:val="1E2C54FA"/>
    <w:rsid w:val="1E553EB9"/>
    <w:rsid w:val="1EE70AC7"/>
    <w:rsid w:val="1EF652E1"/>
    <w:rsid w:val="1F2B0E21"/>
    <w:rsid w:val="1F793F7F"/>
    <w:rsid w:val="1F836367"/>
    <w:rsid w:val="1F861028"/>
    <w:rsid w:val="1FA2571F"/>
    <w:rsid w:val="20096994"/>
    <w:rsid w:val="203F4E58"/>
    <w:rsid w:val="205A54F3"/>
    <w:rsid w:val="209B5EA0"/>
    <w:rsid w:val="20B31DCB"/>
    <w:rsid w:val="21077AA6"/>
    <w:rsid w:val="21093804"/>
    <w:rsid w:val="21197F58"/>
    <w:rsid w:val="213E6A79"/>
    <w:rsid w:val="21412074"/>
    <w:rsid w:val="214460C3"/>
    <w:rsid w:val="216D5F5C"/>
    <w:rsid w:val="216E62F3"/>
    <w:rsid w:val="21916B6D"/>
    <w:rsid w:val="21A64B78"/>
    <w:rsid w:val="21B13D1D"/>
    <w:rsid w:val="21C6480C"/>
    <w:rsid w:val="21CA55C5"/>
    <w:rsid w:val="2204269B"/>
    <w:rsid w:val="221513C5"/>
    <w:rsid w:val="22226C03"/>
    <w:rsid w:val="22387007"/>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64046C"/>
    <w:rsid w:val="2578548A"/>
    <w:rsid w:val="25C71449"/>
    <w:rsid w:val="25F215F0"/>
    <w:rsid w:val="26942D28"/>
    <w:rsid w:val="269770B2"/>
    <w:rsid w:val="26A36451"/>
    <w:rsid w:val="26E266C1"/>
    <w:rsid w:val="26E97F45"/>
    <w:rsid w:val="270B4023"/>
    <w:rsid w:val="27157D02"/>
    <w:rsid w:val="27656324"/>
    <w:rsid w:val="27870264"/>
    <w:rsid w:val="27E259BA"/>
    <w:rsid w:val="281C077C"/>
    <w:rsid w:val="28225248"/>
    <w:rsid w:val="28CD6169"/>
    <w:rsid w:val="28EC413F"/>
    <w:rsid w:val="290E5506"/>
    <w:rsid w:val="2914373E"/>
    <w:rsid w:val="291E415D"/>
    <w:rsid w:val="295E666C"/>
    <w:rsid w:val="29612030"/>
    <w:rsid w:val="298160F4"/>
    <w:rsid w:val="299037CC"/>
    <w:rsid w:val="29A72D49"/>
    <w:rsid w:val="29D04CEC"/>
    <w:rsid w:val="29E0554E"/>
    <w:rsid w:val="29F31A76"/>
    <w:rsid w:val="29F83C15"/>
    <w:rsid w:val="2A04591E"/>
    <w:rsid w:val="2A4076CF"/>
    <w:rsid w:val="2A721527"/>
    <w:rsid w:val="2A747086"/>
    <w:rsid w:val="2A9F138C"/>
    <w:rsid w:val="2ADA6A24"/>
    <w:rsid w:val="2AF56E78"/>
    <w:rsid w:val="2B151288"/>
    <w:rsid w:val="2B2758B4"/>
    <w:rsid w:val="2B5B1A54"/>
    <w:rsid w:val="2B8F6A94"/>
    <w:rsid w:val="2BAC2952"/>
    <w:rsid w:val="2BE227E0"/>
    <w:rsid w:val="2BE97109"/>
    <w:rsid w:val="2C0D620D"/>
    <w:rsid w:val="2C71322A"/>
    <w:rsid w:val="2C9222B2"/>
    <w:rsid w:val="2CC72354"/>
    <w:rsid w:val="2CE17AF6"/>
    <w:rsid w:val="2D0E3DF0"/>
    <w:rsid w:val="2D562DA3"/>
    <w:rsid w:val="2D814792"/>
    <w:rsid w:val="2D881545"/>
    <w:rsid w:val="2DA61B83"/>
    <w:rsid w:val="2DD16068"/>
    <w:rsid w:val="2E1F3B87"/>
    <w:rsid w:val="2E275983"/>
    <w:rsid w:val="2E5C30C4"/>
    <w:rsid w:val="2EAA2414"/>
    <w:rsid w:val="2EB11F33"/>
    <w:rsid w:val="2EC914F5"/>
    <w:rsid w:val="2EED037D"/>
    <w:rsid w:val="2EF45034"/>
    <w:rsid w:val="2EFA7BAE"/>
    <w:rsid w:val="2F0D4219"/>
    <w:rsid w:val="2F1858E6"/>
    <w:rsid w:val="2F304F2B"/>
    <w:rsid w:val="2F481357"/>
    <w:rsid w:val="2F4A12EC"/>
    <w:rsid w:val="2F5D6B4A"/>
    <w:rsid w:val="2FBF45A3"/>
    <w:rsid w:val="2FD54191"/>
    <w:rsid w:val="2FF8776F"/>
    <w:rsid w:val="30343CBE"/>
    <w:rsid w:val="30352292"/>
    <w:rsid w:val="303E4FA7"/>
    <w:rsid w:val="3057388E"/>
    <w:rsid w:val="30713E31"/>
    <w:rsid w:val="309F7328"/>
    <w:rsid w:val="30C01803"/>
    <w:rsid w:val="30C86B09"/>
    <w:rsid w:val="30E03C78"/>
    <w:rsid w:val="31737A8A"/>
    <w:rsid w:val="31764968"/>
    <w:rsid w:val="31A4454E"/>
    <w:rsid w:val="31DE7DDE"/>
    <w:rsid w:val="31EF7C74"/>
    <w:rsid w:val="32235819"/>
    <w:rsid w:val="3248763B"/>
    <w:rsid w:val="32601A95"/>
    <w:rsid w:val="32680FEB"/>
    <w:rsid w:val="33775B8F"/>
    <w:rsid w:val="33C21F16"/>
    <w:rsid w:val="33C431D8"/>
    <w:rsid w:val="34117686"/>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9A6683"/>
    <w:rsid w:val="36A327A8"/>
    <w:rsid w:val="37381822"/>
    <w:rsid w:val="376818C6"/>
    <w:rsid w:val="3784008B"/>
    <w:rsid w:val="37897A11"/>
    <w:rsid w:val="37935872"/>
    <w:rsid w:val="37AF1DE5"/>
    <w:rsid w:val="37EA44E4"/>
    <w:rsid w:val="381E3B03"/>
    <w:rsid w:val="382F1738"/>
    <w:rsid w:val="38365A26"/>
    <w:rsid w:val="38504E49"/>
    <w:rsid w:val="38587290"/>
    <w:rsid w:val="389D7EB4"/>
    <w:rsid w:val="38B5247B"/>
    <w:rsid w:val="38BF72DD"/>
    <w:rsid w:val="38EE2D91"/>
    <w:rsid w:val="390126DC"/>
    <w:rsid w:val="390D6580"/>
    <w:rsid w:val="391D3D3D"/>
    <w:rsid w:val="39230C42"/>
    <w:rsid w:val="3A1A7CBB"/>
    <w:rsid w:val="3A1D0C5F"/>
    <w:rsid w:val="3A206D7B"/>
    <w:rsid w:val="3A416AF3"/>
    <w:rsid w:val="3A4F17D2"/>
    <w:rsid w:val="3A8C68EF"/>
    <w:rsid w:val="3AA1056B"/>
    <w:rsid w:val="3AC871CA"/>
    <w:rsid w:val="3AFE5054"/>
    <w:rsid w:val="3B1309D9"/>
    <w:rsid w:val="3B1C043E"/>
    <w:rsid w:val="3B5D5507"/>
    <w:rsid w:val="3B7207E0"/>
    <w:rsid w:val="3B80764B"/>
    <w:rsid w:val="3BB373DD"/>
    <w:rsid w:val="3BF36809"/>
    <w:rsid w:val="3BFE6763"/>
    <w:rsid w:val="3C14431E"/>
    <w:rsid w:val="3C3B7C3D"/>
    <w:rsid w:val="3C4E5AE1"/>
    <w:rsid w:val="3C7F0083"/>
    <w:rsid w:val="3CC331B2"/>
    <w:rsid w:val="3CDA47D1"/>
    <w:rsid w:val="3CDB1427"/>
    <w:rsid w:val="3CDB2CBE"/>
    <w:rsid w:val="3D983929"/>
    <w:rsid w:val="3DC634B9"/>
    <w:rsid w:val="3E025954"/>
    <w:rsid w:val="3E074FEE"/>
    <w:rsid w:val="3E22491F"/>
    <w:rsid w:val="3E2855B5"/>
    <w:rsid w:val="3E311C5D"/>
    <w:rsid w:val="3E4206EC"/>
    <w:rsid w:val="3E670DCC"/>
    <w:rsid w:val="3E6C1E26"/>
    <w:rsid w:val="3E8F57BC"/>
    <w:rsid w:val="3EC07CB0"/>
    <w:rsid w:val="3ED34E21"/>
    <w:rsid w:val="3EE12565"/>
    <w:rsid w:val="3EF76A45"/>
    <w:rsid w:val="3EFD2B92"/>
    <w:rsid w:val="3F27385C"/>
    <w:rsid w:val="3F305F4A"/>
    <w:rsid w:val="3F431AA8"/>
    <w:rsid w:val="3F704656"/>
    <w:rsid w:val="3F995A6D"/>
    <w:rsid w:val="3F9F6646"/>
    <w:rsid w:val="3FC95E0D"/>
    <w:rsid w:val="3FDC1598"/>
    <w:rsid w:val="3FE8556D"/>
    <w:rsid w:val="3FF5495A"/>
    <w:rsid w:val="40091F67"/>
    <w:rsid w:val="40142622"/>
    <w:rsid w:val="401D3D65"/>
    <w:rsid w:val="401F1903"/>
    <w:rsid w:val="403C26D2"/>
    <w:rsid w:val="403E0ADE"/>
    <w:rsid w:val="40421178"/>
    <w:rsid w:val="40D40A3D"/>
    <w:rsid w:val="40E73CA3"/>
    <w:rsid w:val="40F74DC4"/>
    <w:rsid w:val="416D0A93"/>
    <w:rsid w:val="416F34E5"/>
    <w:rsid w:val="41C35FA3"/>
    <w:rsid w:val="41D177C9"/>
    <w:rsid w:val="41FC51CB"/>
    <w:rsid w:val="42000DBB"/>
    <w:rsid w:val="420B40EC"/>
    <w:rsid w:val="42220C18"/>
    <w:rsid w:val="424937EF"/>
    <w:rsid w:val="426233F1"/>
    <w:rsid w:val="42AD2876"/>
    <w:rsid w:val="42B9377B"/>
    <w:rsid w:val="42BA6A28"/>
    <w:rsid w:val="42D41D58"/>
    <w:rsid w:val="430624C6"/>
    <w:rsid w:val="43682CA2"/>
    <w:rsid w:val="43757569"/>
    <w:rsid w:val="439D06E0"/>
    <w:rsid w:val="43AE69E2"/>
    <w:rsid w:val="43BF7C98"/>
    <w:rsid w:val="43D93E6B"/>
    <w:rsid w:val="43E70AB2"/>
    <w:rsid w:val="43E87B28"/>
    <w:rsid w:val="43F57082"/>
    <w:rsid w:val="43F71712"/>
    <w:rsid w:val="440F199A"/>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6D0E79"/>
    <w:rsid w:val="47795A1B"/>
    <w:rsid w:val="47904D47"/>
    <w:rsid w:val="47B44A8B"/>
    <w:rsid w:val="47B57636"/>
    <w:rsid w:val="47BB6E7E"/>
    <w:rsid w:val="47D25D21"/>
    <w:rsid w:val="47EA265E"/>
    <w:rsid w:val="47FD42B6"/>
    <w:rsid w:val="48052E59"/>
    <w:rsid w:val="4819438A"/>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364614"/>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55B05"/>
    <w:rsid w:val="4C1D08F9"/>
    <w:rsid w:val="4C40574E"/>
    <w:rsid w:val="4C5A28C7"/>
    <w:rsid w:val="4C6A724D"/>
    <w:rsid w:val="4C7E0836"/>
    <w:rsid w:val="4C8042E4"/>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6B6EC7"/>
    <w:rsid w:val="4F7312EE"/>
    <w:rsid w:val="4F8F3473"/>
    <w:rsid w:val="4FB43CBE"/>
    <w:rsid w:val="4FE0147F"/>
    <w:rsid w:val="50C06D1F"/>
    <w:rsid w:val="50EF0D5D"/>
    <w:rsid w:val="50FC56A3"/>
    <w:rsid w:val="51005CCB"/>
    <w:rsid w:val="51095EB7"/>
    <w:rsid w:val="51173C66"/>
    <w:rsid w:val="51513818"/>
    <w:rsid w:val="517E1B7C"/>
    <w:rsid w:val="51997656"/>
    <w:rsid w:val="51D12E85"/>
    <w:rsid w:val="51EF7715"/>
    <w:rsid w:val="52006FED"/>
    <w:rsid w:val="52007258"/>
    <w:rsid w:val="52496CF3"/>
    <w:rsid w:val="5255726A"/>
    <w:rsid w:val="525F64D2"/>
    <w:rsid w:val="52696687"/>
    <w:rsid w:val="52750578"/>
    <w:rsid w:val="52874BD3"/>
    <w:rsid w:val="52937F09"/>
    <w:rsid w:val="52A74AA4"/>
    <w:rsid w:val="52CF3507"/>
    <w:rsid w:val="52E266E0"/>
    <w:rsid w:val="52E67553"/>
    <w:rsid w:val="52F074FA"/>
    <w:rsid w:val="530A2FBB"/>
    <w:rsid w:val="53444042"/>
    <w:rsid w:val="53601D0A"/>
    <w:rsid w:val="53A65241"/>
    <w:rsid w:val="53EC783E"/>
    <w:rsid w:val="540A7D6B"/>
    <w:rsid w:val="541C5D33"/>
    <w:rsid w:val="541E0068"/>
    <w:rsid w:val="542354A4"/>
    <w:rsid w:val="544401CA"/>
    <w:rsid w:val="546A089D"/>
    <w:rsid w:val="546F445C"/>
    <w:rsid w:val="547F1CDB"/>
    <w:rsid w:val="54BB11F8"/>
    <w:rsid w:val="54BD65BD"/>
    <w:rsid w:val="54DB4C0A"/>
    <w:rsid w:val="54EBC516"/>
    <w:rsid w:val="54F1073A"/>
    <w:rsid w:val="54F358D6"/>
    <w:rsid w:val="55164B83"/>
    <w:rsid w:val="553E06E6"/>
    <w:rsid w:val="555179AA"/>
    <w:rsid w:val="55532FD3"/>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C30E26"/>
    <w:rsid w:val="58C72622"/>
    <w:rsid w:val="58D033F2"/>
    <w:rsid w:val="5933411F"/>
    <w:rsid w:val="59483BF5"/>
    <w:rsid w:val="59606B30"/>
    <w:rsid w:val="59A74984"/>
    <w:rsid w:val="5A476828"/>
    <w:rsid w:val="5A6A261F"/>
    <w:rsid w:val="5AA27C43"/>
    <w:rsid w:val="5AA32DC5"/>
    <w:rsid w:val="5AD13727"/>
    <w:rsid w:val="5B0171D9"/>
    <w:rsid w:val="5B031993"/>
    <w:rsid w:val="5B060A16"/>
    <w:rsid w:val="5B0E4D86"/>
    <w:rsid w:val="5B3160A7"/>
    <w:rsid w:val="5B4C5C02"/>
    <w:rsid w:val="5B5318AF"/>
    <w:rsid w:val="5B881C80"/>
    <w:rsid w:val="5BA902E9"/>
    <w:rsid w:val="5BA94D74"/>
    <w:rsid w:val="5BBB2BB0"/>
    <w:rsid w:val="5BFB3952"/>
    <w:rsid w:val="5C0476C3"/>
    <w:rsid w:val="5C324AB7"/>
    <w:rsid w:val="5C484E58"/>
    <w:rsid w:val="5C6137C8"/>
    <w:rsid w:val="5C725F5D"/>
    <w:rsid w:val="5C8C5A76"/>
    <w:rsid w:val="5CE255E1"/>
    <w:rsid w:val="5CEB086F"/>
    <w:rsid w:val="5CFF4A9D"/>
    <w:rsid w:val="5D1A67DC"/>
    <w:rsid w:val="5D2907BD"/>
    <w:rsid w:val="5D5E786D"/>
    <w:rsid w:val="5DD90EAC"/>
    <w:rsid w:val="5DF92D85"/>
    <w:rsid w:val="5E007D69"/>
    <w:rsid w:val="5E0400DD"/>
    <w:rsid w:val="5E544A4C"/>
    <w:rsid w:val="5E6827D5"/>
    <w:rsid w:val="5E7F7D22"/>
    <w:rsid w:val="5EC01341"/>
    <w:rsid w:val="5EC6544C"/>
    <w:rsid w:val="5F0454F9"/>
    <w:rsid w:val="5F316B07"/>
    <w:rsid w:val="5F507BA7"/>
    <w:rsid w:val="5F7E34EF"/>
    <w:rsid w:val="5F7E37C9"/>
    <w:rsid w:val="5F9F13B6"/>
    <w:rsid w:val="5FEE7037"/>
    <w:rsid w:val="5FF426CA"/>
    <w:rsid w:val="601302A4"/>
    <w:rsid w:val="601E0974"/>
    <w:rsid w:val="6020197C"/>
    <w:rsid w:val="60345EA6"/>
    <w:rsid w:val="6037271C"/>
    <w:rsid w:val="603D06A3"/>
    <w:rsid w:val="605D19BA"/>
    <w:rsid w:val="60665514"/>
    <w:rsid w:val="607423E6"/>
    <w:rsid w:val="608E3A3D"/>
    <w:rsid w:val="609845C3"/>
    <w:rsid w:val="609C7A5A"/>
    <w:rsid w:val="60D54007"/>
    <w:rsid w:val="60D84E9F"/>
    <w:rsid w:val="6107716D"/>
    <w:rsid w:val="610C1745"/>
    <w:rsid w:val="61770B20"/>
    <w:rsid w:val="61927868"/>
    <w:rsid w:val="61961B3E"/>
    <w:rsid w:val="61B83291"/>
    <w:rsid w:val="61CB5160"/>
    <w:rsid w:val="61FB69A8"/>
    <w:rsid w:val="621F1B17"/>
    <w:rsid w:val="622D3289"/>
    <w:rsid w:val="6266219C"/>
    <w:rsid w:val="62750475"/>
    <w:rsid w:val="627546ED"/>
    <w:rsid w:val="628257DF"/>
    <w:rsid w:val="629F008B"/>
    <w:rsid w:val="62C26F2D"/>
    <w:rsid w:val="62C35090"/>
    <w:rsid w:val="62D939A2"/>
    <w:rsid w:val="62E04931"/>
    <w:rsid w:val="63233B50"/>
    <w:rsid w:val="63301CF5"/>
    <w:rsid w:val="635B4DD7"/>
    <w:rsid w:val="63665830"/>
    <w:rsid w:val="64284052"/>
    <w:rsid w:val="6429099E"/>
    <w:rsid w:val="644F1948"/>
    <w:rsid w:val="64522447"/>
    <w:rsid w:val="647555F7"/>
    <w:rsid w:val="647B3309"/>
    <w:rsid w:val="64B35BE6"/>
    <w:rsid w:val="64BC5621"/>
    <w:rsid w:val="64C00EAA"/>
    <w:rsid w:val="64C9512D"/>
    <w:rsid w:val="653D4716"/>
    <w:rsid w:val="654A79CF"/>
    <w:rsid w:val="6552427C"/>
    <w:rsid w:val="655E5AFC"/>
    <w:rsid w:val="65B940C9"/>
    <w:rsid w:val="66353CC9"/>
    <w:rsid w:val="665147BB"/>
    <w:rsid w:val="665D462A"/>
    <w:rsid w:val="66A85805"/>
    <w:rsid w:val="66FC729A"/>
    <w:rsid w:val="671342EB"/>
    <w:rsid w:val="672133A0"/>
    <w:rsid w:val="6731134A"/>
    <w:rsid w:val="67D8638F"/>
    <w:rsid w:val="6803353F"/>
    <w:rsid w:val="68060912"/>
    <w:rsid w:val="685607DF"/>
    <w:rsid w:val="685E563F"/>
    <w:rsid w:val="6898128A"/>
    <w:rsid w:val="68B60B5B"/>
    <w:rsid w:val="68D1417E"/>
    <w:rsid w:val="690C6FAA"/>
    <w:rsid w:val="690E1FC4"/>
    <w:rsid w:val="692E3A9D"/>
    <w:rsid w:val="694B7883"/>
    <w:rsid w:val="697056F5"/>
    <w:rsid w:val="69BF4E07"/>
    <w:rsid w:val="69CC5C96"/>
    <w:rsid w:val="69E33953"/>
    <w:rsid w:val="6A53231B"/>
    <w:rsid w:val="6A5D5A38"/>
    <w:rsid w:val="6A61513B"/>
    <w:rsid w:val="6AC62FBB"/>
    <w:rsid w:val="6B252027"/>
    <w:rsid w:val="6B8055ED"/>
    <w:rsid w:val="6B806DEE"/>
    <w:rsid w:val="6BBF6767"/>
    <w:rsid w:val="6BD519A9"/>
    <w:rsid w:val="6BEF7F82"/>
    <w:rsid w:val="6BFE5571"/>
    <w:rsid w:val="6C2D3F35"/>
    <w:rsid w:val="6C3E3DF1"/>
    <w:rsid w:val="6C420E9C"/>
    <w:rsid w:val="6C4C6E1C"/>
    <w:rsid w:val="6C672F78"/>
    <w:rsid w:val="6C6A3F4B"/>
    <w:rsid w:val="6C872F15"/>
    <w:rsid w:val="6CA40DC2"/>
    <w:rsid w:val="6CBB39A4"/>
    <w:rsid w:val="6CBF4F2D"/>
    <w:rsid w:val="6CD05DCC"/>
    <w:rsid w:val="6CE86237"/>
    <w:rsid w:val="6D0205BA"/>
    <w:rsid w:val="6D845474"/>
    <w:rsid w:val="6DBE774E"/>
    <w:rsid w:val="6DE46D11"/>
    <w:rsid w:val="6DE61751"/>
    <w:rsid w:val="6DE96CB8"/>
    <w:rsid w:val="6DF167E1"/>
    <w:rsid w:val="6E193BD8"/>
    <w:rsid w:val="6E273E46"/>
    <w:rsid w:val="6E62103A"/>
    <w:rsid w:val="6EAD1723"/>
    <w:rsid w:val="6EC448E0"/>
    <w:rsid w:val="6F5C60D4"/>
    <w:rsid w:val="6F627207"/>
    <w:rsid w:val="6F8A62CB"/>
    <w:rsid w:val="6F8C3A16"/>
    <w:rsid w:val="6FD2187C"/>
    <w:rsid w:val="70005BAF"/>
    <w:rsid w:val="70081862"/>
    <w:rsid w:val="702E7099"/>
    <w:rsid w:val="703029D2"/>
    <w:rsid w:val="70370F91"/>
    <w:rsid w:val="706C0B9A"/>
    <w:rsid w:val="70734B34"/>
    <w:rsid w:val="707F24A7"/>
    <w:rsid w:val="70961BE3"/>
    <w:rsid w:val="709A3D9E"/>
    <w:rsid w:val="70A01F40"/>
    <w:rsid w:val="70AD066A"/>
    <w:rsid w:val="70C473C9"/>
    <w:rsid w:val="70D078E2"/>
    <w:rsid w:val="71044D9D"/>
    <w:rsid w:val="71055CE7"/>
    <w:rsid w:val="71226BED"/>
    <w:rsid w:val="715A3DCB"/>
    <w:rsid w:val="71685132"/>
    <w:rsid w:val="717B4137"/>
    <w:rsid w:val="71852CD8"/>
    <w:rsid w:val="71A14423"/>
    <w:rsid w:val="71E028A3"/>
    <w:rsid w:val="71FA7626"/>
    <w:rsid w:val="72017BB8"/>
    <w:rsid w:val="7204421B"/>
    <w:rsid w:val="720D6687"/>
    <w:rsid w:val="72367DDE"/>
    <w:rsid w:val="72530714"/>
    <w:rsid w:val="72546013"/>
    <w:rsid w:val="727F38FA"/>
    <w:rsid w:val="7298201A"/>
    <w:rsid w:val="72993A93"/>
    <w:rsid w:val="72BD2D0C"/>
    <w:rsid w:val="72CD4069"/>
    <w:rsid w:val="7348765D"/>
    <w:rsid w:val="7360541B"/>
    <w:rsid w:val="73642249"/>
    <w:rsid w:val="737F7858"/>
    <w:rsid w:val="73970D8D"/>
    <w:rsid w:val="73B02321"/>
    <w:rsid w:val="73E65158"/>
    <w:rsid w:val="74045844"/>
    <w:rsid w:val="742749F8"/>
    <w:rsid w:val="74A2511E"/>
    <w:rsid w:val="750A3A77"/>
    <w:rsid w:val="751F4274"/>
    <w:rsid w:val="757165DA"/>
    <w:rsid w:val="7574137F"/>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C64CEB"/>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61353"/>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051F1A"/>
    <w:rsid w:val="7D107B6E"/>
    <w:rsid w:val="7D596D6C"/>
    <w:rsid w:val="7D6417EA"/>
    <w:rsid w:val="7D787E00"/>
    <w:rsid w:val="7D9D6CD8"/>
    <w:rsid w:val="7D9F1826"/>
    <w:rsid w:val="7DAF234C"/>
    <w:rsid w:val="7DCA65AC"/>
    <w:rsid w:val="7DE329CE"/>
    <w:rsid w:val="7E035DE9"/>
    <w:rsid w:val="7E193651"/>
    <w:rsid w:val="7E394092"/>
    <w:rsid w:val="7E3A03D7"/>
    <w:rsid w:val="7E3A13EE"/>
    <w:rsid w:val="7E453A68"/>
    <w:rsid w:val="7E525DE7"/>
    <w:rsid w:val="7E617A48"/>
    <w:rsid w:val="7E680042"/>
    <w:rsid w:val="7EBB3930"/>
    <w:rsid w:val="7EE94CBB"/>
    <w:rsid w:val="7F37016E"/>
    <w:rsid w:val="7F686EE0"/>
    <w:rsid w:val="7F872218"/>
    <w:rsid w:val="7F87641A"/>
    <w:rsid w:val="7FAD7090"/>
    <w:rsid w:val="7FB45BF7"/>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qFormat/>
    <w:uiPriority w:val="99"/>
    <w:pPr>
      <w:spacing w:line="440" w:lineRule="exact"/>
    </w:pPr>
    <w:rPr>
      <w:rFonts w:ascii="仿宋_GB2312" w:hAnsi="宋体"/>
      <w:sz w:val="24"/>
      <w:szCs w:val="24"/>
    </w:rPr>
  </w:style>
  <w:style w:type="paragraph" w:styleId="7">
    <w:name w:val="table of authorities"/>
    <w:basedOn w:val="1"/>
    <w:next w:val="1"/>
    <w:qFormat/>
    <w:uiPriority w:val="0"/>
    <w:pPr>
      <w:ind w:left="420" w:leftChars="200"/>
    </w:pPr>
    <w:rPr>
      <w:b/>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rPr>
      <w:sz w:val="21"/>
      <w:szCs w:val="22"/>
    </w:r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11"/>
    <w:next w:val="17"/>
    <w:qFormat/>
    <w:uiPriority w:val="0"/>
    <w:pPr>
      <w:ind w:firstLine="420" w:firstLineChars="100"/>
    </w:p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800080"/>
      <w:u w:val="single"/>
    </w:rPr>
  </w:style>
  <w:style w:type="character" w:styleId="25">
    <w:name w:val="Hyperlink"/>
    <w:basedOn w:val="23"/>
    <w:semiHidden/>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3"/>
    <w:link w:val="15"/>
    <w:qFormat/>
    <w:uiPriority w:val="99"/>
    <w:rPr>
      <w:sz w:val="18"/>
      <w:szCs w:val="18"/>
    </w:rPr>
  </w:style>
  <w:style w:type="character" w:customStyle="1" w:styleId="28">
    <w:name w:val="页脚 字符"/>
    <w:basedOn w:val="23"/>
    <w:link w:val="14"/>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3"/>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3"/>
    <w:qFormat/>
    <w:uiPriority w:val="0"/>
    <w:rPr>
      <w:rFonts w:hint="eastAsia" w:ascii="宋体" w:hAnsi="宋体" w:eastAsia="宋体" w:cs="宋体"/>
      <w:color w:val="000000"/>
      <w:sz w:val="32"/>
      <w:szCs w:val="32"/>
      <w:u w:val="none"/>
    </w:rPr>
  </w:style>
  <w:style w:type="character" w:customStyle="1" w:styleId="43">
    <w:name w:val="font31"/>
    <w:basedOn w:val="23"/>
    <w:qFormat/>
    <w:uiPriority w:val="0"/>
    <w:rPr>
      <w:rFonts w:ascii="宋体" w:hAnsi="宋体" w:eastAsia="宋体" w:cs="宋体"/>
      <w:color w:val="000000"/>
      <w:sz w:val="32"/>
      <w:szCs w:val="32"/>
      <w:u w:val="single"/>
    </w:rPr>
  </w:style>
  <w:style w:type="character" w:customStyle="1" w:styleId="44">
    <w:name w:val="font21"/>
    <w:basedOn w:val="23"/>
    <w:qFormat/>
    <w:uiPriority w:val="0"/>
    <w:rPr>
      <w:rFonts w:ascii="宋体" w:hAnsi="宋体" w:eastAsia="宋体" w:cs="宋体"/>
      <w:color w:val="000000"/>
      <w:sz w:val="32"/>
      <w:szCs w:val="32"/>
      <w:u w:val="none"/>
    </w:rPr>
  </w:style>
  <w:style w:type="character" w:customStyle="1" w:styleId="45">
    <w:name w:val="font11"/>
    <w:basedOn w:val="23"/>
    <w:qFormat/>
    <w:uiPriority w:val="0"/>
    <w:rPr>
      <w:rFonts w:ascii="Calibri" w:hAnsi="Calibri" w:cs="Calibri"/>
      <w:color w:val="000000"/>
      <w:sz w:val="32"/>
      <w:szCs w:val="32"/>
      <w:u w:val="none"/>
    </w:rPr>
  </w:style>
  <w:style w:type="character" w:customStyle="1" w:styleId="46">
    <w:name w:val="font01"/>
    <w:basedOn w:val="23"/>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15898</Words>
  <Characters>16641</Characters>
  <Lines>1</Lines>
  <Paragraphs>1</Paragraphs>
  <TotalTime>11</TotalTime>
  <ScaleCrop>false</ScaleCrop>
  <LinksUpToDate>false</LinksUpToDate>
  <CharactersWithSpaces>18844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风控审计部裴炳昌</cp:lastModifiedBy>
  <cp:lastPrinted>2023-07-19T11:44:00Z</cp:lastPrinted>
  <dcterms:modified xsi:type="dcterms:W3CDTF">2024-11-26T06:31:52Z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402183C8B3C444F2815F70BEE3CA341D</vt:lpwstr>
  </property>
</Properties>
</file>