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FB38C">
      <w:pPr>
        <w:pStyle w:val="5"/>
        <w:rPr>
          <w:color w:val="auto"/>
          <w:highlight w:val="none"/>
        </w:rPr>
      </w:pPr>
    </w:p>
    <w:p w14:paraId="45357185">
      <w:pPr>
        <w:rPr>
          <w:color w:val="auto"/>
          <w:highlight w:val="none"/>
        </w:rPr>
      </w:pPr>
    </w:p>
    <w:p w14:paraId="05A43E03">
      <w:pPr>
        <w:pStyle w:val="2"/>
        <w:numPr>
          <w:ilvl w:val="0"/>
          <w:numId w:val="0"/>
        </w:numPr>
        <w:jc w:val="both"/>
        <w:rPr>
          <w:color w:val="auto"/>
          <w:highlight w:val="none"/>
        </w:rPr>
      </w:pPr>
    </w:p>
    <w:p w14:paraId="12AB8CE9">
      <w:pPr>
        <w:snapToGrid w:val="0"/>
        <w:spacing w:before="156" w:beforeLines="50" w:line="360" w:lineRule="auto"/>
        <w:jc w:val="center"/>
        <w:rPr>
          <w:rFonts w:ascii="宋体" w:hAnsi="宋体" w:eastAsia="宋体" w:cs="宋体"/>
          <w:b/>
          <w:bCs/>
          <w:color w:val="auto"/>
          <w:sz w:val="36"/>
          <w:szCs w:val="36"/>
          <w:highlight w:val="none"/>
        </w:rPr>
      </w:pPr>
      <w:r>
        <w:rPr>
          <w:rFonts w:hint="eastAsia" w:ascii="宋体" w:hAnsi="宋体" w:eastAsia="宋体" w:cs="宋体"/>
          <w:b/>
          <w:color w:val="auto"/>
          <w:sz w:val="72"/>
          <w:szCs w:val="72"/>
          <w:highlight w:val="none"/>
        </w:rPr>
        <w:t>采购文件</w:t>
      </w:r>
    </w:p>
    <w:p w14:paraId="53720B3A">
      <w:pPr>
        <w:pStyle w:val="5"/>
        <w:rPr>
          <w:rFonts w:ascii="宋体" w:hAnsi="宋体" w:eastAsia="宋体" w:cs="宋体"/>
          <w:b/>
          <w:bCs/>
          <w:color w:val="auto"/>
          <w:sz w:val="36"/>
          <w:szCs w:val="36"/>
          <w:highlight w:val="none"/>
        </w:rPr>
      </w:pPr>
    </w:p>
    <w:p w14:paraId="4A4543D8">
      <w:pPr>
        <w:rPr>
          <w:color w:val="auto"/>
          <w:highlight w:val="none"/>
        </w:rPr>
      </w:pPr>
    </w:p>
    <w:p w14:paraId="141D8E4C">
      <w:pPr>
        <w:pStyle w:val="2"/>
        <w:numPr>
          <w:ilvl w:val="0"/>
          <w:numId w:val="0"/>
        </w:numPr>
        <w:jc w:val="both"/>
        <w:rPr>
          <w:color w:val="auto"/>
          <w:highlight w:val="none"/>
        </w:rPr>
      </w:pPr>
    </w:p>
    <w:p w14:paraId="3C4E9DE2">
      <w:pPr>
        <w:rPr>
          <w:color w:val="auto"/>
          <w:highlight w:val="none"/>
        </w:rPr>
      </w:pPr>
    </w:p>
    <w:p w14:paraId="69014A62">
      <w:pPr>
        <w:rPr>
          <w:rFonts w:ascii="宋体" w:hAnsi="宋体" w:eastAsia="宋体" w:cs="宋体"/>
          <w:b/>
          <w:bCs/>
          <w:color w:val="auto"/>
          <w:sz w:val="36"/>
          <w:szCs w:val="36"/>
          <w:highlight w:val="none"/>
        </w:rPr>
      </w:pPr>
    </w:p>
    <w:p w14:paraId="31C2BE8E">
      <w:pPr>
        <w:rPr>
          <w:rFonts w:ascii="宋体" w:hAnsi="宋体" w:eastAsia="宋体" w:cs="宋体"/>
          <w:b/>
          <w:bCs/>
          <w:color w:val="auto"/>
          <w:sz w:val="36"/>
          <w:szCs w:val="36"/>
          <w:highlight w:val="none"/>
        </w:rPr>
      </w:pPr>
    </w:p>
    <w:p w14:paraId="153B6C69">
      <w:pPr>
        <w:ind w:left="1807" w:hanging="1807" w:hangingChars="500"/>
        <w:rPr>
          <w:rFonts w:hint="eastAsia"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sz w:val="36"/>
          <w:szCs w:val="36"/>
          <w:highlight w:val="none"/>
        </w:rPr>
        <w:t>项目名称：</w:t>
      </w:r>
      <w:bookmarkStart w:id="0" w:name="OLE_LINK1"/>
      <w:bookmarkStart w:id="1" w:name="OLE_LINK2"/>
      <w:r>
        <w:rPr>
          <w:rFonts w:hint="eastAsia" w:ascii="宋体" w:hAnsi="宋体" w:eastAsia="宋体" w:cs="宋体"/>
          <w:b/>
          <w:bCs/>
          <w:color w:val="auto"/>
          <w:sz w:val="36"/>
          <w:szCs w:val="36"/>
          <w:highlight w:val="none"/>
          <w:u w:val="single"/>
        </w:rPr>
        <w:t>广西自贸区钦州港片区开发投资集团有限责任公司</w:t>
      </w:r>
      <w:r>
        <w:rPr>
          <w:rFonts w:hint="eastAsia" w:ascii="宋体" w:hAnsi="宋体" w:eastAsia="宋体" w:cs="宋体"/>
          <w:b/>
          <w:bCs/>
          <w:color w:val="auto"/>
          <w:sz w:val="36"/>
          <w:szCs w:val="36"/>
          <w:highlight w:val="none"/>
          <w:u w:val="single"/>
          <w:lang w:val="en-US" w:eastAsia="zh-CN"/>
        </w:rPr>
        <w:t>企业年金基金受托管理服务采购项目</w:t>
      </w:r>
    </w:p>
    <w:bookmarkEnd w:id="0"/>
    <w:bookmarkEnd w:id="1"/>
    <w:p w14:paraId="2461ED43">
      <w:pPr>
        <w:rPr>
          <w:rFonts w:ascii="宋体" w:hAnsi="宋体" w:eastAsia="宋体" w:cs="宋体"/>
          <w:b/>
          <w:bCs/>
          <w:color w:val="auto"/>
          <w:w w:val="90"/>
          <w:sz w:val="36"/>
          <w:szCs w:val="36"/>
          <w:highlight w:val="none"/>
          <w:u w:val="single"/>
        </w:rPr>
      </w:pPr>
      <w:r>
        <w:rPr>
          <w:rFonts w:hint="eastAsia" w:ascii="宋体" w:hAnsi="宋体" w:eastAsia="宋体" w:cs="宋体"/>
          <w:b/>
          <w:bCs/>
          <w:color w:val="auto"/>
          <w:sz w:val="36"/>
          <w:szCs w:val="36"/>
          <w:highlight w:val="none"/>
        </w:rPr>
        <w:t>采购人：</w:t>
      </w:r>
      <w:r>
        <w:rPr>
          <w:rFonts w:hint="eastAsia" w:ascii="宋体" w:hAnsi="宋体" w:eastAsia="宋体" w:cs="宋体"/>
          <w:b/>
          <w:bCs/>
          <w:color w:val="auto"/>
          <w:w w:val="90"/>
          <w:sz w:val="36"/>
          <w:szCs w:val="36"/>
          <w:highlight w:val="none"/>
          <w:u w:val="single"/>
        </w:rPr>
        <w:t>广西自贸区钦州港片区开发投资集团有限责任公司</w:t>
      </w:r>
    </w:p>
    <w:p w14:paraId="636E549E">
      <w:pPr>
        <w:rPr>
          <w:rFonts w:ascii="宋体" w:hAnsi="宋体" w:eastAsia="宋体" w:cs="宋体"/>
          <w:b/>
          <w:bCs/>
          <w:color w:val="auto"/>
          <w:sz w:val="36"/>
          <w:szCs w:val="36"/>
          <w:highlight w:val="none"/>
        </w:rPr>
      </w:pPr>
    </w:p>
    <w:p w14:paraId="2623D7EA">
      <w:pPr>
        <w:rPr>
          <w:rFonts w:ascii="宋体" w:hAnsi="宋体" w:eastAsia="宋体" w:cs="宋体"/>
          <w:b/>
          <w:bCs/>
          <w:color w:val="auto"/>
          <w:sz w:val="36"/>
          <w:szCs w:val="36"/>
          <w:highlight w:val="none"/>
        </w:rPr>
      </w:pPr>
    </w:p>
    <w:p w14:paraId="7EBC80C0">
      <w:pPr>
        <w:jc w:val="center"/>
        <w:rPr>
          <w:rFonts w:ascii="宋体" w:hAnsi="宋体" w:eastAsia="宋体" w:cs="宋体"/>
          <w:b/>
          <w:bCs/>
          <w:color w:val="auto"/>
          <w:sz w:val="32"/>
          <w:szCs w:val="32"/>
          <w:highlight w:val="none"/>
          <w:shd w:val="clear" w:color="auto" w:fill="FFFFFF"/>
        </w:rPr>
      </w:pPr>
      <w:r>
        <w:rPr>
          <w:rFonts w:ascii="Times New Roman" w:hAnsi="Times New Roman" w:eastAsia="宋体" w:cs="Times New Roman"/>
          <w:b/>
          <w:bCs/>
          <w:color w:val="auto"/>
          <w:sz w:val="36"/>
          <w:szCs w:val="36"/>
          <w:highlight w:val="none"/>
        </w:rPr>
        <w:t>202</w:t>
      </w:r>
      <w:r>
        <w:rPr>
          <w:rFonts w:hint="eastAsia" w:ascii="Times New Roman" w:hAnsi="Times New Roman" w:eastAsia="宋体" w:cs="Times New Roman"/>
          <w:b/>
          <w:bCs/>
          <w:color w:val="auto"/>
          <w:sz w:val="36"/>
          <w:szCs w:val="36"/>
          <w:highlight w:val="none"/>
        </w:rPr>
        <w:t>5</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4</w:t>
      </w:r>
      <w:r>
        <w:rPr>
          <w:rFonts w:hint="eastAsia" w:ascii="宋体" w:hAnsi="宋体" w:eastAsia="宋体" w:cs="宋体"/>
          <w:b/>
          <w:bCs/>
          <w:color w:val="auto"/>
          <w:sz w:val="36"/>
          <w:szCs w:val="36"/>
          <w:highlight w:val="none"/>
        </w:rPr>
        <w:t>月</w:t>
      </w:r>
    </w:p>
    <w:p w14:paraId="5D1447BD">
      <w:pPr>
        <w:rPr>
          <w:rFonts w:ascii="宋体" w:hAnsi="宋体" w:eastAsia="宋体" w:cs="宋体"/>
          <w:b/>
          <w:bCs/>
          <w:color w:val="auto"/>
          <w:sz w:val="32"/>
          <w:szCs w:val="32"/>
          <w:highlight w:val="none"/>
          <w:shd w:val="clear" w:color="auto" w:fill="FFFFFF"/>
        </w:rPr>
      </w:pPr>
    </w:p>
    <w:p w14:paraId="2DDF5807">
      <w:pPr>
        <w:pStyle w:val="44"/>
        <w:spacing w:after="312"/>
        <w:rPr>
          <w:rFonts w:hint="default"/>
          <w:b/>
          <w:bCs/>
          <w:color w:val="auto"/>
          <w:w w:val="95"/>
          <w:sz w:val="32"/>
          <w:highlight w:val="none"/>
        </w:rPr>
        <w:sectPr>
          <w:pgSz w:w="11906" w:h="16838"/>
          <w:pgMar w:top="1440" w:right="1417" w:bottom="1440" w:left="1531" w:header="851" w:footer="992" w:gutter="0"/>
          <w:pgNumType w:fmt="numberInDash"/>
          <w:cols w:space="425" w:num="1"/>
          <w:docGrid w:type="lines" w:linePitch="312" w:charSpace="0"/>
        </w:sectPr>
      </w:pPr>
    </w:p>
    <w:p w14:paraId="3A8A47D3">
      <w:pPr>
        <w:pStyle w:val="44"/>
        <w:spacing w:after="312" w:line="240" w:lineRule="atLeast"/>
        <w:rPr>
          <w:rFonts w:hint="default"/>
          <w:color w:val="auto"/>
          <w:highlight w:val="none"/>
        </w:rPr>
      </w:pPr>
      <w:bookmarkStart w:id="2" w:name="OLE_LINK9"/>
      <w:r>
        <w:rPr>
          <w:color w:val="auto"/>
          <w:highlight w:val="none"/>
        </w:rPr>
        <w:t>第一章  采购公告</w:t>
      </w:r>
    </w:p>
    <w:bookmarkEnd w:id="2"/>
    <w:p w14:paraId="1ADCD286">
      <w:pPr>
        <w:spacing w:line="240" w:lineRule="atLeast"/>
        <w:ind w:firstLine="480" w:firstLineChars="200"/>
        <w:jc w:val="distribute"/>
        <w:rPr>
          <w:rFonts w:ascii="宋体" w:hAnsi="宋体" w:eastAsia="宋体" w:cs="宋体"/>
          <w:bCs/>
          <w:color w:val="auto"/>
          <w:sz w:val="24"/>
          <w:szCs w:val="24"/>
          <w:highlight w:val="none"/>
        </w:rPr>
      </w:pPr>
      <w:bookmarkStart w:id="3" w:name="OLE_LINK3"/>
      <w:r>
        <w:rPr>
          <w:rFonts w:hint="eastAsia" w:ascii="宋体" w:hAnsi="宋体" w:eastAsia="宋体" w:cs="宋体"/>
          <w:b w:val="0"/>
          <w:bCs/>
          <w:color w:val="auto"/>
          <w:sz w:val="24"/>
          <w:szCs w:val="24"/>
          <w:highlight w:val="none"/>
          <w:u w:val="single"/>
        </w:rPr>
        <w:t>广西自贸区钦州港片区开发投资集团有限责任公司</w:t>
      </w:r>
      <w:r>
        <w:rPr>
          <w:rFonts w:hint="eastAsia" w:ascii="宋体" w:hAnsi="宋体" w:eastAsia="宋体" w:cs="宋体"/>
          <w:b w:val="0"/>
          <w:bCs/>
          <w:color w:val="auto"/>
          <w:sz w:val="24"/>
          <w:szCs w:val="24"/>
          <w:highlight w:val="none"/>
          <w:u w:val="single"/>
          <w:lang w:val="en-US" w:eastAsia="zh-CN"/>
        </w:rPr>
        <w:t>企业年金基金受托管理服务采购项目</w:t>
      </w:r>
      <w:bookmarkEnd w:id="3"/>
      <w:r>
        <w:rPr>
          <w:rFonts w:hint="eastAsia" w:ascii="宋体" w:hAnsi="宋体" w:eastAsia="宋体" w:cs="宋体"/>
          <w:bCs/>
          <w:color w:val="auto"/>
          <w:sz w:val="24"/>
          <w:szCs w:val="24"/>
          <w:highlight w:val="none"/>
        </w:rPr>
        <w:t>的潜在服务商应在</w:t>
      </w:r>
      <w:r>
        <w:rPr>
          <w:rFonts w:hint="eastAsia" w:ascii="宋体" w:hAnsi="宋体" w:eastAsia="宋体" w:cs="宋体"/>
          <w:bCs/>
          <w:color w:val="auto"/>
          <w:sz w:val="24"/>
          <w:szCs w:val="24"/>
          <w:highlight w:val="none"/>
          <w:u w:val="single"/>
        </w:rPr>
        <w:t>广西自贸区钦州港片区开发投资集团有限责任公司网</w:t>
      </w:r>
      <w:r>
        <w:rPr>
          <w:rFonts w:hint="eastAsia" w:ascii="宋体" w:hAnsi="宋体" w:eastAsia="宋体" w:cs="宋体"/>
          <w:bCs/>
          <w:color w:val="auto"/>
          <w:sz w:val="24"/>
          <w:szCs w:val="24"/>
          <w:highlight w:val="none"/>
          <w:u w:val="single"/>
          <w:lang w:val="en-US" w:eastAsia="zh-CN"/>
        </w:rPr>
        <w:t>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8"/>
          <w:rFonts w:hint="eastAsia" w:ascii="宋体" w:hAnsi="宋体" w:eastAsia="宋体" w:cs="宋体"/>
          <w:bCs/>
          <w:color w:val="auto"/>
          <w:sz w:val="24"/>
          <w:szCs w:val="24"/>
          <w:highlight w:val="none"/>
        </w:rPr>
        <w:t>http://www.qzmktjt.com</w:t>
      </w:r>
      <w:r>
        <w:rPr>
          <w:rStyle w:val="28"/>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r>
        <w:rPr>
          <w:rFonts w:hint="eastAsia" w:ascii="宋体" w:hAnsi="宋体" w:eastAsia="宋体" w:cs="宋体"/>
          <w:bCs/>
          <w:color w:val="auto"/>
          <w:sz w:val="24"/>
          <w:szCs w:val="24"/>
          <w:highlight w:val="none"/>
        </w:rPr>
        <w:t>采购文件，并于截止日期</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bCs/>
          <w:color w:val="auto"/>
          <w:sz w:val="24"/>
          <w:szCs w:val="24"/>
          <w:highlight w:val="none"/>
          <w:u w:val="single"/>
        </w:rPr>
        <w:t>分（北京时间）</w:t>
      </w:r>
      <w:r>
        <w:rPr>
          <w:rFonts w:hint="eastAsia" w:ascii="宋体" w:hAnsi="宋体" w:eastAsia="宋体" w:cs="宋体"/>
          <w:bCs/>
          <w:color w:val="auto"/>
          <w:sz w:val="24"/>
          <w:szCs w:val="24"/>
          <w:highlight w:val="none"/>
        </w:rPr>
        <w:t>前提交响应文件。 </w:t>
      </w:r>
    </w:p>
    <w:p w14:paraId="33A8D94C">
      <w:pPr>
        <w:spacing w:line="240" w:lineRule="atLeast"/>
        <w:rPr>
          <w:rFonts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一、项目基本情况</w:t>
      </w:r>
    </w:p>
    <w:p w14:paraId="3FA385B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bookmarkStart w:id="4" w:name="OLE_LINK4"/>
      <w:r>
        <w:rPr>
          <w:rFonts w:hint="eastAsia" w:ascii="宋体" w:hAnsi="宋体" w:eastAsia="宋体" w:cs="宋体"/>
          <w:b w:val="0"/>
          <w:bCs/>
          <w:color w:val="auto"/>
          <w:sz w:val="24"/>
          <w:szCs w:val="24"/>
          <w:highlight w:val="none"/>
          <w:u w:val="single"/>
        </w:rPr>
        <w:t>广西自贸区钦州港片区开发投资集团有限责任公司</w:t>
      </w:r>
      <w:r>
        <w:rPr>
          <w:rFonts w:hint="eastAsia" w:ascii="宋体" w:hAnsi="宋体" w:eastAsia="宋体" w:cs="宋体"/>
          <w:b w:val="0"/>
          <w:bCs/>
          <w:color w:val="auto"/>
          <w:sz w:val="24"/>
          <w:szCs w:val="24"/>
          <w:highlight w:val="none"/>
          <w:u w:val="single"/>
          <w:lang w:val="en-US" w:eastAsia="zh-CN"/>
        </w:rPr>
        <w:t>企业年金基金受托管理服务采购项目</w:t>
      </w:r>
      <w:bookmarkEnd w:id="4"/>
    </w:p>
    <w:p w14:paraId="19C6A218">
      <w:pPr>
        <w:pStyle w:val="8"/>
        <w:spacing w:line="240" w:lineRule="atLeast"/>
        <w:rPr>
          <w:rFonts w:eastAsia="宋体"/>
          <w:color w:val="auto"/>
          <w:highlight w:val="none"/>
        </w:rPr>
      </w:pPr>
      <w:r>
        <w:rPr>
          <w:rFonts w:hint="eastAsia"/>
          <w:color w:val="auto"/>
          <w:highlight w:val="none"/>
        </w:rPr>
        <w:t xml:space="preserve"> </w:t>
      </w:r>
      <w:r>
        <w:rPr>
          <w:color w:val="auto"/>
          <w:highlight w:val="none"/>
        </w:rPr>
        <w:t xml:space="preserve">   </w:t>
      </w:r>
      <w:r>
        <w:rPr>
          <w:rFonts w:hint="eastAsia" w:ascii="宋体" w:hAnsi="宋体" w:eastAsia="宋体" w:cs="宋体"/>
          <w:bCs/>
          <w:color w:val="auto"/>
          <w:szCs w:val="24"/>
          <w:highlight w:val="none"/>
        </w:rPr>
        <w:t>采购方式：</w:t>
      </w:r>
      <w:r>
        <w:rPr>
          <w:rFonts w:hint="eastAsia" w:ascii="宋体" w:hAnsi="宋体" w:eastAsia="宋体" w:cs="宋体"/>
          <w:b w:val="0"/>
          <w:bCs/>
          <w:color w:val="auto"/>
          <w:sz w:val="24"/>
          <w:szCs w:val="24"/>
          <w:highlight w:val="none"/>
          <w:lang w:val="en-US" w:eastAsia="zh-CN"/>
        </w:rPr>
        <w:t>询比采购</w:t>
      </w:r>
    </w:p>
    <w:p w14:paraId="4C0F3161">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定标方式：</w:t>
      </w:r>
      <w:r>
        <w:rPr>
          <w:rFonts w:hint="eastAsia" w:ascii="宋体" w:hAnsi="宋体" w:eastAsia="宋体" w:cs="宋体"/>
          <w:bCs/>
          <w:color w:val="auto"/>
          <w:sz w:val="24"/>
          <w:szCs w:val="24"/>
          <w:highlight w:val="none"/>
          <w:lang w:val="en-US" w:eastAsia="zh-CN"/>
        </w:rPr>
        <w:t>综合评估法，</w:t>
      </w:r>
      <w:r>
        <w:rPr>
          <w:rFonts w:hint="eastAsia" w:ascii="宋体" w:hAnsi="宋体" w:eastAsia="宋体" w:cs="宋体"/>
          <w:bCs/>
          <w:color w:val="auto"/>
          <w:sz w:val="24"/>
          <w:szCs w:val="24"/>
          <w:highlight w:val="none"/>
        </w:rPr>
        <w:t>满足采购文件的实质性要求，且经评审</w:t>
      </w:r>
      <w:r>
        <w:rPr>
          <w:rFonts w:hint="eastAsia" w:ascii="宋体" w:hAnsi="宋体" w:eastAsia="宋体" w:cs="宋体"/>
          <w:bCs/>
          <w:color w:val="auto"/>
          <w:sz w:val="24"/>
          <w:szCs w:val="24"/>
          <w:highlight w:val="none"/>
          <w:lang w:val="en-US" w:eastAsia="zh-CN"/>
        </w:rPr>
        <w:t>得分最高</w:t>
      </w:r>
      <w:r>
        <w:rPr>
          <w:rFonts w:hint="eastAsia" w:ascii="宋体" w:hAnsi="宋体" w:eastAsia="宋体" w:cs="宋体"/>
          <w:bCs/>
          <w:color w:val="auto"/>
          <w:sz w:val="24"/>
          <w:szCs w:val="24"/>
          <w:highlight w:val="none"/>
        </w:rPr>
        <w:t>的供应商为成交供应商</w:t>
      </w:r>
      <w:r>
        <w:rPr>
          <w:rFonts w:hint="eastAsia" w:ascii="宋体" w:hAnsi="宋体" w:eastAsia="宋体" w:cs="宋体"/>
          <w:bCs/>
          <w:color w:val="auto"/>
          <w:sz w:val="24"/>
          <w:szCs w:val="24"/>
          <w:highlight w:val="none"/>
          <w:lang w:eastAsia="zh-CN"/>
        </w:rPr>
        <w:t>。</w:t>
      </w:r>
    </w:p>
    <w:p w14:paraId="21C0CD59">
      <w:pPr>
        <w:spacing w:line="24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w:t>
      </w:r>
      <w:r>
        <w:rPr>
          <w:rFonts w:hint="eastAsia" w:ascii="宋体" w:hAnsi="宋体" w:eastAsia="宋体" w:cs="宋体"/>
          <w:color w:val="auto"/>
          <w:sz w:val="24"/>
          <w:szCs w:val="24"/>
          <w:highlight w:val="none"/>
          <w:lang w:val="en-US" w:eastAsia="zh-CN"/>
        </w:rPr>
        <w:t>基数</w:t>
      </w:r>
      <w:r>
        <w:rPr>
          <w:rFonts w:hint="eastAsia" w:ascii="宋体" w:hAnsi="宋体" w:eastAsia="宋体" w:cs="宋体"/>
          <w:color w:val="auto"/>
          <w:sz w:val="24"/>
          <w:szCs w:val="24"/>
          <w:highlight w:val="none"/>
        </w:rPr>
        <w:t>：参考202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年工资总额测算托管企业年金基金管理</w:t>
      </w:r>
      <w:r>
        <w:rPr>
          <w:rFonts w:hint="eastAsia" w:ascii="宋体" w:hAnsi="宋体" w:eastAsia="宋体" w:cs="宋体"/>
          <w:color w:val="auto"/>
          <w:sz w:val="24"/>
          <w:szCs w:val="24"/>
          <w:highlight w:val="none"/>
          <w:lang w:val="en-US" w:eastAsia="zh-CN"/>
        </w:rPr>
        <w:t>首</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基数</w:t>
      </w:r>
      <w:r>
        <w:rPr>
          <w:rFonts w:hint="eastAsia" w:ascii="宋体" w:hAnsi="宋体" w:eastAsia="宋体" w:cs="宋体"/>
          <w:color w:val="auto"/>
          <w:sz w:val="24"/>
          <w:szCs w:val="24"/>
          <w:highlight w:val="none"/>
        </w:rPr>
        <w:t>规模预计</w:t>
      </w:r>
      <w:r>
        <w:rPr>
          <w:rFonts w:hint="eastAsia" w:ascii="宋体" w:hAnsi="宋体" w:eastAsia="宋体" w:cs="宋体"/>
          <w:color w:val="auto"/>
          <w:sz w:val="24"/>
          <w:szCs w:val="24"/>
          <w:highlight w:val="none"/>
          <w:lang w:val="en-US" w:eastAsia="zh-CN"/>
        </w:rPr>
        <w:t>4600</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具体金额以实际缴纳人数为准。</w:t>
      </w:r>
    </w:p>
    <w:p w14:paraId="06411058">
      <w:pPr>
        <w:spacing w:line="24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合同</w:t>
      </w:r>
      <w:r>
        <w:rPr>
          <w:rFonts w:hint="eastAsia" w:ascii="宋体" w:hAnsi="宋体" w:eastAsia="宋体" w:cs="宋体"/>
          <w:bCs/>
          <w:color w:val="auto"/>
          <w:kern w:val="0"/>
          <w:sz w:val="24"/>
          <w:szCs w:val="24"/>
          <w:highlight w:val="none"/>
          <w:lang w:val="en-US" w:eastAsia="zh-CN"/>
        </w:rPr>
        <w:t>签订</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sz w:val="24"/>
          <w:szCs w:val="24"/>
          <w:highlight w:val="none"/>
          <w:lang w:val="en-US" w:eastAsia="zh-CN"/>
        </w:rPr>
        <w:t>询比</w:t>
      </w:r>
      <w:r>
        <w:rPr>
          <w:rFonts w:hint="eastAsia" w:ascii="宋体" w:hAnsi="宋体" w:eastAsia="宋体" w:cs="宋体"/>
          <w:bCs/>
          <w:color w:val="auto"/>
          <w:sz w:val="24"/>
          <w:szCs w:val="24"/>
          <w:highlight w:val="none"/>
        </w:rPr>
        <w:t>人与中标单位应当在中标通知书原件发出之日起30日内签订合同。中标单位不遵守招标文件或投标文件的要约、承诺，擅自修改报价或在接到</w:t>
      </w:r>
      <w:r>
        <w:rPr>
          <w:rFonts w:hint="eastAsia" w:ascii="宋体" w:hAnsi="宋体" w:eastAsia="宋体" w:cs="宋体"/>
          <w:bCs/>
          <w:color w:val="auto"/>
          <w:sz w:val="24"/>
          <w:szCs w:val="24"/>
          <w:highlight w:val="none"/>
          <w:lang w:eastAsia="zh-CN"/>
        </w:rPr>
        <w:t>中标通知书原件</w:t>
      </w:r>
      <w:r>
        <w:rPr>
          <w:rFonts w:hint="eastAsia" w:ascii="宋体" w:hAnsi="宋体" w:eastAsia="宋体" w:cs="宋体"/>
          <w:bCs/>
          <w:color w:val="auto"/>
          <w:sz w:val="24"/>
          <w:szCs w:val="24"/>
          <w:highlight w:val="none"/>
        </w:rPr>
        <w:t>规定时间内借故拖延、拒签合同者，</w:t>
      </w:r>
      <w:r>
        <w:rPr>
          <w:rFonts w:hint="eastAsia" w:ascii="宋体" w:hAnsi="宋体" w:eastAsia="宋体" w:cs="宋体"/>
          <w:bCs/>
          <w:color w:val="auto"/>
          <w:sz w:val="24"/>
          <w:szCs w:val="24"/>
          <w:highlight w:val="none"/>
          <w:lang w:val="en-US" w:eastAsia="zh-CN"/>
        </w:rPr>
        <w:t>询比</w:t>
      </w:r>
      <w:r>
        <w:rPr>
          <w:rFonts w:hint="eastAsia" w:ascii="宋体" w:hAnsi="宋体" w:eastAsia="宋体" w:cs="宋体"/>
          <w:bCs/>
          <w:color w:val="auto"/>
          <w:sz w:val="24"/>
          <w:szCs w:val="24"/>
          <w:highlight w:val="none"/>
          <w:lang w:eastAsia="zh-CN"/>
        </w:rPr>
        <w:t>人</w:t>
      </w:r>
      <w:r>
        <w:rPr>
          <w:rFonts w:hint="eastAsia" w:ascii="宋体" w:hAnsi="宋体" w:eastAsia="宋体" w:cs="宋体"/>
          <w:bCs/>
          <w:color w:val="auto"/>
          <w:sz w:val="24"/>
          <w:szCs w:val="24"/>
          <w:highlight w:val="none"/>
        </w:rPr>
        <w:t>有权取消该单位的中标资格，与下一中标候选人签订合同或重新组织</w:t>
      </w:r>
      <w:r>
        <w:rPr>
          <w:rFonts w:hint="eastAsia" w:ascii="宋体" w:hAnsi="宋体" w:eastAsia="宋体" w:cs="宋体"/>
          <w:bCs/>
          <w:color w:val="auto"/>
          <w:sz w:val="24"/>
          <w:szCs w:val="24"/>
          <w:highlight w:val="none"/>
          <w:lang w:val="en-US" w:eastAsia="zh-CN"/>
        </w:rPr>
        <w:t>询比</w:t>
      </w:r>
      <w:r>
        <w:rPr>
          <w:rFonts w:hint="eastAsia" w:ascii="宋体" w:hAnsi="宋体" w:eastAsia="宋体" w:cs="宋体"/>
          <w:bCs/>
          <w:color w:val="auto"/>
          <w:sz w:val="24"/>
          <w:szCs w:val="24"/>
          <w:highlight w:val="none"/>
        </w:rPr>
        <w:t>。</w:t>
      </w:r>
    </w:p>
    <w:p w14:paraId="2638D46F">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二、服务商的资格要求</w:t>
      </w:r>
    </w:p>
    <w:p w14:paraId="4CB54EC2">
      <w:pPr>
        <w:spacing w:line="240" w:lineRule="atLeast"/>
        <w:ind w:left="1199" w:leftChars="228" w:hanging="720" w:hangingChars="300"/>
        <w:rPr>
          <w:rFonts w:hint="eastAsia"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549E1E53">
      <w:pPr>
        <w:spacing w:line="24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（1）在中国境内注册的独立法人机构，具有独立承担民事责任的能力；具有良好的商业信誉和健全的财务会计制度；具有履行合同所必需的设备和专业技术能力；</w:t>
      </w:r>
    </w:p>
    <w:p w14:paraId="253E941A">
      <w:pPr>
        <w:spacing w:line="24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（2）投标人须具有国家人力资源和社会保障部认定的企业年金受托</w:t>
      </w:r>
      <w:r>
        <w:rPr>
          <w:rFonts w:hint="eastAsia" w:ascii="宋体" w:hAnsi="宋体" w:eastAsia="宋体" w:cs="宋体"/>
          <w:bCs/>
          <w:color w:val="auto"/>
          <w:sz w:val="24"/>
          <w:highlight w:val="none"/>
        </w:rPr>
        <w:t>机构管理资质</w:t>
      </w:r>
      <w:r>
        <w:rPr>
          <w:rFonts w:hint="eastAsia" w:ascii="宋体" w:hAnsi="宋体" w:eastAsia="宋体" w:cs="宋体"/>
          <w:bCs/>
          <w:color w:val="auto"/>
          <w:sz w:val="24"/>
          <w:highlight w:val="none"/>
          <w:lang w:eastAsia="zh-CN"/>
        </w:rPr>
        <w:t>，</w:t>
      </w:r>
    </w:p>
    <w:p w14:paraId="34DFADF4">
      <w:pPr>
        <w:spacing w:line="24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若为分支机构投标，则应出具机构总部或上一级主管部门针对本项目投标资格的授权函；</w:t>
      </w:r>
    </w:p>
    <w:p w14:paraId="4B21C8CF">
      <w:pPr>
        <w:numPr>
          <w:ilvl w:val="0"/>
          <w:numId w:val="0"/>
        </w:numPr>
        <w:spacing w:line="24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（3）未被“信用中国”（www.creditchina.gov.cn）、中国政府采购网（www.ccgp.gov.cn）列入失信被执行人、重大税收违法案件当事人名单、政府采购严重违法失信行为记录名单；</w:t>
      </w:r>
    </w:p>
    <w:p w14:paraId="54978A36">
      <w:pPr>
        <w:spacing w:line="240" w:lineRule="atLeast"/>
        <w:ind w:firstLine="480" w:firstLineChars="200"/>
        <w:rPr>
          <w:rFonts w:hint="eastAsia"/>
          <w:lang w:val="en-US" w:eastAsia="zh-CN"/>
        </w:rPr>
      </w:pPr>
      <w:r>
        <w:rPr>
          <w:rFonts w:hint="eastAsia" w:ascii="Times New Roman" w:hAnsi="Times New Roman" w:eastAsia="宋体" w:cs="Times New Roman"/>
          <w:bCs/>
          <w:color w:val="auto"/>
          <w:sz w:val="24"/>
          <w:szCs w:val="24"/>
          <w:highlight w:val="none"/>
          <w:lang w:eastAsia="zh-CN"/>
        </w:rPr>
        <w:t>（</w:t>
      </w:r>
      <w:r>
        <w:rPr>
          <w:rFonts w:ascii="Times New Roman" w:hAnsi="Times New Roman" w:eastAsia="宋体" w:cs="Times New Roman"/>
          <w:bCs/>
          <w:color w:val="auto"/>
          <w:sz w:val="24"/>
          <w:szCs w:val="24"/>
          <w:highlight w:val="none"/>
        </w:rPr>
        <w:t>4</w:t>
      </w:r>
      <w:r>
        <w:rPr>
          <w:rFonts w:hint="eastAsia" w:ascii="Times New Roman" w:hAnsi="Times New Roman" w:eastAsia="宋体" w:cs="Times New Roman"/>
          <w:bCs/>
          <w:color w:val="auto"/>
          <w:sz w:val="24"/>
          <w:szCs w:val="24"/>
          <w:highlight w:val="none"/>
          <w:lang w:eastAsia="zh-CN"/>
        </w:rPr>
        <w:t>）</w:t>
      </w:r>
      <w:r>
        <w:rPr>
          <w:rFonts w:hint="eastAsia" w:ascii="宋体" w:hAnsi="宋体" w:eastAsia="宋体" w:cs="宋体"/>
          <w:bCs/>
          <w:color w:val="auto"/>
          <w:sz w:val="24"/>
          <w:szCs w:val="24"/>
          <w:highlight w:val="none"/>
        </w:rPr>
        <w:t>法律、行政法规规定的其他条件。</w:t>
      </w:r>
    </w:p>
    <w:p w14:paraId="13DA1FE5">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2D37810A">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4</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18</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u w:val="single"/>
        </w:rPr>
        <w:t xml:space="preserve"> </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，每天上午</w:t>
      </w:r>
      <w:r>
        <w:rPr>
          <w:rFonts w:ascii="Times New Roman" w:hAnsi="Times New Roman" w:eastAsia="宋体" w:cs="Times New Roman"/>
          <w:bCs/>
          <w:color w:val="auto"/>
          <w:sz w:val="24"/>
          <w:szCs w:val="24"/>
          <w:highlight w:val="none"/>
          <w:u w:val="single"/>
        </w:rPr>
        <w:t>08</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12</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rPr>
        <w:t>，下午</w:t>
      </w:r>
      <w:r>
        <w:rPr>
          <w:rFonts w:ascii="Times New Roman" w:hAnsi="Times New Roman" w:eastAsia="宋体" w:cs="Times New Roman"/>
          <w:bCs/>
          <w:color w:val="auto"/>
          <w:sz w:val="24"/>
          <w:szCs w:val="24"/>
          <w:highlight w:val="none"/>
          <w:u w:val="single"/>
        </w:rPr>
        <w:t>14</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17</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rPr>
        <w:t>（北京时间，法定节假日除外）</w:t>
      </w:r>
    </w:p>
    <w:p w14:paraId="4EBC71F2">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Fonts w:hint="eastAsia"/>
          <w:color w:val="auto"/>
          <w:highlight w:val="none"/>
        </w:rPr>
        <w:t>http:</w:t>
      </w:r>
      <w:r>
        <w:rPr>
          <w:rStyle w:val="28"/>
          <w:rFonts w:hint="eastAsia" w:ascii="宋体" w:hAnsi="宋体" w:eastAsia="宋体" w:cs="宋体"/>
          <w:bCs/>
          <w:color w:val="auto"/>
          <w:sz w:val="24"/>
          <w:szCs w:val="24"/>
          <w:highlight w:val="none"/>
        </w:rPr>
        <w:t>//www.qzmktjt.com</w:t>
      </w:r>
      <w:r>
        <w:rPr>
          <w:rStyle w:val="28"/>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p>
    <w:p w14:paraId="261403C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前（北京时间）自行获取（下载）。</w:t>
      </w:r>
    </w:p>
    <w:p w14:paraId="056A373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w:t>
      </w:r>
      <w:r>
        <w:rPr>
          <w:rFonts w:ascii="Times New Roman" w:hAnsi="Times New Roman" w:eastAsia="宋体" w:cs="Times New Roman"/>
          <w:bCs/>
          <w:color w:val="auto"/>
          <w:sz w:val="24"/>
          <w:szCs w:val="24"/>
          <w:highlight w:val="none"/>
        </w:rPr>
        <w:t>0</w:t>
      </w:r>
      <w:r>
        <w:rPr>
          <w:rFonts w:hint="eastAsia" w:ascii="宋体" w:hAnsi="宋体" w:eastAsia="宋体" w:cs="宋体"/>
          <w:bCs/>
          <w:color w:val="auto"/>
          <w:sz w:val="24"/>
          <w:szCs w:val="24"/>
          <w:highlight w:val="none"/>
        </w:rPr>
        <w:t>元。</w:t>
      </w:r>
    </w:p>
    <w:p w14:paraId="6ED06DFE">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184C01C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（北京时间）</w:t>
      </w:r>
    </w:p>
    <w:p w14:paraId="566E2983">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提交响应文件地点：广西钦州市钦州港区友谊大道1号自贸中心23楼，联系人及电话：</w:t>
      </w:r>
      <w:r>
        <w:rPr>
          <w:rFonts w:hint="eastAsia" w:ascii="宋体" w:hAnsi="宋体" w:eastAsia="宋体" w:cs="宋体"/>
          <w:bCs/>
          <w:color w:val="auto"/>
          <w:sz w:val="24"/>
          <w:szCs w:val="24"/>
          <w:highlight w:val="yellow"/>
          <w:u w:val="single"/>
          <w:lang w:val="en-US" w:eastAsia="zh-CN"/>
        </w:rPr>
        <w:t>经营管理</w:t>
      </w:r>
      <w:r>
        <w:rPr>
          <w:rFonts w:hint="eastAsia" w:ascii="宋体" w:hAnsi="宋体" w:eastAsia="宋体" w:cs="宋体"/>
          <w:bCs/>
          <w:color w:val="auto"/>
          <w:sz w:val="24"/>
          <w:szCs w:val="24"/>
          <w:highlight w:val="yellow"/>
          <w:u w:val="single"/>
        </w:rPr>
        <w:t xml:space="preserve">部-裴炳昌 </w:t>
      </w:r>
      <w:r>
        <w:rPr>
          <w:rFonts w:ascii="Times New Roman" w:hAnsi="Times New Roman" w:eastAsia="宋体" w:cs="Times New Roman"/>
          <w:bCs/>
          <w:color w:val="auto"/>
          <w:sz w:val="24"/>
          <w:szCs w:val="24"/>
          <w:highlight w:val="yellow"/>
          <w:u w:val="single"/>
        </w:rPr>
        <w:t>077758813</w:t>
      </w:r>
      <w:r>
        <w:rPr>
          <w:rFonts w:hint="eastAsia" w:ascii="Times New Roman" w:hAnsi="Times New Roman" w:eastAsia="宋体" w:cs="Times New Roman"/>
          <w:bCs/>
          <w:color w:val="auto"/>
          <w:sz w:val="24"/>
          <w:szCs w:val="24"/>
          <w:highlight w:val="yellow"/>
          <w:u w:val="single"/>
          <w:lang w:val="en-US" w:eastAsia="zh-CN"/>
        </w:rPr>
        <w:t>05</w:t>
      </w:r>
    </w:p>
    <w:p w14:paraId="75F87C6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不按规定密封、逾期送达的或者未送达指定地点的，采购人不予受理。</w:t>
      </w:r>
    </w:p>
    <w:p w14:paraId="7F9A39B6">
      <w:pPr>
        <w:numPr>
          <w:ins w:id="0" w:author="风控审计部 黄全炳" w:date="1901-01-01T00:00:00Z"/>
        </w:numPr>
        <w:spacing w:line="240" w:lineRule="atLeast"/>
        <w:ind w:firstLine="480" w:firstLineChars="200"/>
        <w:rPr>
          <w:color w:val="auto"/>
          <w:highlight w:val="none"/>
        </w:rPr>
      </w:pPr>
      <w:r>
        <w:rPr>
          <w:rFonts w:ascii="宋体" w:hAnsi="宋体" w:eastAsia="宋体" w:cs="宋体"/>
          <w:bCs/>
          <w:color w:val="auto"/>
          <w:sz w:val="24"/>
          <w:szCs w:val="24"/>
          <w:highlight w:val="none"/>
        </w:rPr>
        <w:t>注：以邮寄方式</w:t>
      </w:r>
      <w:r>
        <w:rPr>
          <w:rFonts w:hint="eastAsia" w:ascii="宋体" w:hAnsi="宋体" w:eastAsia="宋体" w:cs="宋体"/>
          <w:bCs/>
          <w:color w:val="auto"/>
          <w:sz w:val="24"/>
          <w:szCs w:val="24"/>
          <w:highlight w:val="none"/>
        </w:rPr>
        <w:t>（建议寄顺丰）</w:t>
      </w:r>
      <w:r>
        <w:rPr>
          <w:rFonts w:ascii="宋体" w:hAnsi="宋体" w:eastAsia="宋体" w:cs="宋体"/>
          <w:bCs/>
          <w:color w:val="auto"/>
          <w:sz w:val="24"/>
          <w:szCs w:val="24"/>
          <w:highlight w:val="none"/>
        </w:rPr>
        <w:t>提交的，应在截止时间前送达指定地点并经签收，不按规定密封、逾期送达的按无效竞标处理。</w:t>
      </w:r>
    </w:p>
    <w:p w14:paraId="6C5F26A0">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4F2B8B5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5</w:t>
      </w:r>
      <w:bookmarkStart w:id="11" w:name="_GoBack"/>
      <w:bookmarkEnd w:id="11"/>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（北京时间）后；</w:t>
      </w:r>
    </w:p>
    <w:p w14:paraId="133D5A3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广西钦州市钦州港区友谊大道1号自贸中心23楼</w:t>
      </w:r>
    </w:p>
    <w:p w14:paraId="1C8F809C">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74DFAB44">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w:t>
      </w:r>
      <w:r>
        <w:rPr>
          <w:rFonts w:hint="eastAsia" w:ascii="Times New Roman" w:hAnsi="Times New Roman" w:eastAsia="宋体" w:cs="Times New Roman"/>
          <w:bCs/>
          <w:color w:val="auto"/>
          <w:sz w:val="24"/>
          <w:szCs w:val="24"/>
          <w:highlight w:val="none"/>
          <w:lang w:val="en-US" w:eastAsia="zh-CN"/>
        </w:rPr>
        <w:t>10</w:t>
      </w:r>
      <w:r>
        <w:rPr>
          <w:rFonts w:hint="eastAsia" w:ascii="宋体" w:hAnsi="宋体" w:eastAsia="宋体" w:cs="宋体"/>
          <w:bCs/>
          <w:color w:val="auto"/>
          <w:sz w:val="24"/>
          <w:szCs w:val="24"/>
          <w:highlight w:val="none"/>
        </w:rPr>
        <w:t>个工作日。</w:t>
      </w:r>
    </w:p>
    <w:p w14:paraId="0B960FA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47E98D8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ascii="宋体" w:hAnsi="宋体" w:eastAsia="宋体" w:cs="宋体"/>
          <w:bCs/>
          <w:color w:val="auto"/>
          <w:sz w:val="24"/>
          <w:szCs w:val="24"/>
          <w:highlight w:val="none"/>
        </w:rPr>
        <w:t>.响应文件应装在一个密封袋内，并进行密封，加盖密封章或单位公章。密封袋外应注明项目名称。</w:t>
      </w:r>
    </w:p>
    <w:p w14:paraId="1A79DC12">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ascii="宋体" w:hAnsi="宋体" w:eastAsia="宋体" w:cs="宋体"/>
          <w:bCs/>
          <w:color w:val="auto"/>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728A24C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八、凡对本次采购提出询问的请按以下方式联系</w:t>
      </w:r>
    </w:p>
    <w:p w14:paraId="12454571">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.采购人信息</w:t>
      </w:r>
    </w:p>
    <w:p w14:paraId="50E3BBCB">
      <w:pPr>
        <w:pStyle w:val="21"/>
        <w:widowControl/>
        <w:spacing w:beforeAutospacing="0" w:afterAutospacing="0" w:line="240" w:lineRule="atLeast"/>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名称：</w:t>
      </w:r>
      <w:r>
        <w:rPr>
          <w:rFonts w:hint="eastAsia" w:ascii="宋体" w:hAnsi="宋体" w:eastAsia="宋体" w:cs="宋体"/>
          <w:bCs/>
          <w:color w:val="auto"/>
          <w:szCs w:val="24"/>
          <w:highlight w:val="none"/>
          <w:u w:val="single"/>
        </w:rPr>
        <w:t>广西自贸区钦州港片区开发投资集团有限责任公司</w:t>
      </w:r>
    </w:p>
    <w:p w14:paraId="7C0D040F">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广西钦州市钦州港区友谊大道1号自贸中心24楼</w:t>
      </w:r>
    </w:p>
    <w:p w14:paraId="34BAC019">
      <w:pPr>
        <w:pStyle w:val="21"/>
        <w:widowControl/>
        <w:spacing w:beforeAutospacing="0" w:afterAutospacing="0"/>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联系方式：</w:t>
      </w:r>
      <w:r>
        <w:rPr>
          <w:rFonts w:hint="eastAsia" w:ascii="宋体" w:hAnsi="宋体" w:eastAsia="宋体" w:cs="宋体"/>
          <w:bCs/>
          <w:color w:val="auto"/>
          <w:szCs w:val="24"/>
          <w:highlight w:val="none"/>
          <w:u w:val="single"/>
          <w:lang w:val="en-US" w:eastAsia="zh-CN"/>
        </w:rPr>
        <w:t>18077760127</w:t>
      </w:r>
      <w:r>
        <w:rPr>
          <w:rFonts w:hint="eastAsia" w:ascii="宋体" w:hAnsi="宋体" w:eastAsia="宋体" w:cs="宋体"/>
          <w:bCs/>
          <w:color w:val="auto"/>
          <w:szCs w:val="24"/>
          <w:highlight w:val="none"/>
          <w:u w:val="single"/>
        </w:rPr>
        <w:t>（</w:t>
      </w:r>
      <w:r>
        <w:rPr>
          <w:rFonts w:hint="eastAsia" w:ascii="宋体" w:hAnsi="宋体" w:eastAsia="宋体" w:cs="宋体"/>
          <w:bCs/>
          <w:color w:val="auto"/>
          <w:szCs w:val="24"/>
          <w:highlight w:val="none"/>
          <w:u w:val="single"/>
          <w:lang w:val="en-US" w:eastAsia="zh-CN"/>
        </w:rPr>
        <w:t>林振慧</w:t>
      </w:r>
      <w:r>
        <w:rPr>
          <w:rFonts w:hint="eastAsia" w:ascii="宋体" w:hAnsi="宋体" w:eastAsia="宋体" w:cs="宋体"/>
          <w:bCs/>
          <w:color w:val="auto"/>
          <w:szCs w:val="24"/>
          <w:highlight w:val="none"/>
          <w:u w:val="single"/>
        </w:rPr>
        <w:t>）</w:t>
      </w:r>
    </w:p>
    <w:p w14:paraId="1A4E40CA">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.监督部门信息</w:t>
      </w:r>
    </w:p>
    <w:p w14:paraId="2E972395">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广西自贸区钦州港片区开发投资集团有限责任公司风控审计部</w:t>
      </w:r>
    </w:p>
    <w:p w14:paraId="6FA6A72E">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w:t>
      </w:r>
      <w:r>
        <w:rPr>
          <w:rFonts w:ascii="Times New Roman" w:hAnsi="Times New Roman" w:eastAsia="宋体" w:cs="Times New Roman"/>
          <w:bCs/>
          <w:color w:val="auto"/>
          <w:sz w:val="24"/>
          <w:szCs w:val="24"/>
          <w:highlight w:val="none"/>
          <w:u w:val="single"/>
        </w:rPr>
        <w:t>23</w:t>
      </w:r>
      <w:r>
        <w:rPr>
          <w:rFonts w:hint="eastAsia" w:ascii="宋体" w:hAnsi="宋体" w:eastAsia="宋体" w:cs="宋体"/>
          <w:bCs/>
          <w:color w:val="auto"/>
          <w:sz w:val="24"/>
          <w:szCs w:val="24"/>
          <w:highlight w:val="none"/>
          <w:u w:val="single"/>
        </w:rPr>
        <w:t>楼</w:t>
      </w:r>
    </w:p>
    <w:p w14:paraId="2637BAD6">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联系方式：</w:t>
      </w:r>
      <w:r>
        <w:rPr>
          <w:rFonts w:ascii="Times New Roman" w:hAnsi="Times New Roman" w:eastAsia="宋体" w:cs="Times New Roman"/>
          <w:bCs/>
          <w:color w:val="auto"/>
          <w:sz w:val="24"/>
          <w:szCs w:val="24"/>
          <w:highlight w:val="yellow"/>
          <w:u w:val="single"/>
        </w:rPr>
        <w:t>0777</w:t>
      </w:r>
      <w:r>
        <w:rPr>
          <w:rFonts w:hint="eastAsia" w:ascii="Times New Roman" w:hAnsi="Times New Roman" w:eastAsia="宋体" w:cs="Times New Roman"/>
          <w:bCs/>
          <w:color w:val="auto"/>
          <w:sz w:val="24"/>
          <w:szCs w:val="24"/>
          <w:highlight w:val="yellow"/>
          <w:u w:val="single"/>
        </w:rPr>
        <w:t>-</w:t>
      </w:r>
      <w:r>
        <w:rPr>
          <w:rFonts w:ascii="Times New Roman" w:hAnsi="Times New Roman" w:eastAsia="宋体" w:cs="Times New Roman"/>
          <w:bCs/>
          <w:color w:val="auto"/>
          <w:sz w:val="24"/>
          <w:szCs w:val="24"/>
          <w:highlight w:val="yellow"/>
          <w:u w:val="single"/>
        </w:rPr>
        <w:t>58813</w:t>
      </w:r>
      <w:r>
        <w:rPr>
          <w:rFonts w:hint="eastAsia" w:ascii="Times New Roman" w:hAnsi="Times New Roman" w:eastAsia="宋体" w:cs="Times New Roman"/>
          <w:bCs/>
          <w:color w:val="auto"/>
          <w:sz w:val="24"/>
          <w:szCs w:val="24"/>
          <w:highlight w:val="yellow"/>
          <w:u w:val="single"/>
          <w:lang w:val="en-US" w:eastAsia="zh-CN"/>
        </w:rPr>
        <w:t>80</w:t>
      </w:r>
      <w:r>
        <w:rPr>
          <w:rFonts w:hint="eastAsia" w:ascii="宋体" w:hAnsi="宋体" w:eastAsia="宋体" w:cs="宋体"/>
          <w:bCs/>
          <w:color w:val="auto"/>
          <w:sz w:val="24"/>
          <w:szCs w:val="24"/>
          <w:highlight w:val="yellow"/>
          <w:u w:val="single"/>
        </w:rPr>
        <w:t>（风控</w:t>
      </w:r>
      <w:r>
        <w:rPr>
          <w:rFonts w:hint="eastAsia" w:ascii="宋体" w:hAnsi="宋体" w:eastAsia="宋体" w:cs="宋体"/>
          <w:bCs/>
          <w:color w:val="auto"/>
          <w:sz w:val="24"/>
          <w:szCs w:val="24"/>
          <w:highlight w:val="yellow"/>
          <w:u w:val="single"/>
          <w:lang w:val="en-US" w:eastAsia="zh-CN"/>
        </w:rPr>
        <w:t>审计部</w:t>
      </w:r>
      <w:r>
        <w:rPr>
          <w:rFonts w:hint="eastAsia" w:ascii="宋体" w:hAnsi="宋体" w:eastAsia="宋体" w:cs="宋体"/>
          <w:bCs/>
          <w:color w:val="auto"/>
          <w:sz w:val="24"/>
          <w:szCs w:val="24"/>
          <w:highlight w:val="yellow"/>
          <w:u w:val="single"/>
        </w:rPr>
        <w:t>-</w:t>
      </w:r>
      <w:r>
        <w:rPr>
          <w:rFonts w:hint="eastAsia" w:ascii="宋体" w:hAnsi="宋体" w:eastAsia="宋体" w:cs="宋体"/>
          <w:bCs/>
          <w:color w:val="auto"/>
          <w:sz w:val="24"/>
          <w:szCs w:val="24"/>
          <w:highlight w:val="yellow"/>
          <w:u w:val="single"/>
          <w:lang w:val="en-US" w:eastAsia="zh-CN"/>
        </w:rPr>
        <w:t>陈哲</w:t>
      </w:r>
      <w:r>
        <w:rPr>
          <w:rFonts w:hint="eastAsia" w:ascii="宋体" w:hAnsi="宋体" w:eastAsia="宋体" w:cs="宋体"/>
          <w:bCs/>
          <w:color w:val="auto"/>
          <w:sz w:val="24"/>
          <w:szCs w:val="24"/>
          <w:highlight w:val="yellow"/>
          <w:u w:val="single"/>
        </w:rPr>
        <w:t>）</w:t>
      </w:r>
    </w:p>
    <w:p w14:paraId="6613C0DF">
      <w:pPr>
        <w:jc w:val="left"/>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19730816">
      <w:pPr>
        <w:numPr>
          <w:ilvl w:val="255"/>
          <w:numId w:val="0"/>
        </w:numPr>
        <w:adjustRightInd w:val="0"/>
        <w:snapToGrid w:val="0"/>
        <w:ind w:firstLine="482" w:firstLineChars="200"/>
        <w:jc w:val="left"/>
        <w:rPr>
          <w:rFonts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5B41078B">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00D36394">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未标注★号的内容负偏离达到</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项以上（含</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项）则被认为是实质性要求和条件不响应，作竞标无效处理。</w:t>
      </w:r>
    </w:p>
    <w:p w14:paraId="3FA8BBD0">
      <w:pPr>
        <w:numPr>
          <w:ilvl w:val="255"/>
          <w:numId w:val="0"/>
        </w:numPr>
        <w:adjustRightInd w:val="0"/>
        <w:snapToGrid w:val="0"/>
        <w:spacing w:before="156" w:beforeLines="50"/>
        <w:jc w:val="center"/>
        <w:rPr>
          <w:rFonts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采购需求表</w:t>
      </w:r>
    </w:p>
    <w:tbl>
      <w:tblPr>
        <w:tblStyle w:val="25"/>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33E9C126">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0978F">
            <w:pPr>
              <w:widowControl/>
              <w:jc w:val="center"/>
              <w:textAlignment w:val="center"/>
              <w:rPr>
                <w:rFonts w:ascii="宋体" w:hAnsi="宋体" w:eastAsia="宋体" w:cs="宋体"/>
                <w:color w:val="auto"/>
                <w:kern w:val="0"/>
                <w:sz w:val="22"/>
                <w:highlight w:val="none"/>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kern w:val="0"/>
                <w:szCs w:val="21"/>
                <w:highlight w:val="none"/>
              </w:rPr>
              <w:t>、商务要求</w:t>
            </w:r>
          </w:p>
        </w:tc>
      </w:tr>
      <w:tr w14:paraId="16F516D1">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A002">
            <w:pPr>
              <w:widowControl/>
              <w:adjustRightInd w:val="0"/>
              <w:snapToGrid w:val="0"/>
              <w:jc w:val="center"/>
              <w:textAlignment w:val="center"/>
              <w:rPr>
                <w:rFonts w:ascii="宋体" w:hAnsi="宋体" w:eastAsia="宋体" w:cs="宋体"/>
                <w:color w:val="auto"/>
                <w:kern w:val="0"/>
                <w:sz w:val="22"/>
                <w:highlight w:val="none"/>
              </w:rPr>
            </w:pPr>
            <w:r>
              <w:rPr>
                <w:rFonts w:hint="eastAsia" w:ascii="宋体" w:hAnsi="宋体" w:eastAsia="宋体" w:cs="宋体"/>
                <w:b/>
                <w:color w:val="auto"/>
                <w:szCs w:val="21"/>
                <w:highlight w:val="none"/>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E793">
            <w:pPr>
              <w:pStyle w:val="9"/>
              <w:rPr>
                <w:rFonts w:ascii="宋体" w:hAnsi="宋体" w:eastAsia="宋体" w:cs="宋体"/>
                <w:color w:val="auto"/>
                <w:kern w:val="0"/>
                <w:sz w:val="22"/>
                <w:highlight w:val="none"/>
              </w:rPr>
            </w:pPr>
            <w:r>
              <w:rPr>
                <w:rFonts w:hint="eastAsia" w:ascii="宋体" w:hAnsi="宋体" w:eastAsia="宋体" w:cs="宋体"/>
                <w:bCs/>
                <w:color w:val="auto"/>
                <w:kern w:val="2"/>
                <w:sz w:val="24"/>
                <w:szCs w:val="24"/>
                <w:highlight w:val="none"/>
                <w:lang w:val="en-US" w:eastAsia="zh-CN" w:bidi="ar-SA"/>
              </w:rPr>
              <w:t>服务期限5年，具体以合同签订内容为准。</w:t>
            </w:r>
          </w:p>
        </w:tc>
      </w:tr>
      <w:tr w14:paraId="3E997E49">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C99D">
            <w:pPr>
              <w:widowControl/>
              <w:adjustRightInd w:val="0"/>
              <w:snapToGrid w:val="0"/>
              <w:jc w:val="center"/>
              <w:textAlignment w:val="center"/>
              <w:rPr>
                <w:rFonts w:hint="eastAsia" w:ascii="宋体" w:hAnsi="宋体" w:eastAsia="宋体" w:cs="宋体"/>
                <w:b/>
                <w:bCs/>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预算基数</w:t>
            </w:r>
          </w:p>
          <w:p w14:paraId="262A7315">
            <w:pPr>
              <w:widowControl/>
              <w:adjustRightInd w:val="0"/>
              <w:snapToGrid w:val="0"/>
              <w:jc w:val="center"/>
              <w:textAlignment w:val="center"/>
              <w:rPr>
                <w:rFonts w:hint="default" w:ascii="宋体" w:hAnsi="宋体" w:eastAsia="宋体" w:cs="宋体"/>
                <w:b/>
                <w:bCs/>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规模</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A9F5">
            <w:pPr>
              <w:spacing w:line="240" w:lineRule="atLeast"/>
              <w:rPr>
                <w:rFonts w:hint="eastAsia" w:ascii="宋体" w:hAnsi="宋体" w:eastAsia="宋体" w:cs="宋体"/>
                <w:bCs/>
                <w:color w:val="auto"/>
                <w:kern w:val="2"/>
                <w:sz w:val="24"/>
                <w:szCs w:val="24"/>
                <w:highlight w:val="none"/>
                <w:lang w:val="en-US" w:eastAsia="zh-CN" w:bidi="ar-SA"/>
              </w:rPr>
            </w:pPr>
          </w:p>
          <w:p w14:paraId="1240BF44">
            <w:pPr>
              <w:spacing w:line="240" w:lineRule="atLeas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参考2024年工资总额测算托管企业年金基金管理每年基数规模预计4600万元，其中单位部分缴纳比例为8%，个人部分缴纳比例为4%。具体金额以实际缴纳人数为准。</w:t>
            </w:r>
          </w:p>
          <w:p w14:paraId="0ED998E8">
            <w:pPr>
              <w:spacing w:line="240" w:lineRule="atLeast"/>
              <w:ind w:firstLine="480" w:firstLineChars="200"/>
              <w:rPr>
                <w:rFonts w:ascii="宋体" w:hAnsi="宋体" w:eastAsia="宋体" w:cs="宋体"/>
                <w:bCs/>
                <w:color w:val="auto"/>
                <w:kern w:val="2"/>
                <w:sz w:val="24"/>
                <w:szCs w:val="24"/>
                <w:highlight w:val="none"/>
                <w:lang w:val="en-US" w:eastAsia="zh-CN" w:bidi="ar-SA"/>
              </w:rPr>
            </w:pPr>
          </w:p>
        </w:tc>
      </w:tr>
      <w:tr w14:paraId="1B93A0BD">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F3DA">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lang w:val="en-US" w:eastAsia="zh-CN"/>
              </w:rPr>
              <w:t>项目要求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4BD4">
            <w:pPr>
              <w:pStyle w:val="13"/>
              <w:spacing w:before="0" w:beforeLines="0" w:after="0" w:afterLines="0" w:line="360" w:lineRule="auto"/>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本公司企业年金拟采用集合计划模式，选择固定收益类组合，在风险可控的前提下获得合理投资收益；确保企业年金计划投资运作规范及透明；确保信息披露规范及时。</w:t>
            </w:r>
          </w:p>
        </w:tc>
      </w:tr>
      <w:tr w14:paraId="4EB288E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85E8">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lang w:val="en-US" w:eastAsia="zh-CN"/>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7ABB">
            <w:pPr>
              <w:pStyle w:val="13"/>
              <w:spacing w:before="0" w:beforeLines="0" w:after="0" w:afterLines="0" w:line="360" w:lineRule="auto"/>
              <w:rPr>
                <w:rFonts w:hint="eastAsia" w:ascii="宋体" w:hAnsi="宋体" w:eastAsia="宋体" w:cs="宋体"/>
                <w:bCs/>
                <w:color w:val="auto"/>
                <w:kern w:val="2"/>
                <w:sz w:val="24"/>
                <w:szCs w:val="24"/>
                <w:highlight w:val="none"/>
                <w:lang w:val="en-US" w:eastAsia="zh-CN" w:bidi="ar-SA"/>
              </w:rPr>
            </w:pPr>
            <w:r>
              <w:rPr>
                <w:rFonts w:hint="eastAsia" w:hAnsi="宋体" w:cs="宋体"/>
                <w:bCs/>
                <w:color w:val="auto"/>
                <w:kern w:val="2"/>
                <w:sz w:val="24"/>
                <w:szCs w:val="24"/>
                <w:highlight w:val="none"/>
                <w:lang w:val="en-US" w:eastAsia="zh-CN" w:bidi="ar-SA"/>
              </w:rPr>
              <w:t>响应</w:t>
            </w:r>
            <w:r>
              <w:rPr>
                <w:rFonts w:hint="eastAsia" w:ascii="宋体" w:hAnsi="宋体" w:eastAsia="宋体" w:cs="宋体"/>
                <w:bCs/>
                <w:color w:val="auto"/>
                <w:kern w:val="2"/>
                <w:sz w:val="24"/>
                <w:szCs w:val="24"/>
                <w:highlight w:val="none"/>
                <w:lang w:val="en-US" w:eastAsia="zh-CN" w:bidi="ar-SA"/>
              </w:rPr>
              <w:t>人必须保证向</w:t>
            </w:r>
            <w:r>
              <w:rPr>
                <w:rFonts w:hint="eastAsia" w:hAnsi="宋体" w:cs="宋体"/>
                <w:bCs/>
                <w:color w:val="auto"/>
                <w:kern w:val="2"/>
                <w:sz w:val="24"/>
                <w:szCs w:val="24"/>
                <w:highlight w:val="none"/>
                <w:lang w:val="en-US" w:eastAsia="zh-CN" w:bidi="ar-SA"/>
              </w:rPr>
              <w:t>我公司</w:t>
            </w:r>
            <w:r>
              <w:rPr>
                <w:rFonts w:hint="eastAsia" w:ascii="宋体" w:hAnsi="宋体" w:eastAsia="宋体" w:cs="宋体"/>
                <w:bCs/>
                <w:color w:val="auto"/>
                <w:kern w:val="2"/>
                <w:sz w:val="24"/>
                <w:szCs w:val="24"/>
                <w:highlight w:val="none"/>
                <w:lang w:val="en-US" w:eastAsia="zh-CN" w:bidi="ar-SA"/>
              </w:rPr>
              <w:t>提供的所有证明材料的真实性，</w:t>
            </w:r>
            <w:r>
              <w:rPr>
                <w:rFonts w:hint="eastAsia" w:hAnsi="宋体" w:cs="宋体"/>
                <w:bCs/>
                <w:color w:val="auto"/>
                <w:kern w:val="2"/>
                <w:sz w:val="24"/>
                <w:szCs w:val="24"/>
                <w:highlight w:val="none"/>
                <w:lang w:val="en-US" w:eastAsia="zh-CN" w:bidi="ar-SA"/>
              </w:rPr>
              <w:t>我公司</w:t>
            </w:r>
            <w:r>
              <w:rPr>
                <w:rFonts w:hint="eastAsia" w:ascii="宋体" w:hAnsi="宋体" w:eastAsia="宋体" w:cs="宋体"/>
                <w:bCs/>
                <w:color w:val="auto"/>
                <w:kern w:val="2"/>
                <w:sz w:val="24"/>
                <w:szCs w:val="24"/>
                <w:highlight w:val="none"/>
                <w:lang w:val="en-US" w:eastAsia="zh-CN" w:bidi="ar-SA"/>
              </w:rPr>
              <w:t>保留核查的权利。对于弄虚作假行为，</w:t>
            </w:r>
            <w:r>
              <w:rPr>
                <w:rFonts w:hint="eastAsia" w:hAnsi="宋体" w:cs="宋体"/>
                <w:bCs/>
                <w:color w:val="auto"/>
                <w:kern w:val="2"/>
                <w:sz w:val="24"/>
                <w:szCs w:val="24"/>
                <w:highlight w:val="none"/>
                <w:lang w:val="en-US" w:eastAsia="zh-CN" w:bidi="ar-SA"/>
              </w:rPr>
              <w:t>响应人</w:t>
            </w:r>
            <w:r>
              <w:rPr>
                <w:rFonts w:hint="eastAsia" w:ascii="宋体" w:hAnsi="宋体" w:eastAsia="宋体" w:cs="宋体"/>
                <w:bCs/>
                <w:color w:val="auto"/>
                <w:kern w:val="2"/>
                <w:sz w:val="24"/>
                <w:szCs w:val="24"/>
                <w:highlight w:val="none"/>
                <w:lang w:val="en-US" w:eastAsia="zh-CN" w:bidi="ar-SA"/>
              </w:rPr>
              <w:t>必须承担由此而引起的各种后果和责任。</w:t>
            </w:r>
          </w:p>
          <w:p w14:paraId="66E82E5B">
            <w:pPr>
              <w:widowControl/>
              <w:adjustRightInd w:val="0"/>
              <w:snapToGrid w:val="0"/>
              <w:jc w:val="left"/>
              <w:textAlignment w:val="center"/>
              <w:rPr>
                <w:rFonts w:ascii="宋体" w:hAnsi="宋体" w:eastAsia="宋体" w:cs="宋体"/>
                <w:bCs/>
                <w:color w:val="auto"/>
                <w:kern w:val="2"/>
                <w:sz w:val="24"/>
                <w:szCs w:val="24"/>
                <w:highlight w:val="none"/>
                <w:lang w:val="en-US" w:eastAsia="zh-CN" w:bidi="ar-SA"/>
              </w:rPr>
            </w:pPr>
          </w:p>
        </w:tc>
      </w:tr>
    </w:tbl>
    <w:p w14:paraId="73823906">
      <w:pPr>
        <w:ind w:firstLine="420"/>
        <w:rPr>
          <w:rFonts w:ascii="宋体" w:hAnsi="宋体" w:eastAsia="宋体" w:cs="宋体"/>
          <w:color w:val="auto"/>
          <w:kern w:val="0"/>
          <w:szCs w:val="21"/>
          <w:highlight w:val="none"/>
          <w:lang w:bidi="zh-CN"/>
        </w:rPr>
      </w:pPr>
    </w:p>
    <w:p w14:paraId="29A4FCE6">
      <w:pPr>
        <w:rPr>
          <w:rFonts w:ascii="宋体" w:hAnsi="宋体" w:eastAsia="宋体" w:cs="宋体"/>
          <w:color w:val="auto"/>
          <w:sz w:val="24"/>
          <w:szCs w:val="24"/>
          <w:highlight w:val="none"/>
          <w:lang w:bidi="zh-CN"/>
        </w:rPr>
      </w:pPr>
    </w:p>
    <w:p w14:paraId="0DFDDB60">
      <w:pPr>
        <w:rPr>
          <w:color w:val="auto"/>
          <w:highlight w:val="none"/>
        </w:rPr>
      </w:pPr>
      <w:r>
        <w:rPr>
          <w:rFonts w:hint="eastAsia"/>
          <w:color w:val="auto"/>
          <w:highlight w:val="none"/>
        </w:rPr>
        <w:br w:type="page"/>
      </w:r>
    </w:p>
    <w:p w14:paraId="265FCF2F">
      <w:pPr>
        <w:pStyle w:val="44"/>
        <w:spacing w:after="312"/>
        <w:rPr>
          <w:rFonts w:hint="default"/>
          <w:color w:val="auto"/>
          <w:highlight w:val="none"/>
        </w:rPr>
      </w:pPr>
      <w:r>
        <w:rPr>
          <w:color w:val="auto"/>
          <w:highlight w:val="none"/>
        </w:rPr>
        <w:t>第二章  服务商须知</w:t>
      </w:r>
    </w:p>
    <w:p w14:paraId="3F1E1C5F">
      <w:pPr>
        <w:pStyle w:val="45"/>
        <w:spacing w:before="156"/>
        <w:rPr>
          <w:rFonts w:hint="default"/>
          <w:color w:val="auto"/>
          <w:highlight w:val="none"/>
        </w:rPr>
      </w:pPr>
      <w:r>
        <w:rPr>
          <w:color w:val="auto"/>
          <w:highlight w:val="none"/>
        </w:rPr>
        <w:t>服务商须知前附表</w:t>
      </w:r>
    </w:p>
    <w:tbl>
      <w:tblPr>
        <w:tblStyle w:val="25"/>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1604"/>
        <w:gridCol w:w="1604"/>
        <w:gridCol w:w="3210"/>
      </w:tblGrid>
      <w:tr w14:paraId="1B35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C66C052">
            <w:pPr>
              <w:pStyle w:val="13"/>
              <w:adjustRightInd w:val="0"/>
              <w:spacing w:line="360" w:lineRule="exact"/>
              <w:jc w:val="center"/>
              <w:rPr>
                <w:rFonts w:hAnsi="宋体" w:cs="宋体"/>
                <w:b/>
                <w:color w:val="auto"/>
                <w:highlight w:val="none"/>
              </w:rPr>
            </w:pPr>
            <w:r>
              <w:rPr>
                <w:rFonts w:hint="eastAsia" w:hAnsi="宋体" w:cs="宋体"/>
                <w:b/>
                <w:color w:val="auto"/>
                <w:highlight w:val="none"/>
              </w:rPr>
              <w:t>条款号</w:t>
            </w:r>
          </w:p>
        </w:tc>
        <w:tc>
          <w:tcPr>
            <w:tcW w:w="1711" w:type="dxa"/>
            <w:vAlign w:val="center"/>
          </w:tcPr>
          <w:p w14:paraId="1453D712">
            <w:pPr>
              <w:pStyle w:val="13"/>
              <w:spacing w:line="360" w:lineRule="exact"/>
              <w:jc w:val="center"/>
              <w:rPr>
                <w:rFonts w:hAnsi="宋体" w:cs="宋体"/>
                <w:b/>
                <w:color w:val="auto"/>
                <w:highlight w:val="none"/>
              </w:rPr>
            </w:pPr>
            <w:r>
              <w:rPr>
                <w:rFonts w:hint="eastAsia" w:hAnsi="宋体" w:cs="宋体"/>
                <w:b/>
                <w:color w:val="auto"/>
                <w:highlight w:val="none"/>
              </w:rPr>
              <w:t>条款名称</w:t>
            </w:r>
          </w:p>
        </w:tc>
        <w:tc>
          <w:tcPr>
            <w:tcW w:w="6418" w:type="dxa"/>
            <w:gridSpan w:val="3"/>
          </w:tcPr>
          <w:p w14:paraId="4844FCE6">
            <w:pPr>
              <w:pStyle w:val="13"/>
              <w:spacing w:line="360" w:lineRule="exact"/>
              <w:jc w:val="center"/>
              <w:rPr>
                <w:rFonts w:hAnsi="宋体" w:cs="宋体"/>
                <w:b/>
                <w:color w:val="auto"/>
                <w:highlight w:val="none"/>
              </w:rPr>
            </w:pPr>
            <w:r>
              <w:rPr>
                <w:rFonts w:hint="eastAsia" w:hAnsi="宋体" w:cs="宋体"/>
                <w:b/>
                <w:color w:val="auto"/>
                <w:highlight w:val="none"/>
              </w:rPr>
              <w:t>详细内容</w:t>
            </w:r>
          </w:p>
        </w:tc>
      </w:tr>
      <w:tr w14:paraId="09F8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FE6DFB3">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p>
        </w:tc>
        <w:tc>
          <w:tcPr>
            <w:tcW w:w="1711" w:type="dxa"/>
            <w:vAlign w:val="center"/>
          </w:tcPr>
          <w:p w14:paraId="2F21B0DC">
            <w:pPr>
              <w:pStyle w:val="13"/>
              <w:spacing w:line="360" w:lineRule="exact"/>
              <w:jc w:val="center"/>
              <w:rPr>
                <w:rFonts w:hAnsi="宋体" w:cs="宋体"/>
                <w:color w:val="auto"/>
                <w:highlight w:val="none"/>
              </w:rPr>
            </w:pPr>
            <w:r>
              <w:rPr>
                <w:rFonts w:hint="eastAsia" w:hAnsi="宋体" w:cs="宋体"/>
                <w:color w:val="auto"/>
                <w:highlight w:val="none"/>
              </w:rPr>
              <w:t>采购人</w:t>
            </w:r>
          </w:p>
        </w:tc>
        <w:tc>
          <w:tcPr>
            <w:tcW w:w="6418" w:type="dxa"/>
            <w:gridSpan w:val="3"/>
            <w:vAlign w:val="center"/>
          </w:tcPr>
          <w:p w14:paraId="7F9B9D4C">
            <w:pPr>
              <w:pStyle w:val="13"/>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采购人：广西自贸区钦州港片区开发投资集团有限责任公司</w:t>
            </w:r>
          </w:p>
          <w:p w14:paraId="74E66461">
            <w:pPr>
              <w:pStyle w:val="13"/>
              <w:spacing w:line="360" w:lineRule="exact"/>
              <w:jc w:val="left"/>
              <w:rPr>
                <w:rFonts w:hint="default" w:hAnsi="宋体" w:eastAsia="宋体" w:cs="宋体"/>
                <w:bCs/>
                <w:color w:val="auto"/>
                <w:sz w:val="24"/>
                <w:szCs w:val="24"/>
                <w:highlight w:val="none"/>
                <w:lang w:val="en-US" w:eastAsia="zh-CN"/>
              </w:rPr>
            </w:pPr>
            <w:r>
              <w:rPr>
                <w:rFonts w:hint="eastAsia" w:hAnsi="宋体" w:cs="宋体"/>
                <w:bCs/>
                <w:color w:val="auto"/>
                <w:sz w:val="24"/>
                <w:szCs w:val="24"/>
                <w:highlight w:val="none"/>
              </w:rPr>
              <w:t>项目联系人：</w:t>
            </w:r>
            <w:r>
              <w:rPr>
                <w:rFonts w:hint="eastAsia" w:hAnsi="宋体" w:cs="宋体"/>
                <w:bCs/>
                <w:color w:val="auto"/>
                <w:sz w:val="24"/>
                <w:szCs w:val="24"/>
                <w:highlight w:val="none"/>
                <w:lang w:val="en-US" w:eastAsia="zh-CN"/>
              </w:rPr>
              <w:t>林振慧</w:t>
            </w:r>
          </w:p>
          <w:p w14:paraId="5B35EDE7">
            <w:pPr>
              <w:pStyle w:val="13"/>
              <w:spacing w:line="360" w:lineRule="exact"/>
              <w:jc w:val="left"/>
              <w:rPr>
                <w:rFonts w:hint="default" w:hAnsi="宋体" w:eastAsia="宋体" w:cs="宋体"/>
                <w:color w:val="auto"/>
                <w:highlight w:val="none"/>
                <w:lang w:val="en-US" w:eastAsia="zh-CN"/>
              </w:rPr>
            </w:pPr>
            <w:r>
              <w:rPr>
                <w:rFonts w:hint="eastAsia" w:hAnsi="宋体" w:cs="宋体"/>
                <w:color w:val="auto"/>
                <w:highlight w:val="none"/>
              </w:rPr>
              <w:t>电话：</w:t>
            </w:r>
            <w:r>
              <w:rPr>
                <w:rFonts w:hint="eastAsia" w:hAnsi="宋体" w:cs="宋体"/>
                <w:bCs/>
                <w:color w:val="auto"/>
                <w:sz w:val="24"/>
                <w:szCs w:val="24"/>
                <w:highlight w:val="none"/>
                <w:u w:val="single"/>
              </w:rPr>
              <w:t>1</w:t>
            </w:r>
            <w:r>
              <w:rPr>
                <w:rFonts w:hint="eastAsia" w:hAnsi="宋体" w:cs="宋体"/>
                <w:bCs/>
                <w:color w:val="auto"/>
                <w:sz w:val="24"/>
                <w:szCs w:val="24"/>
                <w:highlight w:val="none"/>
                <w:u w:val="single"/>
                <w:lang w:val="en-US" w:eastAsia="zh-CN"/>
              </w:rPr>
              <w:t>8077760127</w:t>
            </w:r>
          </w:p>
        </w:tc>
      </w:tr>
      <w:tr w14:paraId="1E9F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0F18486">
            <w:pPr>
              <w:pStyle w:val="13"/>
              <w:spacing w:line="360" w:lineRule="exact"/>
              <w:jc w:val="center"/>
              <w:rPr>
                <w:rFonts w:hAnsi="宋体" w:cs="宋体"/>
                <w:color w:val="auto"/>
                <w:highlight w:val="none"/>
              </w:rPr>
            </w:pPr>
            <w:r>
              <w:rPr>
                <w:rFonts w:ascii="Times New Roman" w:hAnsi="Times New Roman" w:cs="Times New Roman"/>
                <w:color w:val="auto"/>
                <w:highlight w:val="none"/>
              </w:rPr>
              <w:t>2</w:t>
            </w:r>
          </w:p>
        </w:tc>
        <w:tc>
          <w:tcPr>
            <w:tcW w:w="1711" w:type="dxa"/>
            <w:vAlign w:val="center"/>
          </w:tcPr>
          <w:p w14:paraId="759E9B5D">
            <w:pPr>
              <w:pStyle w:val="13"/>
              <w:spacing w:line="360" w:lineRule="exact"/>
              <w:jc w:val="center"/>
              <w:rPr>
                <w:rFonts w:hAnsi="宋体" w:cs="宋体"/>
                <w:color w:val="auto"/>
                <w:highlight w:val="none"/>
              </w:rPr>
            </w:pPr>
            <w:r>
              <w:rPr>
                <w:rFonts w:hint="eastAsia" w:hAnsi="宋体" w:cs="宋体"/>
                <w:color w:val="auto"/>
                <w:highlight w:val="none"/>
              </w:rPr>
              <w:t>项目名称</w:t>
            </w:r>
          </w:p>
        </w:tc>
        <w:tc>
          <w:tcPr>
            <w:tcW w:w="6418" w:type="dxa"/>
            <w:gridSpan w:val="3"/>
            <w:vAlign w:val="center"/>
          </w:tcPr>
          <w:p w14:paraId="2DC4DF02">
            <w:pPr>
              <w:spacing w:line="400" w:lineRule="exact"/>
              <w:rPr>
                <w:rFonts w:hint="default" w:hAnsi="宋体" w:eastAsia="宋体" w:cs="宋体"/>
                <w:color w:val="auto"/>
                <w:highlight w:val="none"/>
                <w:lang w:val="en-US" w:eastAsia="zh-CN"/>
              </w:rPr>
            </w:pPr>
            <w:r>
              <w:rPr>
                <w:rFonts w:hint="eastAsia" w:ascii="宋体" w:hAnsi="宋体" w:eastAsia="宋体" w:cs="宋体"/>
                <w:b w:val="0"/>
                <w:bCs/>
                <w:color w:val="auto"/>
                <w:sz w:val="24"/>
                <w:szCs w:val="24"/>
                <w:highlight w:val="none"/>
                <w:u w:val="single"/>
              </w:rPr>
              <w:t>广西自贸区钦州港片区开发投资集团有限责任公司</w:t>
            </w:r>
            <w:r>
              <w:rPr>
                <w:rFonts w:hint="eastAsia" w:ascii="宋体" w:hAnsi="宋体" w:eastAsia="宋体" w:cs="宋体"/>
                <w:b w:val="0"/>
                <w:bCs/>
                <w:color w:val="auto"/>
                <w:sz w:val="24"/>
                <w:szCs w:val="24"/>
                <w:highlight w:val="none"/>
                <w:u w:val="single"/>
                <w:lang w:val="en-US" w:eastAsia="zh-CN"/>
              </w:rPr>
              <w:t>企业年金基金受托管理服务采购项目</w:t>
            </w:r>
          </w:p>
        </w:tc>
      </w:tr>
      <w:tr w14:paraId="11E5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EBD35CD">
            <w:pPr>
              <w:pStyle w:val="13"/>
              <w:spacing w:line="360" w:lineRule="exact"/>
              <w:jc w:val="center"/>
              <w:rPr>
                <w:rFonts w:hAnsi="宋体" w:cs="宋体"/>
                <w:color w:val="auto"/>
                <w:highlight w:val="none"/>
              </w:rPr>
            </w:pPr>
            <w:r>
              <w:rPr>
                <w:rFonts w:ascii="Times New Roman" w:hAnsi="Times New Roman" w:cs="Times New Roman"/>
                <w:color w:val="auto"/>
                <w:highlight w:val="none"/>
              </w:rPr>
              <w:t>3</w:t>
            </w:r>
          </w:p>
        </w:tc>
        <w:tc>
          <w:tcPr>
            <w:tcW w:w="1711" w:type="dxa"/>
            <w:vAlign w:val="center"/>
          </w:tcPr>
          <w:p w14:paraId="3812A936">
            <w:pPr>
              <w:pStyle w:val="13"/>
              <w:spacing w:line="360" w:lineRule="exact"/>
              <w:jc w:val="center"/>
              <w:rPr>
                <w:rFonts w:hint="default" w:hAnsi="宋体" w:eastAsia="宋体" w:cs="宋体"/>
                <w:color w:val="auto"/>
                <w:highlight w:val="none"/>
                <w:lang w:val="en-US" w:eastAsia="zh-CN"/>
              </w:rPr>
            </w:pPr>
            <w:r>
              <w:rPr>
                <w:rFonts w:hint="eastAsia" w:hAnsi="宋体" w:cs="宋体"/>
                <w:color w:val="auto"/>
                <w:highlight w:val="none"/>
                <w:lang w:val="en-US" w:eastAsia="zh-CN"/>
              </w:rPr>
              <w:t>目标</w:t>
            </w:r>
          </w:p>
        </w:tc>
        <w:tc>
          <w:tcPr>
            <w:tcW w:w="6418" w:type="dxa"/>
            <w:gridSpan w:val="3"/>
            <w:vAlign w:val="center"/>
          </w:tcPr>
          <w:p w14:paraId="16A5A713">
            <w:pPr>
              <w:pStyle w:val="13"/>
              <w:spacing w:line="360" w:lineRule="exact"/>
              <w:jc w:val="left"/>
              <w:rPr>
                <w:rFonts w:hint="eastAsia" w:hAnsi="宋体" w:cs="宋体"/>
                <w:bCs/>
                <w:color w:val="auto"/>
                <w:sz w:val="24"/>
                <w:szCs w:val="24"/>
                <w:highlight w:val="none"/>
              </w:rPr>
            </w:pPr>
            <w:r>
              <w:rPr>
                <w:rFonts w:hint="eastAsia" w:hAnsi="宋体" w:cs="宋体"/>
                <w:b/>
                <w:bCs w:val="0"/>
                <w:color w:val="auto"/>
                <w:sz w:val="24"/>
                <w:szCs w:val="24"/>
                <w:highlight w:val="none"/>
              </w:rPr>
              <w:t>本公司企业年金拟采用集合计划模式，选择固定收益类组合，</w:t>
            </w:r>
            <w:r>
              <w:rPr>
                <w:rFonts w:hint="eastAsia" w:hAnsi="宋体" w:cs="宋体"/>
                <w:bCs/>
                <w:color w:val="auto"/>
                <w:sz w:val="24"/>
                <w:szCs w:val="24"/>
                <w:highlight w:val="none"/>
              </w:rPr>
              <w:t>在风险可控的前提下获得合理投资收益；确保企业年金计划投资运作规范及透明；确保信息披露规范及时。</w:t>
            </w:r>
          </w:p>
          <w:p w14:paraId="524DACED">
            <w:pPr>
              <w:spacing w:line="360" w:lineRule="exact"/>
              <w:rPr>
                <w:rFonts w:hAnsi="宋体" w:eastAsia="宋体" w:cs="宋体"/>
                <w:color w:val="auto"/>
                <w:highlight w:val="none"/>
              </w:rPr>
            </w:pPr>
          </w:p>
        </w:tc>
      </w:tr>
      <w:tr w14:paraId="4BC1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Merge w:val="restart"/>
            <w:shd w:val="clear" w:color="auto" w:fill="auto"/>
            <w:vAlign w:val="center"/>
          </w:tcPr>
          <w:p w14:paraId="34ECBF8E">
            <w:pPr>
              <w:pStyle w:val="13"/>
              <w:spacing w:line="36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w:t>
            </w:r>
          </w:p>
          <w:p w14:paraId="2D5E055E">
            <w:pPr>
              <w:pStyle w:val="13"/>
              <w:spacing w:line="360" w:lineRule="exact"/>
              <w:jc w:val="center"/>
              <w:rPr>
                <w:rFonts w:hAnsi="宋体" w:cs="宋体"/>
                <w:color w:val="auto"/>
                <w:highlight w:val="none"/>
              </w:rPr>
            </w:pPr>
          </w:p>
          <w:p w14:paraId="1B941C42">
            <w:pPr>
              <w:pStyle w:val="13"/>
              <w:spacing w:line="360" w:lineRule="exact"/>
              <w:jc w:val="center"/>
              <w:rPr>
                <w:rFonts w:hAnsi="宋体" w:cs="宋体"/>
                <w:color w:val="auto"/>
                <w:highlight w:val="none"/>
              </w:rPr>
            </w:pPr>
          </w:p>
        </w:tc>
        <w:tc>
          <w:tcPr>
            <w:tcW w:w="1711" w:type="dxa"/>
            <w:vMerge w:val="restart"/>
            <w:shd w:val="clear" w:color="auto" w:fill="auto"/>
            <w:vAlign w:val="center"/>
          </w:tcPr>
          <w:p w14:paraId="2C155F09">
            <w:pPr>
              <w:pStyle w:val="13"/>
              <w:spacing w:line="360" w:lineRule="exact"/>
              <w:jc w:val="center"/>
              <w:rPr>
                <w:rFonts w:hint="eastAsia" w:hAnsi="宋体" w:cs="宋体"/>
                <w:color w:val="auto"/>
                <w:highlight w:val="none"/>
                <w:lang w:val="en-US" w:eastAsia="zh-CN"/>
              </w:rPr>
            </w:pPr>
            <w:r>
              <w:rPr>
                <w:rFonts w:hint="eastAsia" w:hAnsi="宋体" w:cs="宋体"/>
                <w:color w:val="auto"/>
                <w:highlight w:val="none"/>
                <w:lang w:val="en-US" w:eastAsia="zh-CN"/>
              </w:rPr>
              <w:t>管理费率</w:t>
            </w:r>
          </w:p>
          <w:p w14:paraId="3672AB2D">
            <w:pPr>
              <w:pStyle w:val="13"/>
              <w:spacing w:line="360" w:lineRule="exact"/>
              <w:jc w:val="center"/>
              <w:rPr>
                <w:rFonts w:ascii="宋体" w:hAnsi="宋体" w:eastAsia="宋体" w:cs="宋体"/>
                <w:color w:val="auto"/>
                <w:kern w:val="2"/>
                <w:sz w:val="21"/>
                <w:szCs w:val="21"/>
                <w:highlight w:val="none"/>
                <w:lang w:val="en-US" w:eastAsia="zh-CN" w:bidi="ar-SA"/>
              </w:rPr>
            </w:pPr>
            <w:r>
              <w:rPr>
                <w:rFonts w:hint="eastAsia" w:hAnsi="宋体" w:cs="宋体"/>
                <w:color w:val="auto"/>
                <w:highlight w:val="none"/>
                <w:lang w:val="en-US" w:eastAsia="zh-CN"/>
              </w:rPr>
              <w:t>报价限价</w:t>
            </w:r>
          </w:p>
        </w:tc>
        <w:tc>
          <w:tcPr>
            <w:tcW w:w="1604" w:type="dxa"/>
            <w:shd w:val="clear" w:color="auto" w:fill="auto"/>
            <w:vAlign w:val="center"/>
          </w:tcPr>
          <w:p w14:paraId="7EF7BB22">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lang w:eastAsia="zh-CN"/>
              </w:rPr>
              <w:t>服务内容</w:t>
            </w:r>
          </w:p>
        </w:tc>
        <w:tc>
          <w:tcPr>
            <w:tcW w:w="1604" w:type="dxa"/>
            <w:shd w:val="clear" w:color="auto" w:fill="auto"/>
            <w:vAlign w:val="center"/>
          </w:tcPr>
          <w:p w14:paraId="7F5C3121">
            <w:pPr>
              <w:spacing w:line="36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lang w:eastAsia="zh-CN"/>
              </w:rPr>
              <w:t>年金规模</w:t>
            </w:r>
          </w:p>
        </w:tc>
        <w:tc>
          <w:tcPr>
            <w:tcW w:w="3210" w:type="dxa"/>
            <w:shd w:val="clear" w:color="auto" w:fill="auto"/>
            <w:vAlign w:val="center"/>
          </w:tcPr>
          <w:p w14:paraId="2C133A34">
            <w:pPr>
              <w:spacing w:line="360" w:lineRule="exact"/>
              <w:jc w:val="center"/>
              <w:rPr>
                <w:rFonts w:hAnsi="宋体" w:eastAsia="宋体" w:cs="宋体" w:asciiTheme="minorHAnsi"/>
                <w:color w:val="auto"/>
                <w:kern w:val="2"/>
                <w:sz w:val="21"/>
                <w:szCs w:val="22"/>
                <w:highlight w:val="none"/>
                <w:lang w:val="en-US" w:eastAsia="zh-CN" w:bidi="ar-SA"/>
              </w:rPr>
            </w:pPr>
            <w:r>
              <w:rPr>
                <w:rFonts w:hint="eastAsia" w:ascii="宋体" w:hAnsi="宋体" w:eastAsia="宋体" w:cs="宋体"/>
                <w:b/>
                <w:color w:val="auto"/>
                <w:sz w:val="21"/>
                <w:szCs w:val="21"/>
                <w:lang w:eastAsia="zh-CN"/>
              </w:rPr>
              <w:t>费率</w:t>
            </w:r>
            <w:r>
              <w:rPr>
                <w:rFonts w:hint="eastAsia" w:ascii="宋体" w:hAnsi="宋体" w:eastAsia="宋体" w:cs="宋体"/>
                <w:b/>
                <w:color w:val="auto"/>
                <w:sz w:val="21"/>
                <w:szCs w:val="21"/>
                <w:lang w:val="en-US" w:eastAsia="zh-CN"/>
              </w:rPr>
              <w:t>报价上限</w:t>
            </w:r>
          </w:p>
        </w:tc>
      </w:tr>
      <w:tr w14:paraId="358F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72" w:type="dxa"/>
            <w:vMerge w:val="continue"/>
            <w:vAlign w:val="center"/>
          </w:tcPr>
          <w:p w14:paraId="27D4DA84">
            <w:pPr>
              <w:pStyle w:val="13"/>
              <w:spacing w:line="360" w:lineRule="exact"/>
              <w:jc w:val="both"/>
              <w:rPr>
                <w:rFonts w:hAnsi="宋体" w:cs="宋体"/>
                <w:color w:val="auto"/>
                <w:highlight w:val="none"/>
              </w:rPr>
            </w:pPr>
          </w:p>
        </w:tc>
        <w:tc>
          <w:tcPr>
            <w:tcW w:w="1711" w:type="dxa"/>
            <w:vMerge w:val="continue"/>
            <w:vAlign w:val="center"/>
          </w:tcPr>
          <w:p w14:paraId="76852C76">
            <w:pPr>
              <w:pStyle w:val="13"/>
              <w:spacing w:line="360" w:lineRule="exact"/>
              <w:jc w:val="center"/>
              <w:rPr>
                <w:rFonts w:hAnsi="宋体" w:cs="宋体"/>
                <w:color w:val="auto"/>
                <w:highlight w:val="none"/>
              </w:rPr>
            </w:pPr>
          </w:p>
        </w:tc>
        <w:tc>
          <w:tcPr>
            <w:tcW w:w="1604" w:type="dxa"/>
            <w:vAlign w:val="center"/>
          </w:tcPr>
          <w:p w14:paraId="1AD53FA4">
            <w:pPr>
              <w:spacing w:line="24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受托</w:t>
            </w:r>
            <w:r>
              <w:rPr>
                <w:rFonts w:hint="eastAsia" w:ascii="宋体" w:hAnsi="宋体" w:eastAsia="宋体" w:cs="宋体"/>
                <w:color w:val="auto"/>
                <w:sz w:val="21"/>
                <w:szCs w:val="21"/>
                <w:lang w:eastAsia="zh-CN"/>
              </w:rPr>
              <w:t>人管理费</w:t>
            </w:r>
          </w:p>
        </w:tc>
        <w:tc>
          <w:tcPr>
            <w:tcW w:w="1604" w:type="dxa"/>
            <w:vMerge w:val="restart"/>
            <w:vAlign w:val="center"/>
          </w:tcPr>
          <w:p w14:paraId="27F935A0">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lang w:eastAsia="zh-CN"/>
              </w:rPr>
              <w:t>根据202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年工资总额测算托管企业年金基金管理年</w:t>
            </w:r>
            <w:r>
              <w:rPr>
                <w:rFonts w:hint="eastAsia" w:ascii="宋体" w:hAnsi="宋体" w:eastAsia="宋体" w:cs="宋体"/>
                <w:color w:val="auto"/>
                <w:sz w:val="21"/>
                <w:szCs w:val="21"/>
                <w:lang w:val="en-US" w:eastAsia="zh-CN"/>
              </w:rPr>
              <w:t>基数</w:t>
            </w:r>
            <w:r>
              <w:rPr>
                <w:rFonts w:hint="eastAsia" w:ascii="宋体" w:hAnsi="宋体" w:eastAsia="宋体" w:cs="宋体"/>
                <w:color w:val="auto"/>
                <w:sz w:val="21"/>
                <w:szCs w:val="21"/>
                <w:lang w:eastAsia="zh-CN"/>
              </w:rPr>
              <w:t>规模预计</w:t>
            </w:r>
            <w:r>
              <w:rPr>
                <w:rFonts w:hint="eastAsia" w:ascii="宋体" w:hAnsi="宋体" w:eastAsia="宋体" w:cs="宋体"/>
                <w:color w:val="auto"/>
                <w:sz w:val="21"/>
                <w:szCs w:val="21"/>
                <w:lang w:val="en-US" w:eastAsia="zh-CN"/>
              </w:rPr>
              <w:t>4600</w:t>
            </w:r>
            <w:r>
              <w:rPr>
                <w:rFonts w:hint="eastAsia" w:ascii="宋体" w:hAnsi="宋体" w:eastAsia="宋体" w:cs="宋体"/>
                <w:color w:val="auto"/>
                <w:sz w:val="21"/>
                <w:szCs w:val="21"/>
                <w:lang w:eastAsia="zh-CN"/>
              </w:rPr>
              <w:t>万元，具体金额以实际缴纳人数为准。</w:t>
            </w:r>
          </w:p>
        </w:tc>
        <w:tc>
          <w:tcPr>
            <w:tcW w:w="3210" w:type="dxa"/>
            <w:vAlign w:val="center"/>
          </w:tcPr>
          <w:p w14:paraId="0C5FC6C0">
            <w:pPr>
              <w:spacing w:line="360" w:lineRule="exact"/>
              <w:jc w:val="left"/>
              <w:rPr>
                <w:rFonts w:hint="default" w:hAnsi="宋体" w:eastAsia="宋体" w:cs="宋体"/>
                <w:color w:val="auto"/>
                <w:highlight w:val="none"/>
                <w:lang w:val="en-US" w:eastAsia="zh-CN"/>
              </w:rPr>
            </w:pPr>
            <w:r>
              <w:rPr>
                <w:rFonts w:hint="eastAsia" w:ascii="宋体" w:hAnsi="宋体" w:eastAsia="宋体" w:cs="宋体"/>
                <w:color w:val="000000"/>
                <w:sz w:val="21"/>
                <w:szCs w:val="21"/>
                <w:lang w:val="en-US" w:eastAsia="zh-CN"/>
              </w:rPr>
              <w:t>企业年金基金财产净值的千分之一点一</w:t>
            </w:r>
          </w:p>
        </w:tc>
      </w:tr>
      <w:tr w14:paraId="067F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Merge w:val="continue"/>
            <w:vAlign w:val="center"/>
          </w:tcPr>
          <w:p w14:paraId="49347CE3">
            <w:pPr>
              <w:pStyle w:val="13"/>
              <w:spacing w:line="360" w:lineRule="exact"/>
              <w:jc w:val="center"/>
              <w:rPr>
                <w:rFonts w:hAnsi="宋体" w:cs="宋体"/>
                <w:color w:val="auto"/>
                <w:highlight w:val="none"/>
              </w:rPr>
            </w:pPr>
          </w:p>
        </w:tc>
        <w:tc>
          <w:tcPr>
            <w:tcW w:w="1711" w:type="dxa"/>
            <w:vMerge w:val="continue"/>
            <w:vAlign w:val="center"/>
          </w:tcPr>
          <w:p w14:paraId="72C329A8">
            <w:pPr>
              <w:pStyle w:val="13"/>
              <w:spacing w:line="360" w:lineRule="exact"/>
              <w:jc w:val="center"/>
              <w:rPr>
                <w:rFonts w:hAnsi="宋体" w:cs="宋体"/>
                <w:color w:val="auto"/>
                <w:highlight w:val="none"/>
              </w:rPr>
            </w:pPr>
          </w:p>
        </w:tc>
        <w:tc>
          <w:tcPr>
            <w:tcW w:w="1604" w:type="dxa"/>
            <w:vAlign w:val="center"/>
          </w:tcPr>
          <w:p w14:paraId="065768BB">
            <w:pPr>
              <w:spacing w:line="24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投管</w:t>
            </w:r>
            <w:r>
              <w:rPr>
                <w:rFonts w:hint="eastAsia" w:ascii="宋体" w:hAnsi="宋体" w:eastAsia="宋体" w:cs="宋体"/>
                <w:color w:val="auto"/>
                <w:sz w:val="21"/>
                <w:szCs w:val="21"/>
                <w:lang w:eastAsia="zh-CN"/>
              </w:rPr>
              <w:t>人管理</w:t>
            </w:r>
            <w:r>
              <w:rPr>
                <w:rFonts w:hint="eastAsia" w:ascii="宋体" w:hAnsi="宋体" w:eastAsia="宋体" w:cs="宋体"/>
                <w:color w:val="auto"/>
                <w:sz w:val="21"/>
                <w:szCs w:val="21"/>
              </w:rPr>
              <w:t>费</w:t>
            </w:r>
          </w:p>
        </w:tc>
        <w:tc>
          <w:tcPr>
            <w:tcW w:w="1604" w:type="dxa"/>
            <w:vMerge w:val="continue"/>
            <w:vAlign w:val="center"/>
          </w:tcPr>
          <w:p w14:paraId="3C4B8610">
            <w:pPr>
              <w:spacing w:line="240" w:lineRule="auto"/>
              <w:ind w:firstLine="210" w:firstLineChars="100"/>
              <w:rPr>
                <w:rFonts w:hint="eastAsia" w:ascii="宋体" w:hAnsi="宋体" w:eastAsia="宋体" w:cs="宋体"/>
                <w:color w:val="auto"/>
                <w:sz w:val="21"/>
                <w:szCs w:val="21"/>
                <w:highlight w:val="none"/>
              </w:rPr>
            </w:pPr>
          </w:p>
        </w:tc>
        <w:tc>
          <w:tcPr>
            <w:tcW w:w="3210" w:type="dxa"/>
            <w:vAlign w:val="center"/>
          </w:tcPr>
          <w:p w14:paraId="1EBBAA5A">
            <w:pPr>
              <w:spacing w:line="360" w:lineRule="exact"/>
              <w:jc w:val="left"/>
              <w:rPr>
                <w:rFonts w:hAnsi="宋体" w:eastAsia="宋体" w:cs="宋体"/>
                <w:color w:val="auto"/>
                <w:highlight w:val="none"/>
              </w:rPr>
            </w:pPr>
            <w:r>
              <w:rPr>
                <w:rFonts w:hint="eastAsia" w:ascii="宋体" w:hAnsi="宋体" w:eastAsia="宋体" w:cs="宋体"/>
                <w:color w:val="000000"/>
                <w:sz w:val="21"/>
                <w:szCs w:val="21"/>
                <w:lang w:val="en-US" w:eastAsia="zh-CN"/>
              </w:rPr>
              <w:t>企业年金基金财产净值的千分之五</w:t>
            </w:r>
          </w:p>
        </w:tc>
      </w:tr>
      <w:tr w14:paraId="7114F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Merge w:val="continue"/>
            <w:vAlign w:val="center"/>
          </w:tcPr>
          <w:p w14:paraId="47E8416B">
            <w:pPr>
              <w:pStyle w:val="13"/>
              <w:spacing w:line="360" w:lineRule="exact"/>
              <w:jc w:val="center"/>
              <w:rPr>
                <w:rFonts w:hAnsi="宋体" w:cs="宋体"/>
                <w:color w:val="auto"/>
                <w:highlight w:val="none"/>
              </w:rPr>
            </w:pPr>
          </w:p>
        </w:tc>
        <w:tc>
          <w:tcPr>
            <w:tcW w:w="1711" w:type="dxa"/>
            <w:vMerge w:val="continue"/>
            <w:vAlign w:val="center"/>
          </w:tcPr>
          <w:p w14:paraId="4FA68CDE">
            <w:pPr>
              <w:pStyle w:val="13"/>
              <w:spacing w:line="360" w:lineRule="exact"/>
              <w:jc w:val="center"/>
              <w:rPr>
                <w:rFonts w:hAnsi="宋体" w:cs="宋体"/>
                <w:color w:val="auto"/>
                <w:highlight w:val="none"/>
              </w:rPr>
            </w:pPr>
          </w:p>
        </w:tc>
        <w:tc>
          <w:tcPr>
            <w:tcW w:w="1604" w:type="dxa"/>
            <w:vAlign w:val="center"/>
          </w:tcPr>
          <w:p w14:paraId="73F0ED1D">
            <w:pPr>
              <w:spacing w:line="24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托管</w:t>
            </w:r>
            <w:r>
              <w:rPr>
                <w:rFonts w:hint="eastAsia" w:ascii="宋体" w:hAnsi="宋体" w:eastAsia="宋体" w:cs="宋体"/>
                <w:color w:val="auto"/>
                <w:sz w:val="21"/>
                <w:szCs w:val="21"/>
                <w:lang w:eastAsia="zh-CN"/>
              </w:rPr>
              <w:t>人管理</w:t>
            </w:r>
            <w:r>
              <w:rPr>
                <w:rFonts w:hint="eastAsia" w:ascii="宋体" w:hAnsi="宋体" w:eastAsia="宋体" w:cs="宋体"/>
                <w:color w:val="auto"/>
                <w:sz w:val="21"/>
                <w:szCs w:val="21"/>
              </w:rPr>
              <w:t>费</w:t>
            </w:r>
          </w:p>
        </w:tc>
        <w:tc>
          <w:tcPr>
            <w:tcW w:w="1604" w:type="dxa"/>
            <w:vMerge w:val="continue"/>
            <w:vAlign w:val="center"/>
          </w:tcPr>
          <w:p w14:paraId="472A7D93">
            <w:pPr>
              <w:spacing w:line="240" w:lineRule="auto"/>
              <w:ind w:firstLine="210" w:firstLineChars="100"/>
              <w:rPr>
                <w:rFonts w:hint="eastAsia" w:ascii="宋体" w:hAnsi="宋体" w:eastAsia="宋体" w:cs="宋体"/>
                <w:color w:val="auto"/>
                <w:sz w:val="21"/>
                <w:szCs w:val="21"/>
                <w:highlight w:val="none"/>
              </w:rPr>
            </w:pPr>
          </w:p>
        </w:tc>
        <w:tc>
          <w:tcPr>
            <w:tcW w:w="3210" w:type="dxa"/>
            <w:vAlign w:val="center"/>
          </w:tcPr>
          <w:p w14:paraId="203E7ACE">
            <w:pPr>
              <w:spacing w:line="360" w:lineRule="exact"/>
              <w:jc w:val="left"/>
              <w:rPr>
                <w:rFonts w:hAnsi="宋体" w:eastAsia="宋体" w:cs="宋体"/>
                <w:color w:val="auto"/>
                <w:highlight w:val="none"/>
              </w:rPr>
            </w:pPr>
            <w:r>
              <w:rPr>
                <w:rFonts w:hint="eastAsia" w:ascii="宋体" w:hAnsi="宋体" w:eastAsia="宋体" w:cs="宋体"/>
                <w:color w:val="000000"/>
                <w:sz w:val="21"/>
                <w:szCs w:val="21"/>
                <w:lang w:val="en-US" w:eastAsia="zh-CN"/>
              </w:rPr>
              <w:t>企业年金基金财产净值的千分之零点七</w:t>
            </w:r>
          </w:p>
        </w:tc>
      </w:tr>
      <w:tr w14:paraId="7571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Merge w:val="continue"/>
            <w:vAlign w:val="center"/>
          </w:tcPr>
          <w:p w14:paraId="4BD52D42">
            <w:pPr>
              <w:pStyle w:val="13"/>
              <w:spacing w:line="360" w:lineRule="exact"/>
              <w:jc w:val="center"/>
              <w:rPr>
                <w:rFonts w:hAnsi="宋体" w:cs="宋体"/>
                <w:color w:val="auto"/>
                <w:highlight w:val="none"/>
              </w:rPr>
            </w:pPr>
          </w:p>
        </w:tc>
        <w:tc>
          <w:tcPr>
            <w:tcW w:w="1711" w:type="dxa"/>
            <w:vMerge w:val="continue"/>
            <w:vAlign w:val="center"/>
          </w:tcPr>
          <w:p w14:paraId="6AC86E6E">
            <w:pPr>
              <w:pStyle w:val="13"/>
              <w:spacing w:line="360" w:lineRule="exact"/>
              <w:jc w:val="center"/>
              <w:rPr>
                <w:rFonts w:hAnsi="宋体" w:cs="宋体"/>
                <w:color w:val="auto"/>
                <w:highlight w:val="none"/>
              </w:rPr>
            </w:pPr>
          </w:p>
        </w:tc>
        <w:tc>
          <w:tcPr>
            <w:tcW w:w="1604" w:type="dxa"/>
            <w:vAlign w:val="center"/>
          </w:tcPr>
          <w:p w14:paraId="7EB40969">
            <w:pPr>
              <w:spacing w:line="24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账管</w:t>
            </w:r>
            <w:r>
              <w:rPr>
                <w:rFonts w:hint="eastAsia" w:ascii="宋体" w:hAnsi="宋体" w:eastAsia="宋体" w:cs="宋体"/>
                <w:color w:val="auto"/>
                <w:sz w:val="21"/>
                <w:szCs w:val="21"/>
                <w:lang w:eastAsia="zh-CN"/>
              </w:rPr>
              <w:t>人管理</w:t>
            </w:r>
            <w:r>
              <w:rPr>
                <w:rFonts w:hint="eastAsia" w:ascii="宋体" w:hAnsi="宋体" w:eastAsia="宋体" w:cs="宋体"/>
                <w:color w:val="auto"/>
                <w:sz w:val="21"/>
                <w:szCs w:val="21"/>
              </w:rPr>
              <w:t>费</w:t>
            </w:r>
          </w:p>
        </w:tc>
        <w:tc>
          <w:tcPr>
            <w:tcW w:w="1604" w:type="dxa"/>
            <w:vMerge w:val="continue"/>
            <w:vAlign w:val="center"/>
          </w:tcPr>
          <w:p w14:paraId="4709F3E1">
            <w:pPr>
              <w:spacing w:line="240" w:lineRule="auto"/>
              <w:ind w:firstLine="210" w:firstLineChars="100"/>
              <w:rPr>
                <w:rFonts w:hint="eastAsia" w:ascii="宋体" w:hAnsi="宋体" w:eastAsia="宋体" w:cs="宋体"/>
                <w:color w:val="auto"/>
                <w:sz w:val="21"/>
                <w:szCs w:val="21"/>
                <w:highlight w:val="none"/>
              </w:rPr>
            </w:pPr>
          </w:p>
        </w:tc>
        <w:tc>
          <w:tcPr>
            <w:tcW w:w="3210" w:type="dxa"/>
            <w:vAlign w:val="center"/>
          </w:tcPr>
          <w:p w14:paraId="2FE5FD17">
            <w:pPr>
              <w:spacing w:line="360" w:lineRule="exact"/>
              <w:rPr>
                <w:rFonts w:hAnsi="宋体" w:eastAsia="宋体" w:cs="宋体"/>
                <w:color w:val="auto"/>
                <w:highlight w:val="none"/>
              </w:rPr>
            </w:pPr>
            <w:r>
              <w:rPr>
                <w:rFonts w:hint="eastAsia" w:ascii="宋体" w:hAnsi="宋体" w:eastAsia="宋体" w:cs="宋体"/>
                <w:color w:val="000000"/>
                <w:sz w:val="21"/>
                <w:szCs w:val="21"/>
                <w:lang w:val="en-US" w:eastAsia="zh-CN"/>
              </w:rPr>
              <w:t>每户每月人民币1元</w:t>
            </w:r>
          </w:p>
        </w:tc>
      </w:tr>
      <w:tr w14:paraId="727A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72" w:type="dxa"/>
            <w:vMerge w:val="continue"/>
            <w:vAlign w:val="center"/>
          </w:tcPr>
          <w:p w14:paraId="45CE314E">
            <w:pPr>
              <w:pStyle w:val="13"/>
              <w:spacing w:line="360" w:lineRule="exact"/>
              <w:jc w:val="center"/>
              <w:rPr>
                <w:rFonts w:hAnsi="宋体" w:cs="宋体"/>
                <w:color w:val="auto"/>
                <w:highlight w:val="none"/>
              </w:rPr>
            </w:pPr>
          </w:p>
        </w:tc>
        <w:tc>
          <w:tcPr>
            <w:tcW w:w="1711" w:type="dxa"/>
            <w:vMerge w:val="continue"/>
            <w:vAlign w:val="center"/>
          </w:tcPr>
          <w:p w14:paraId="2EB5A722">
            <w:pPr>
              <w:pStyle w:val="13"/>
              <w:spacing w:line="360" w:lineRule="exact"/>
              <w:jc w:val="center"/>
              <w:rPr>
                <w:rFonts w:hAnsi="宋体" w:cs="宋体"/>
                <w:color w:val="auto"/>
                <w:highlight w:val="none"/>
              </w:rPr>
            </w:pPr>
          </w:p>
        </w:tc>
        <w:tc>
          <w:tcPr>
            <w:tcW w:w="6418" w:type="dxa"/>
            <w:gridSpan w:val="3"/>
            <w:vAlign w:val="center"/>
          </w:tcPr>
          <w:p w14:paraId="79165622">
            <w:pPr>
              <w:widowControl/>
              <w:wordWrap w:val="0"/>
              <w:spacing w:line="40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注：1以各有效投标人中的最低费率报价为基准价，价格得满分，其他投标人报价按其与基准价的占比计分，计算公式：（基准价/投标人报价）×各项总分。</w:t>
            </w:r>
          </w:p>
          <w:p w14:paraId="5F6A8E78">
            <w:pPr>
              <w:shd w:val="clear" w:color="auto" w:fill="FFFFFF"/>
              <w:spacing w:line="240" w:lineRule="auto"/>
              <w:jc w:val="both"/>
              <w:rPr>
                <w:rFonts w:hAnsi="宋体" w:eastAsia="宋体" w:cs="宋体"/>
                <w:color w:val="auto"/>
                <w:highlight w:val="none"/>
              </w:rPr>
            </w:pPr>
            <w:r>
              <w:rPr>
                <w:rFonts w:hint="eastAsia" w:ascii="宋体" w:hAnsi="宋体" w:eastAsia="宋体" w:cs="宋体"/>
                <w:color w:val="000000"/>
                <w:sz w:val="21"/>
                <w:szCs w:val="21"/>
                <w:lang w:val="en-US" w:eastAsia="zh-CN"/>
              </w:rPr>
              <w:t>2.中标后报价需经人社部报备通过并写入合同。</w:t>
            </w:r>
          </w:p>
        </w:tc>
      </w:tr>
      <w:tr w14:paraId="470E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5CE1E8E">
            <w:pPr>
              <w:pStyle w:val="13"/>
              <w:spacing w:line="360" w:lineRule="exact"/>
              <w:jc w:val="center"/>
              <w:rPr>
                <w:rFonts w:hAnsi="宋体" w:cs="宋体"/>
                <w:color w:val="auto"/>
                <w:highlight w:val="none"/>
              </w:rPr>
            </w:pPr>
            <w:r>
              <w:rPr>
                <w:rFonts w:hint="eastAsia" w:ascii="Times New Roman" w:hAnsi="Times New Roman" w:cs="Times New Roman"/>
                <w:color w:val="auto"/>
                <w:highlight w:val="none"/>
              </w:rPr>
              <w:t>5</w:t>
            </w:r>
          </w:p>
        </w:tc>
        <w:tc>
          <w:tcPr>
            <w:tcW w:w="1711" w:type="dxa"/>
            <w:vAlign w:val="center"/>
          </w:tcPr>
          <w:p w14:paraId="3E54FC76">
            <w:pPr>
              <w:pStyle w:val="13"/>
              <w:spacing w:line="360" w:lineRule="exact"/>
              <w:jc w:val="center"/>
              <w:rPr>
                <w:rFonts w:hAnsi="宋体" w:cs="宋体"/>
                <w:color w:val="auto"/>
                <w:highlight w:val="none"/>
              </w:rPr>
            </w:pPr>
            <w:r>
              <w:rPr>
                <w:rFonts w:hint="eastAsia" w:hAnsi="宋体" w:cs="宋体"/>
                <w:color w:val="auto"/>
                <w:highlight w:val="none"/>
              </w:rPr>
              <w:t>资金来源</w:t>
            </w:r>
          </w:p>
        </w:tc>
        <w:tc>
          <w:tcPr>
            <w:tcW w:w="6418" w:type="dxa"/>
            <w:gridSpan w:val="3"/>
            <w:vAlign w:val="center"/>
          </w:tcPr>
          <w:p w14:paraId="38805AA9">
            <w:pPr>
              <w:pStyle w:val="13"/>
              <w:spacing w:line="360" w:lineRule="exact"/>
              <w:rPr>
                <w:rFonts w:hAnsi="宋体" w:cs="宋体"/>
                <w:color w:val="auto"/>
                <w:highlight w:val="none"/>
              </w:rPr>
            </w:pPr>
            <w:r>
              <w:rPr>
                <w:rFonts w:hint="eastAsia" w:hAnsi="宋体" w:cs="宋体"/>
                <w:color w:val="auto"/>
                <w:highlight w:val="none"/>
              </w:rPr>
              <w:t>自</w:t>
            </w:r>
            <w:r>
              <w:rPr>
                <w:rFonts w:hAnsi="宋体" w:cs="宋体"/>
                <w:color w:val="auto"/>
                <w:highlight w:val="none"/>
              </w:rPr>
              <w:t>有资金</w:t>
            </w:r>
          </w:p>
        </w:tc>
      </w:tr>
      <w:tr w14:paraId="2E19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72" w:type="dxa"/>
            <w:vAlign w:val="center"/>
          </w:tcPr>
          <w:p w14:paraId="0B7DFC6E">
            <w:pPr>
              <w:pStyle w:val="13"/>
              <w:spacing w:line="360" w:lineRule="exact"/>
              <w:jc w:val="center"/>
              <w:rPr>
                <w:rFonts w:hAnsi="宋体" w:cs="宋体"/>
                <w:color w:val="auto"/>
                <w:highlight w:val="none"/>
              </w:rPr>
            </w:pPr>
            <w:r>
              <w:rPr>
                <w:rFonts w:hint="eastAsia" w:ascii="Times New Roman" w:hAnsi="Times New Roman" w:cs="Times New Roman"/>
                <w:color w:val="auto"/>
                <w:highlight w:val="none"/>
              </w:rPr>
              <w:t>6</w:t>
            </w:r>
          </w:p>
        </w:tc>
        <w:tc>
          <w:tcPr>
            <w:tcW w:w="1711" w:type="dxa"/>
            <w:vAlign w:val="center"/>
          </w:tcPr>
          <w:p w14:paraId="51AAE9E0">
            <w:pPr>
              <w:pStyle w:val="13"/>
              <w:spacing w:line="360" w:lineRule="exact"/>
              <w:jc w:val="center"/>
              <w:rPr>
                <w:rFonts w:hAnsi="宋体" w:cs="宋体"/>
                <w:color w:val="auto"/>
                <w:highlight w:val="none"/>
              </w:rPr>
            </w:pPr>
            <w:r>
              <w:rPr>
                <w:rFonts w:hint="eastAsia" w:hAnsi="宋体" w:cs="宋体"/>
                <w:color w:val="auto"/>
                <w:highlight w:val="none"/>
              </w:rPr>
              <w:t>采购文件的获取</w:t>
            </w:r>
          </w:p>
        </w:tc>
        <w:tc>
          <w:tcPr>
            <w:tcW w:w="6418" w:type="dxa"/>
            <w:gridSpan w:val="3"/>
            <w:vAlign w:val="center"/>
          </w:tcPr>
          <w:p w14:paraId="32EF367D">
            <w:pPr>
              <w:pStyle w:val="13"/>
              <w:spacing w:line="360" w:lineRule="exact"/>
              <w:rPr>
                <w:rFonts w:hAnsi="宋体" w:cs="宋体"/>
                <w:color w:val="auto"/>
                <w:spacing w:val="6"/>
                <w:kern w:val="48"/>
                <w:highlight w:val="none"/>
              </w:rPr>
            </w:pPr>
            <w:r>
              <w:rPr>
                <w:rFonts w:hint="eastAsia" w:hAnsi="宋体" w:cs="宋体"/>
                <w:color w:val="auto"/>
                <w:highlight w:val="none"/>
              </w:rPr>
              <w:t>服务商在广西自贸区钦州港片区开发投资集团有限责任公司网站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8"/>
                <w:rFonts w:hint="eastAsia" w:hAnsi="宋体" w:cs="宋体"/>
                <w:color w:val="auto"/>
                <w:highlight w:val="none"/>
              </w:rPr>
              <w:t>http://www.qzmktjt.com</w:t>
            </w:r>
            <w:r>
              <w:rPr>
                <w:rStyle w:val="28"/>
                <w:rFonts w:hint="eastAsia" w:hAnsi="宋体" w:cs="宋体"/>
                <w:color w:val="auto"/>
                <w:highlight w:val="none"/>
              </w:rPr>
              <w:fldChar w:fldCharType="end"/>
            </w:r>
            <w:r>
              <w:rPr>
                <w:rFonts w:hint="eastAsia" w:hAnsi="宋体" w:cs="宋体"/>
                <w:color w:val="auto"/>
                <w:highlight w:val="none"/>
              </w:rPr>
              <w:t>获取（下载）采购文件</w:t>
            </w:r>
          </w:p>
        </w:tc>
      </w:tr>
      <w:tr w14:paraId="5B4C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1199B31">
            <w:pPr>
              <w:pStyle w:val="13"/>
              <w:spacing w:line="360" w:lineRule="exact"/>
              <w:jc w:val="center"/>
              <w:rPr>
                <w:rFonts w:hAnsi="宋体" w:cs="宋体"/>
                <w:color w:val="auto"/>
                <w:highlight w:val="none"/>
              </w:rPr>
            </w:pPr>
            <w:r>
              <w:rPr>
                <w:rFonts w:hint="eastAsia" w:ascii="Times New Roman" w:hAnsi="Times New Roman" w:cs="Times New Roman"/>
                <w:color w:val="auto"/>
                <w:highlight w:val="none"/>
              </w:rPr>
              <w:t>7</w:t>
            </w:r>
          </w:p>
        </w:tc>
        <w:tc>
          <w:tcPr>
            <w:tcW w:w="1711" w:type="dxa"/>
            <w:vAlign w:val="center"/>
          </w:tcPr>
          <w:p w14:paraId="0EF5F8EF">
            <w:pPr>
              <w:pStyle w:val="13"/>
              <w:spacing w:line="360" w:lineRule="exact"/>
              <w:jc w:val="center"/>
              <w:rPr>
                <w:rFonts w:hAnsi="宋体" w:cs="宋体"/>
                <w:color w:val="auto"/>
                <w:highlight w:val="none"/>
              </w:rPr>
            </w:pPr>
            <w:r>
              <w:rPr>
                <w:rFonts w:hint="eastAsia"/>
                <w:color w:val="auto"/>
                <w:highlight w:val="none"/>
              </w:rPr>
              <w:t>服务商</w:t>
            </w:r>
            <w:r>
              <w:rPr>
                <w:rFonts w:hint="eastAsia" w:hAnsi="宋体" w:cs="宋体"/>
                <w:color w:val="auto"/>
                <w:highlight w:val="none"/>
              </w:rPr>
              <w:t>应具备的资格条件</w:t>
            </w:r>
          </w:p>
        </w:tc>
        <w:tc>
          <w:tcPr>
            <w:tcW w:w="6418" w:type="dxa"/>
            <w:gridSpan w:val="3"/>
            <w:vAlign w:val="center"/>
          </w:tcPr>
          <w:p w14:paraId="4353E595">
            <w:pPr>
              <w:spacing w:line="2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1.在中国境内注册的独立法人机构，具有独立承担民事责任的能力；具有良好的商业信誉和健全的财务会计制度；具有履行合同所必需的设备和专业技术能力；</w:t>
            </w:r>
          </w:p>
          <w:p w14:paraId="777ADE7B">
            <w:pPr>
              <w:spacing w:line="2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2.投标人须具有国家人力资源和社会保障部认定的企业年金受托</w:t>
            </w:r>
            <w:r>
              <w:rPr>
                <w:rFonts w:hint="eastAsia" w:ascii="宋体" w:hAnsi="宋体" w:eastAsia="宋体" w:cs="宋体"/>
                <w:bCs/>
                <w:color w:val="auto"/>
                <w:sz w:val="24"/>
                <w:highlight w:val="none"/>
              </w:rPr>
              <w:t>机构管理资质</w:t>
            </w:r>
            <w:r>
              <w:rPr>
                <w:rFonts w:hint="eastAsia" w:ascii="宋体" w:hAnsi="宋体" w:eastAsia="宋体" w:cs="宋体"/>
                <w:bCs/>
                <w:color w:val="auto"/>
                <w:sz w:val="24"/>
                <w:highlight w:val="none"/>
                <w:lang w:eastAsia="zh-CN"/>
              </w:rPr>
              <w:t>，</w:t>
            </w:r>
            <w:r>
              <w:rPr>
                <w:rFonts w:hint="eastAsia" w:ascii="宋体" w:hAnsi="宋体" w:eastAsia="宋体" w:cs="宋体"/>
                <w:color w:val="auto"/>
                <w:sz w:val="24"/>
                <w:szCs w:val="24"/>
                <w:highlight w:val="none"/>
                <w:lang w:val="en-US" w:eastAsia="zh-CN"/>
              </w:rPr>
              <w:t>若为分支机构投标，则应出具机构总部或上一级主管部门针对本项目投标资格的授权函；</w:t>
            </w:r>
          </w:p>
          <w:p w14:paraId="54ED594E">
            <w:pPr>
              <w:numPr>
                <w:ilvl w:val="0"/>
                <w:numId w:val="0"/>
              </w:numPr>
              <w:spacing w:line="2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3.未被“信用中国”（www.creditchina.gov.cn）、中国政府采购网（www.ccgp.gov.cn）列入失信被执行人、重大税收违法案件当事人名单、政府采购严重违法失信行为记录名单；</w:t>
            </w:r>
          </w:p>
          <w:p w14:paraId="4C0ED566">
            <w:pPr>
              <w:spacing w:line="240" w:lineRule="atLeast"/>
              <w:rPr>
                <w:rFonts w:hint="eastAsia"/>
                <w:lang w:val="en-US" w:eastAsia="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法律、行政法规规定的其他条件。</w:t>
            </w:r>
          </w:p>
          <w:p w14:paraId="482A852F">
            <w:pPr>
              <w:spacing w:line="240" w:lineRule="atLeast"/>
              <w:ind w:firstLine="444" w:firstLineChars="200"/>
              <w:jc w:val="left"/>
              <w:rPr>
                <w:rFonts w:hAnsi="宋体" w:cs="宋体"/>
                <w:color w:val="auto"/>
                <w:spacing w:val="6"/>
                <w:kern w:val="48"/>
                <w:highlight w:val="none"/>
              </w:rPr>
            </w:pPr>
          </w:p>
        </w:tc>
      </w:tr>
      <w:tr w14:paraId="42F1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4384C9E">
            <w:pPr>
              <w:pStyle w:val="13"/>
              <w:spacing w:line="360" w:lineRule="exact"/>
              <w:jc w:val="center"/>
              <w:rPr>
                <w:rFonts w:hAnsi="宋体" w:cs="宋体"/>
                <w:color w:val="auto"/>
                <w:highlight w:val="none"/>
              </w:rPr>
            </w:pPr>
            <w:r>
              <w:rPr>
                <w:rFonts w:hint="eastAsia" w:hAnsi="宋体" w:cs="宋体"/>
                <w:color w:val="auto"/>
                <w:highlight w:val="none"/>
              </w:rPr>
              <w:t>8</w:t>
            </w:r>
          </w:p>
        </w:tc>
        <w:tc>
          <w:tcPr>
            <w:tcW w:w="1711" w:type="dxa"/>
            <w:vAlign w:val="center"/>
          </w:tcPr>
          <w:p w14:paraId="1E3BA579">
            <w:pPr>
              <w:pStyle w:val="13"/>
              <w:spacing w:line="360" w:lineRule="exact"/>
              <w:jc w:val="center"/>
              <w:rPr>
                <w:rFonts w:hAnsi="宋体" w:cs="宋体"/>
                <w:color w:val="auto"/>
                <w:highlight w:val="none"/>
              </w:rPr>
            </w:pPr>
            <w:r>
              <w:rPr>
                <w:rFonts w:hint="eastAsia" w:hAnsi="宋体" w:cs="宋体"/>
                <w:color w:val="auto"/>
                <w:highlight w:val="none"/>
              </w:rPr>
              <w:t>是否接受联合体竞标</w:t>
            </w:r>
          </w:p>
        </w:tc>
        <w:tc>
          <w:tcPr>
            <w:tcW w:w="6418" w:type="dxa"/>
            <w:gridSpan w:val="3"/>
            <w:vAlign w:val="center"/>
          </w:tcPr>
          <w:p w14:paraId="480EA87C">
            <w:pPr>
              <w:pStyle w:val="13"/>
              <w:spacing w:line="360" w:lineRule="exact"/>
              <w:rPr>
                <w:rFonts w:hAnsi="宋体" w:cs="宋体"/>
                <w:color w:val="auto"/>
                <w:highlight w:val="none"/>
              </w:rPr>
            </w:pPr>
            <w:r>
              <w:rPr>
                <w:rFonts w:hint="eastAsia" w:hAnsi="宋体" w:cs="宋体"/>
                <w:color w:val="auto"/>
                <w:highlight w:val="none"/>
              </w:rPr>
              <w:sym w:font="Wingdings 2" w:char="00A3"/>
            </w:r>
            <w:r>
              <w:rPr>
                <w:rFonts w:hint="eastAsia" w:hAnsi="宋体" w:cs="宋体"/>
                <w:color w:val="auto"/>
                <w:highlight w:val="none"/>
              </w:rPr>
              <w:t xml:space="preserve">接受联合体竞标  </w:t>
            </w:r>
            <w:r>
              <w:rPr>
                <w:rFonts w:hint="eastAsia" w:hAnsi="宋体" w:cs="宋体"/>
                <w:color w:val="auto"/>
                <w:highlight w:val="none"/>
              </w:rPr>
              <w:sym w:font="Wingdings 2" w:char="0052"/>
            </w:r>
            <w:r>
              <w:rPr>
                <w:rFonts w:hint="eastAsia" w:hAnsi="宋体" w:cs="宋体"/>
                <w:color w:val="auto"/>
                <w:highlight w:val="none"/>
              </w:rPr>
              <w:t>不接受联合体竞标</w:t>
            </w:r>
          </w:p>
        </w:tc>
      </w:tr>
      <w:tr w14:paraId="7B1A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C112EF1">
            <w:pPr>
              <w:pStyle w:val="13"/>
              <w:spacing w:line="360" w:lineRule="exact"/>
              <w:jc w:val="center"/>
              <w:rPr>
                <w:rFonts w:hAnsi="宋体" w:cs="宋体"/>
                <w:color w:val="auto"/>
                <w:highlight w:val="none"/>
              </w:rPr>
            </w:pPr>
            <w:r>
              <w:rPr>
                <w:rFonts w:hint="eastAsia" w:hAnsi="宋体" w:cs="宋体"/>
                <w:color w:val="auto"/>
                <w:highlight w:val="none"/>
              </w:rPr>
              <w:t>9</w:t>
            </w:r>
          </w:p>
        </w:tc>
        <w:tc>
          <w:tcPr>
            <w:tcW w:w="1711" w:type="dxa"/>
            <w:vAlign w:val="center"/>
          </w:tcPr>
          <w:p w14:paraId="15A9C722">
            <w:pPr>
              <w:pStyle w:val="13"/>
              <w:spacing w:line="360" w:lineRule="exact"/>
              <w:jc w:val="center"/>
              <w:rPr>
                <w:rFonts w:hAnsi="宋体" w:cs="宋体"/>
                <w:color w:val="auto"/>
                <w:highlight w:val="none"/>
              </w:rPr>
            </w:pPr>
            <w:r>
              <w:rPr>
                <w:rFonts w:hint="eastAsia" w:hAnsi="宋体" w:cs="宋体"/>
                <w:color w:val="auto"/>
                <w:highlight w:val="none"/>
              </w:rPr>
              <w:t>响应文件份数</w:t>
            </w:r>
          </w:p>
        </w:tc>
        <w:tc>
          <w:tcPr>
            <w:tcW w:w="6418" w:type="dxa"/>
            <w:gridSpan w:val="3"/>
            <w:vAlign w:val="center"/>
          </w:tcPr>
          <w:p w14:paraId="6A90D65F">
            <w:pPr>
              <w:pStyle w:val="13"/>
              <w:spacing w:line="360" w:lineRule="exact"/>
              <w:rPr>
                <w:color w:val="auto"/>
                <w:highlight w:val="none"/>
              </w:rPr>
            </w:pPr>
            <w:r>
              <w:rPr>
                <w:rFonts w:hint="eastAsia"/>
                <w:color w:val="auto"/>
                <w:highlight w:val="none"/>
              </w:rPr>
              <w:t>响应文件：</w:t>
            </w:r>
            <w:r>
              <w:rPr>
                <w:rFonts w:hint="eastAsia"/>
                <w:b/>
                <w:bCs/>
                <w:color w:val="auto"/>
                <w:highlight w:val="none"/>
              </w:rPr>
              <w:t>正本</w:t>
            </w:r>
            <w:r>
              <w:rPr>
                <w:rFonts w:hint="eastAsia" w:ascii="Times New Roman" w:hAnsi="Times New Roman" w:cs="Times New Roman"/>
                <w:b/>
                <w:bCs/>
                <w:color w:val="auto"/>
                <w:highlight w:val="none"/>
                <w:lang w:val="en-US" w:eastAsia="zh-CN"/>
              </w:rPr>
              <w:t>1</w:t>
            </w:r>
            <w:r>
              <w:rPr>
                <w:rFonts w:hint="eastAsia"/>
                <w:b/>
                <w:bCs/>
                <w:color w:val="auto"/>
                <w:highlight w:val="none"/>
              </w:rPr>
              <w:t>份，副本</w:t>
            </w:r>
            <w:r>
              <w:rPr>
                <w:rFonts w:hint="eastAsia" w:ascii="Times New Roman" w:hAnsi="Times New Roman" w:cs="Times New Roman"/>
                <w:b/>
                <w:bCs/>
                <w:color w:val="auto"/>
                <w:highlight w:val="none"/>
                <w:lang w:val="en-US" w:eastAsia="zh-CN"/>
              </w:rPr>
              <w:t>2</w:t>
            </w:r>
            <w:r>
              <w:rPr>
                <w:rFonts w:hint="eastAsia"/>
                <w:b/>
                <w:bCs/>
                <w:color w:val="auto"/>
                <w:highlight w:val="none"/>
              </w:rPr>
              <w:t>份</w:t>
            </w:r>
          </w:p>
          <w:p w14:paraId="196BBB58">
            <w:pPr>
              <w:rPr>
                <w:color w:val="auto"/>
                <w:highlight w:val="none"/>
              </w:rPr>
            </w:pPr>
            <w:r>
              <w:rPr>
                <w:rFonts w:hint="eastAsia" w:ascii="宋体" w:hAnsi="宋体" w:eastAsia="宋体" w:cs="宋体"/>
                <w:color w:val="auto"/>
                <w:spacing w:val="6"/>
                <w:kern w:val="48"/>
                <w:szCs w:val="21"/>
                <w:highlight w:val="none"/>
              </w:rPr>
              <w:t>服务商必须在首次</w:t>
            </w:r>
            <w:r>
              <w:rPr>
                <w:rFonts w:hint="eastAsia" w:ascii="宋体" w:hAnsi="宋体" w:eastAsia="宋体" w:cs="宋体"/>
                <w:color w:val="auto"/>
                <w:highlight w:val="none"/>
              </w:rPr>
              <w:t>响应文件提交截止时间</w:t>
            </w:r>
            <w:r>
              <w:rPr>
                <w:rFonts w:hint="eastAsia" w:ascii="宋体" w:hAnsi="宋体" w:eastAsia="宋体" w:cs="宋体"/>
                <w:color w:val="auto"/>
                <w:spacing w:val="6"/>
                <w:kern w:val="48"/>
                <w:szCs w:val="21"/>
                <w:highlight w:val="none"/>
              </w:rPr>
              <w:t>前，将响应文件密封送达指定地点。在首次响应文件提交截止时间后送达的响应文件为无效文件，采购人应当拒收。</w:t>
            </w:r>
          </w:p>
        </w:tc>
      </w:tr>
      <w:tr w14:paraId="5562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9B79C8F">
            <w:pPr>
              <w:pStyle w:val="13"/>
              <w:spacing w:line="360" w:lineRule="exact"/>
              <w:jc w:val="center"/>
              <w:rPr>
                <w:rFonts w:hAnsi="宋体" w:cs="宋体"/>
                <w:color w:val="auto"/>
                <w:highlight w:val="none"/>
              </w:rPr>
            </w:pPr>
            <w:r>
              <w:rPr>
                <w:rFonts w:hint="eastAsia" w:hAnsi="宋体" w:cs="宋体"/>
                <w:color w:val="auto"/>
                <w:highlight w:val="none"/>
              </w:rPr>
              <w:t>10</w:t>
            </w:r>
          </w:p>
        </w:tc>
        <w:tc>
          <w:tcPr>
            <w:tcW w:w="1711" w:type="dxa"/>
            <w:vAlign w:val="center"/>
          </w:tcPr>
          <w:p w14:paraId="6E4E0DD0">
            <w:pPr>
              <w:pStyle w:val="13"/>
              <w:spacing w:line="360" w:lineRule="exact"/>
              <w:jc w:val="center"/>
              <w:rPr>
                <w:rFonts w:hAnsi="宋体" w:cs="宋体"/>
                <w:color w:val="auto"/>
                <w:highlight w:val="none"/>
              </w:rPr>
            </w:pPr>
            <w:r>
              <w:rPr>
                <w:rFonts w:hint="eastAsia" w:hAnsi="宋体" w:cs="宋体"/>
                <w:color w:val="auto"/>
                <w:highlight w:val="none"/>
              </w:rPr>
              <w:t>评审方法</w:t>
            </w:r>
          </w:p>
        </w:tc>
        <w:tc>
          <w:tcPr>
            <w:tcW w:w="6418" w:type="dxa"/>
            <w:gridSpan w:val="3"/>
            <w:vAlign w:val="center"/>
          </w:tcPr>
          <w:p w14:paraId="3758FB00">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综合评估法，</w:t>
            </w:r>
            <w:r>
              <w:rPr>
                <w:rFonts w:hint="eastAsia" w:ascii="宋体" w:hAnsi="宋体" w:eastAsia="宋体" w:cs="宋体"/>
                <w:color w:val="auto"/>
                <w:highlight w:val="none"/>
              </w:rPr>
              <w:t>满足采购文件的实质性要求，</w:t>
            </w:r>
            <w:r>
              <w:rPr>
                <w:rFonts w:hint="eastAsia" w:ascii="宋体" w:hAnsi="宋体" w:eastAsia="宋体" w:cs="宋体"/>
                <w:bCs w:val="0"/>
                <w:color w:val="auto"/>
                <w:sz w:val="21"/>
                <w:szCs w:val="22"/>
                <w:highlight w:val="none"/>
              </w:rPr>
              <w:t>且经评审</w:t>
            </w:r>
            <w:r>
              <w:rPr>
                <w:rFonts w:hint="eastAsia" w:ascii="宋体" w:hAnsi="宋体" w:eastAsia="宋体" w:cs="宋体"/>
                <w:bCs w:val="0"/>
                <w:color w:val="auto"/>
                <w:sz w:val="21"/>
                <w:szCs w:val="22"/>
                <w:highlight w:val="none"/>
                <w:lang w:val="en-US" w:eastAsia="zh-CN"/>
              </w:rPr>
              <w:t>得分最高</w:t>
            </w:r>
            <w:r>
              <w:rPr>
                <w:rFonts w:hint="eastAsia" w:ascii="宋体" w:hAnsi="宋体" w:eastAsia="宋体" w:cs="宋体"/>
                <w:bCs w:val="0"/>
                <w:color w:val="auto"/>
                <w:sz w:val="21"/>
                <w:szCs w:val="22"/>
                <w:highlight w:val="none"/>
              </w:rPr>
              <w:t>的供应商为成交供应商</w:t>
            </w:r>
            <w:r>
              <w:rPr>
                <w:rFonts w:hint="eastAsia" w:ascii="宋体" w:hAnsi="宋体" w:eastAsia="宋体" w:cs="宋体"/>
                <w:bCs w:val="0"/>
                <w:color w:val="auto"/>
                <w:sz w:val="21"/>
                <w:szCs w:val="22"/>
                <w:highlight w:val="none"/>
                <w:lang w:eastAsia="zh-CN"/>
              </w:rPr>
              <w:t>。</w:t>
            </w:r>
          </w:p>
        </w:tc>
      </w:tr>
      <w:tr w14:paraId="29C8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1264768A">
            <w:pPr>
              <w:pStyle w:val="13"/>
              <w:spacing w:line="360" w:lineRule="exact"/>
              <w:jc w:val="center"/>
              <w:rPr>
                <w:rFonts w:hAnsi="宋体" w:cs="宋体"/>
                <w:color w:val="auto"/>
                <w:highlight w:val="none"/>
              </w:rPr>
            </w:pPr>
            <w:r>
              <w:rPr>
                <w:rFonts w:hint="eastAsia" w:hAnsi="宋体" w:cs="宋体"/>
                <w:color w:val="auto"/>
                <w:highlight w:val="none"/>
              </w:rPr>
              <w:t>11</w:t>
            </w:r>
          </w:p>
        </w:tc>
        <w:tc>
          <w:tcPr>
            <w:tcW w:w="1711" w:type="dxa"/>
            <w:vAlign w:val="center"/>
          </w:tcPr>
          <w:p w14:paraId="50C2E462">
            <w:pPr>
              <w:pStyle w:val="13"/>
              <w:spacing w:line="360" w:lineRule="exact"/>
              <w:jc w:val="center"/>
              <w:rPr>
                <w:rFonts w:hAnsi="宋体" w:cs="宋体"/>
                <w:color w:val="auto"/>
                <w:highlight w:val="none"/>
              </w:rPr>
            </w:pPr>
            <w:r>
              <w:rPr>
                <w:rFonts w:hint="eastAsia" w:hAnsi="宋体" w:cs="宋体"/>
                <w:color w:val="auto"/>
                <w:highlight w:val="none"/>
              </w:rPr>
              <w:t>竞标有效期</w:t>
            </w:r>
          </w:p>
        </w:tc>
        <w:tc>
          <w:tcPr>
            <w:tcW w:w="6418" w:type="dxa"/>
            <w:gridSpan w:val="3"/>
            <w:vAlign w:val="center"/>
          </w:tcPr>
          <w:p w14:paraId="34CB15B4">
            <w:pPr>
              <w:pStyle w:val="13"/>
              <w:spacing w:line="360" w:lineRule="exact"/>
              <w:rPr>
                <w:rFonts w:hAnsi="宋体" w:cs="宋体"/>
                <w:color w:val="auto"/>
                <w:highlight w:val="none"/>
              </w:rPr>
            </w:pPr>
            <w:r>
              <w:rPr>
                <w:rFonts w:hint="eastAsia" w:hAnsi="宋体" w:cs="宋体"/>
                <w:color w:val="auto"/>
                <w:highlight w:val="none"/>
              </w:rPr>
              <w:t>自竞标截止时间起</w:t>
            </w:r>
            <w:r>
              <w:rPr>
                <w:rFonts w:hint="eastAsia" w:ascii="Times New Roman" w:hAnsi="Times New Roman" w:cs="Times New Roman"/>
                <w:color w:val="auto"/>
                <w:highlight w:val="none"/>
                <w:lang w:val="en-US" w:eastAsia="zh-CN"/>
              </w:rPr>
              <w:t>60</w:t>
            </w:r>
            <w:r>
              <w:rPr>
                <w:rFonts w:hint="eastAsia" w:hAnsi="宋体" w:cs="宋体"/>
                <w:color w:val="auto"/>
                <w:highlight w:val="none"/>
              </w:rPr>
              <w:t>天</w:t>
            </w:r>
          </w:p>
        </w:tc>
      </w:tr>
      <w:tr w14:paraId="05F4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3870D5F">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2</w:t>
            </w:r>
          </w:p>
        </w:tc>
        <w:tc>
          <w:tcPr>
            <w:tcW w:w="1711" w:type="dxa"/>
            <w:vAlign w:val="center"/>
          </w:tcPr>
          <w:p w14:paraId="17194DE1">
            <w:pPr>
              <w:pStyle w:val="13"/>
              <w:spacing w:line="360" w:lineRule="exact"/>
              <w:jc w:val="center"/>
              <w:rPr>
                <w:rFonts w:hAnsi="宋体" w:cs="宋体"/>
                <w:color w:val="auto"/>
                <w:highlight w:val="none"/>
              </w:rPr>
            </w:pPr>
            <w:r>
              <w:rPr>
                <w:rFonts w:hint="eastAsia" w:hAnsi="宋体" w:cs="宋体"/>
                <w:color w:val="auto"/>
                <w:highlight w:val="none"/>
              </w:rPr>
              <w:t>竞标保证金金额</w:t>
            </w:r>
          </w:p>
        </w:tc>
        <w:tc>
          <w:tcPr>
            <w:tcW w:w="6418" w:type="dxa"/>
            <w:gridSpan w:val="3"/>
            <w:vAlign w:val="center"/>
          </w:tcPr>
          <w:p w14:paraId="6589EB5C">
            <w:pPr>
              <w:pStyle w:val="13"/>
              <w:spacing w:line="360" w:lineRule="exact"/>
              <w:rPr>
                <w:rFonts w:hAnsi="宋体" w:cs="宋体"/>
                <w:color w:val="auto"/>
                <w:highlight w:val="none"/>
              </w:rPr>
            </w:pPr>
            <w:r>
              <w:rPr>
                <w:rFonts w:hint="eastAsia" w:hAnsi="宋体" w:cs="宋体"/>
                <w:color w:val="auto"/>
                <w:spacing w:val="6"/>
                <w:kern w:val="48"/>
                <w:highlight w:val="none"/>
              </w:rPr>
              <w:t>无</w:t>
            </w:r>
          </w:p>
        </w:tc>
      </w:tr>
      <w:tr w14:paraId="389C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6B52123">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3</w:t>
            </w:r>
          </w:p>
        </w:tc>
        <w:tc>
          <w:tcPr>
            <w:tcW w:w="1711" w:type="dxa"/>
            <w:vAlign w:val="center"/>
          </w:tcPr>
          <w:p w14:paraId="28129243">
            <w:pPr>
              <w:pStyle w:val="13"/>
              <w:spacing w:line="360" w:lineRule="exact"/>
              <w:jc w:val="center"/>
              <w:rPr>
                <w:rFonts w:hAnsi="宋体" w:cs="宋体"/>
                <w:color w:val="auto"/>
                <w:highlight w:val="none"/>
              </w:rPr>
            </w:pPr>
            <w:r>
              <w:rPr>
                <w:rFonts w:hint="eastAsia" w:hAnsi="宋体" w:cs="宋体"/>
                <w:color w:val="auto"/>
                <w:highlight w:val="none"/>
              </w:rPr>
              <w:t>竞标截止时间</w:t>
            </w:r>
          </w:p>
        </w:tc>
        <w:tc>
          <w:tcPr>
            <w:tcW w:w="6418" w:type="dxa"/>
            <w:gridSpan w:val="3"/>
            <w:vAlign w:val="center"/>
          </w:tcPr>
          <w:p w14:paraId="3E0642F0">
            <w:pPr>
              <w:pStyle w:val="13"/>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w:t>
            </w:r>
            <w:r>
              <w:rPr>
                <w:rFonts w:hint="eastAsia" w:hAnsi="宋体" w:cs="宋体"/>
                <w:color w:val="auto"/>
                <w:szCs w:val="24"/>
                <w:highlight w:val="none"/>
              </w:rPr>
              <w:t>一致</w:t>
            </w:r>
          </w:p>
        </w:tc>
      </w:tr>
      <w:tr w14:paraId="7911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AB757DD">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4</w:t>
            </w:r>
          </w:p>
        </w:tc>
        <w:tc>
          <w:tcPr>
            <w:tcW w:w="1711" w:type="dxa"/>
            <w:vAlign w:val="center"/>
          </w:tcPr>
          <w:p w14:paraId="5CF1ABCB">
            <w:pPr>
              <w:pStyle w:val="13"/>
              <w:spacing w:line="360" w:lineRule="exact"/>
              <w:jc w:val="center"/>
              <w:rPr>
                <w:rFonts w:hAnsi="宋体" w:cs="宋体"/>
                <w:color w:val="auto"/>
                <w:highlight w:val="none"/>
              </w:rPr>
            </w:pPr>
            <w:r>
              <w:rPr>
                <w:rFonts w:hint="eastAsia" w:hAnsi="宋体" w:cs="宋体"/>
                <w:color w:val="auto"/>
                <w:highlight w:val="none"/>
              </w:rPr>
              <w:t>响应文件提交</w:t>
            </w:r>
          </w:p>
          <w:p w14:paraId="6F8A9DD9">
            <w:pPr>
              <w:pStyle w:val="13"/>
              <w:spacing w:line="360" w:lineRule="exact"/>
              <w:jc w:val="center"/>
              <w:rPr>
                <w:rFonts w:hAnsi="宋体" w:cs="宋体"/>
                <w:color w:val="auto"/>
                <w:highlight w:val="none"/>
              </w:rPr>
            </w:pPr>
            <w:r>
              <w:rPr>
                <w:rFonts w:hint="eastAsia" w:hAnsi="宋体" w:cs="宋体"/>
                <w:color w:val="auto"/>
                <w:highlight w:val="none"/>
              </w:rPr>
              <w:t>截止时间和地点</w:t>
            </w:r>
          </w:p>
        </w:tc>
        <w:tc>
          <w:tcPr>
            <w:tcW w:w="6418" w:type="dxa"/>
            <w:gridSpan w:val="3"/>
            <w:vAlign w:val="center"/>
          </w:tcPr>
          <w:p w14:paraId="50E010C0">
            <w:pPr>
              <w:pStyle w:val="13"/>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响应文件提交截止时间、地点</w:t>
            </w:r>
            <w:r>
              <w:rPr>
                <w:rFonts w:hint="eastAsia" w:hAnsi="宋体" w:cs="宋体"/>
                <w:color w:val="auto"/>
                <w:szCs w:val="24"/>
                <w:highlight w:val="none"/>
              </w:rPr>
              <w:t>一致</w:t>
            </w:r>
          </w:p>
        </w:tc>
      </w:tr>
      <w:tr w14:paraId="3D1E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7072B44">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p>
        </w:tc>
        <w:tc>
          <w:tcPr>
            <w:tcW w:w="1711" w:type="dxa"/>
            <w:vAlign w:val="center"/>
          </w:tcPr>
          <w:p w14:paraId="7F9D9E47">
            <w:pPr>
              <w:pStyle w:val="13"/>
              <w:spacing w:line="360" w:lineRule="exact"/>
              <w:jc w:val="center"/>
              <w:rPr>
                <w:rFonts w:hAnsi="宋体" w:cs="宋体"/>
                <w:color w:val="auto"/>
                <w:highlight w:val="none"/>
              </w:rPr>
            </w:pPr>
            <w:r>
              <w:rPr>
                <w:rFonts w:hint="eastAsia" w:hAnsi="宋体" w:cs="宋体"/>
                <w:color w:val="auto"/>
                <w:highlight w:val="none"/>
              </w:rPr>
              <w:t>开标时间和地点</w:t>
            </w:r>
          </w:p>
        </w:tc>
        <w:tc>
          <w:tcPr>
            <w:tcW w:w="6418" w:type="dxa"/>
            <w:gridSpan w:val="3"/>
            <w:vAlign w:val="center"/>
          </w:tcPr>
          <w:p w14:paraId="60A261CD">
            <w:pPr>
              <w:pStyle w:val="13"/>
              <w:spacing w:line="360" w:lineRule="exact"/>
              <w:rPr>
                <w:rFonts w:hAnsi="宋体" w:cs="宋体"/>
                <w:color w:val="auto"/>
                <w:highlight w:val="none"/>
              </w:rPr>
            </w:pPr>
            <w:r>
              <w:rPr>
                <w:rFonts w:hint="eastAsia" w:hAnsi="宋体" w:cs="宋体"/>
                <w:color w:val="auto"/>
                <w:highlight w:val="none"/>
              </w:rPr>
              <w:t>服务商不需要到达开标现场。采购人要求多次报价的，由采购人另行通知所有提交响应文件的竞标人。</w:t>
            </w:r>
          </w:p>
        </w:tc>
      </w:tr>
      <w:tr w14:paraId="7CBF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3ABFF47">
            <w:pPr>
              <w:pStyle w:val="13"/>
              <w:adjustRightInd w:val="0"/>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p>
        </w:tc>
        <w:tc>
          <w:tcPr>
            <w:tcW w:w="1711" w:type="dxa"/>
            <w:vAlign w:val="center"/>
          </w:tcPr>
          <w:p w14:paraId="44797FC9">
            <w:pPr>
              <w:autoSpaceDE w:val="0"/>
              <w:autoSpaceDN w:val="0"/>
              <w:spacing w:line="360" w:lineRule="exact"/>
              <w:jc w:val="center"/>
              <w:rPr>
                <w:rFonts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gridSpan w:val="3"/>
            <w:vAlign w:val="center"/>
          </w:tcPr>
          <w:p w14:paraId="460AC7F5">
            <w:pPr>
              <w:pStyle w:val="13"/>
              <w:spacing w:line="360" w:lineRule="exact"/>
              <w:rPr>
                <w:rFonts w:hAnsi="宋体" w:cs="宋体"/>
                <w:color w:val="auto"/>
                <w:highlight w:val="none"/>
              </w:rPr>
            </w:pPr>
            <w:r>
              <w:rPr>
                <w:rFonts w:hint="eastAsia" w:hAnsi="宋体" w:cs="宋体"/>
                <w:color w:val="auto"/>
                <w:highlight w:val="none"/>
              </w:rPr>
              <w:t>无</w:t>
            </w:r>
          </w:p>
        </w:tc>
      </w:tr>
    </w:tbl>
    <w:p w14:paraId="141A15BE">
      <w:pPr>
        <w:rPr>
          <w:rFonts w:ascii="宋体" w:hAnsi="宋体" w:eastAsia="宋体" w:cs="宋体"/>
          <w:color w:val="auto"/>
          <w:highlight w:val="none"/>
        </w:rPr>
      </w:pPr>
      <w:r>
        <w:rPr>
          <w:rFonts w:hint="eastAsia" w:ascii="宋体" w:hAnsi="宋体" w:eastAsia="宋体" w:cs="宋体"/>
          <w:color w:val="auto"/>
          <w:highlight w:val="none"/>
        </w:rPr>
        <w:br w:type="page"/>
      </w:r>
    </w:p>
    <w:p w14:paraId="6D2F9EB8">
      <w:pPr>
        <w:pStyle w:val="45"/>
        <w:spacing w:before="156"/>
        <w:rPr>
          <w:rFonts w:hint="default"/>
          <w:color w:val="auto"/>
          <w:highlight w:val="none"/>
          <w:lang w:bidi="zh-CN"/>
        </w:rPr>
      </w:pPr>
      <w:r>
        <w:rPr>
          <w:color w:val="auto"/>
          <w:highlight w:val="none"/>
        </w:rPr>
        <w:t>一、</w:t>
      </w:r>
      <w:r>
        <w:rPr>
          <w:color w:val="auto"/>
          <w:highlight w:val="none"/>
          <w:lang w:bidi="zh-CN"/>
        </w:rPr>
        <w:t>总则</w:t>
      </w:r>
    </w:p>
    <w:p w14:paraId="46ED3954">
      <w:pPr>
        <w:pStyle w:val="46"/>
        <w:spacing w:before="156" w:after="156"/>
        <w:rPr>
          <w:rFonts w:hint="default"/>
          <w:color w:val="auto"/>
          <w:highlight w:val="none"/>
        </w:rPr>
      </w:pPr>
      <w:r>
        <w:rPr>
          <w:rFonts w:hint="default" w:ascii="Times New Roman" w:hAnsi="Times New Roman" w:cs="Times New Roman"/>
          <w:color w:val="auto"/>
          <w:highlight w:val="none"/>
        </w:rPr>
        <w:t>1</w:t>
      </w:r>
      <w:r>
        <w:rPr>
          <w:rFonts w:hint="default"/>
          <w:color w:val="auto"/>
          <w:highlight w:val="none"/>
        </w:rPr>
        <w:t>.项目概况</w:t>
      </w:r>
    </w:p>
    <w:p w14:paraId="52438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采购人：见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C91CB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029189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4D92AD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文件的时间、地点、方式：见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60E1D9D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采购文件：是指采购人为完成采购活动所制定的文件，包括价格性文件内容和商务性文件内容（包括但不限于综合评估法采购文件、澄清或者更正公告等）。</w:t>
      </w:r>
    </w:p>
    <w:p w14:paraId="142263B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服务商：是指有能力向采购人提供符合本项目技术规格要求的货物、工程、服务的法人、其他组织和自然人。</w:t>
      </w:r>
    </w:p>
    <w:p w14:paraId="59BB164F">
      <w:pPr>
        <w:pStyle w:val="46"/>
        <w:spacing w:before="156" w:after="156"/>
        <w:rPr>
          <w:rFonts w:hint="default"/>
          <w:color w:val="auto"/>
          <w:highlight w:val="none"/>
        </w:rPr>
      </w:pPr>
      <w:r>
        <w:rPr>
          <w:rFonts w:hint="default" w:ascii="Times New Roman" w:hAnsi="Times New Roman" w:cs="Times New Roman"/>
          <w:color w:val="auto"/>
          <w:highlight w:val="none"/>
        </w:rPr>
        <w:t>2</w:t>
      </w:r>
      <w:r>
        <w:rPr>
          <w:rFonts w:hint="default"/>
          <w:color w:val="auto"/>
          <w:highlight w:val="none"/>
        </w:rPr>
        <w:t>.采购信息发布媒体：</w:t>
      </w:r>
    </w:p>
    <w:p w14:paraId="5053E8E5">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8"/>
          <w:rFonts w:ascii="宋体" w:hAnsi="宋体" w:eastAsia="宋体" w:cs="宋体"/>
          <w:color w:val="auto"/>
          <w:sz w:val="24"/>
          <w:szCs w:val="24"/>
          <w:highlight w:val="none"/>
          <w:lang w:bidi="zh-CN"/>
        </w:rPr>
        <w:t>http://www.</w:t>
      </w:r>
      <w:r>
        <w:rPr>
          <w:rStyle w:val="28"/>
          <w:rFonts w:hint="eastAsia" w:ascii="宋体" w:hAnsi="宋体" w:eastAsia="宋体" w:cs="宋体"/>
          <w:color w:val="auto"/>
          <w:sz w:val="24"/>
          <w:szCs w:val="24"/>
          <w:highlight w:val="none"/>
          <w:lang w:bidi="zh-CN"/>
        </w:rPr>
        <w:t>qzmktjt</w:t>
      </w:r>
      <w:r>
        <w:rPr>
          <w:rStyle w:val="28"/>
          <w:rFonts w:ascii="宋体" w:hAnsi="宋体" w:eastAsia="宋体" w:cs="宋体"/>
          <w:color w:val="auto"/>
          <w:sz w:val="24"/>
          <w:szCs w:val="24"/>
          <w:highlight w:val="none"/>
          <w:lang w:bidi="zh-CN"/>
        </w:rPr>
        <w:t>.com</w:t>
      </w:r>
      <w:r>
        <w:rPr>
          <w:rStyle w:val="28"/>
          <w:rFonts w:ascii="宋体" w:hAnsi="宋体" w:eastAsia="宋体" w:cs="宋体"/>
          <w:color w:val="auto"/>
          <w:sz w:val="24"/>
          <w:szCs w:val="24"/>
          <w:highlight w:val="none"/>
          <w:lang w:bidi="zh-CN"/>
        </w:rPr>
        <w:fldChar w:fldCharType="end"/>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24A55AE3">
      <w:pPr>
        <w:pStyle w:val="46"/>
        <w:spacing w:before="156" w:after="156"/>
        <w:rPr>
          <w:rFonts w:hint="default"/>
          <w:color w:val="auto"/>
          <w:highlight w:val="none"/>
        </w:rPr>
      </w:pPr>
      <w:r>
        <w:rPr>
          <w:rFonts w:hint="default" w:ascii="Times New Roman" w:hAnsi="Times New Roman" w:cs="Times New Roman"/>
          <w:color w:val="auto"/>
          <w:highlight w:val="none"/>
        </w:rPr>
        <w:t>3</w:t>
      </w:r>
      <w:r>
        <w:rPr>
          <w:rFonts w:hint="default"/>
          <w:color w:val="auto"/>
          <w:highlight w:val="none"/>
        </w:rPr>
        <w:t>.</w:t>
      </w:r>
      <w:r>
        <w:rPr>
          <w:color w:val="auto"/>
          <w:szCs w:val="24"/>
          <w:highlight w:val="none"/>
        </w:rPr>
        <w:t>服务商</w:t>
      </w:r>
      <w:r>
        <w:rPr>
          <w:rFonts w:hint="default"/>
          <w:color w:val="auto"/>
          <w:highlight w:val="none"/>
        </w:rPr>
        <w:t>资格要求：</w:t>
      </w:r>
    </w:p>
    <w:p w14:paraId="17C15AF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的资格条件详见“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D3AB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25A71C4C">
      <w:pPr>
        <w:pStyle w:val="46"/>
        <w:spacing w:before="156" w:after="156"/>
        <w:rPr>
          <w:rFonts w:hint="default"/>
          <w:color w:val="auto"/>
          <w:highlight w:val="none"/>
        </w:rPr>
      </w:pPr>
      <w:r>
        <w:rPr>
          <w:rFonts w:hint="default" w:ascii="Times New Roman" w:hAnsi="Times New Roman" w:cs="Times New Roman"/>
          <w:color w:val="auto"/>
          <w:highlight w:val="none"/>
        </w:rPr>
        <w:t>4</w:t>
      </w:r>
      <w:r>
        <w:rPr>
          <w:rFonts w:hint="default"/>
          <w:color w:val="auto"/>
          <w:highlight w:val="none"/>
        </w:rPr>
        <w:t>.费用承担</w:t>
      </w:r>
    </w:p>
    <w:p w14:paraId="3BC2E391">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准备和参加</w:t>
      </w:r>
      <w:r>
        <w:rPr>
          <w:rFonts w:hint="eastAsia" w:ascii="宋体" w:hAnsi="宋体" w:eastAsia="宋体" w:cs="宋体"/>
          <w:color w:val="auto"/>
          <w:sz w:val="24"/>
          <w:szCs w:val="24"/>
          <w:highlight w:val="none"/>
          <w:lang w:bidi="zh-CN"/>
        </w:rPr>
        <w:t>本次采购</w:t>
      </w:r>
      <w:r>
        <w:rPr>
          <w:rFonts w:ascii="宋体" w:hAnsi="宋体" w:eastAsia="宋体" w:cs="宋体"/>
          <w:color w:val="auto"/>
          <w:sz w:val="24"/>
          <w:szCs w:val="24"/>
          <w:highlight w:val="none"/>
          <w:lang w:bidi="zh-CN"/>
        </w:rPr>
        <w:t>活动发生的费用自理。</w:t>
      </w:r>
    </w:p>
    <w:p w14:paraId="047A5915">
      <w:pPr>
        <w:pStyle w:val="46"/>
        <w:spacing w:before="156" w:after="156"/>
        <w:rPr>
          <w:rFonts w:hint="default"/>
          <w:color w:val="auto"/>
          <w:highlight w:val="none"/>
        </w:rPr>
      </w:pPr>
      <w:r>
        <w:rPr>
          <w:rFonts w:hint="default" w:ascii="Times New Roman" w:hAnsi="Times New Roman" w:cs="Times New Roman"/>
          <w:color w:val="auto"/>
          <w:highlight w:val="none"/>
        </w:rPr>
        <w:t>5</w:t>
      </w:r>
      <w:r>
        <w:rPr>
          <w:rFonts w:hint="default"/>
          <w:color w:val="auto"/>
          <w:highlight w:val="none"/>
        </w:rPr>
        <w:t>.联合体竞标</w:t>
      </w:r>
    </w:p>
    <w:p w14:paraId="62115C0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本项目是否接受联合体竞标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5724C4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如接受联合体竞标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bidi="zh-CN"/>
        </w:rPr>
        <w:t>第二章服务商须知“服务商资格要求”</w:t>
      </w:r>
      <w:r>
        <w:rPr>
          <w:rFonts w:ascii="宋体" w:hAnsi="宋体" w:eastAsia="宋体" w:cs="宋体"/>
          <w:color w:val="auto"/>
          <w:sz w:val="24"/>
          <w:szCs w:val="24"/>
          <w:highlight w:val="none"/>
          <w:lang w:bidi="zh-CN"/>
        </w:rPr>
        <w:t>。</w:t>
      </w:r>
    </w:p>
    <w:p w14:paraId="52A36B84">
      <w:pPr>
        <w:pStyle w:val="46"/>
        <w:spacing w:before="156" w:after="156"/>
        <w:rPr>
          <w:rFonts w:hint="default"/>
          <w:color w:val="auto"/>
          <w:highlight w:val="none"/>
        </w:rPr>
      </w:pPr>
      <w:r>
        <w:rPr>
          <w:rFonts w:hint="default" w:ascii="Times New Roman" w:hAnsi="Times New Roman" w:cs="Times New Roman"/>
          <w:color w:val="auto"/>
          <w:highlight w:val="none"/>
        </w:rPr>
        <w:t>6</w:t>
      </w:r>
      <w:r>
        <w:rPr>
          <w:rFonts w:hint="default"/>
          <w:color w:val="auto"/>
          <w:highlight w:val="none"/>
        </w:rPr>
        <w:t>.转包与分包</w:t>
      </w:r>
    </w:p>
    <w:p w14:paraId="471E9D3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允许转包。</w:t>
      </w:r>
    </w:p>
    <w:p w14:paraId="662F654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允许分包。</w:t>
      </w:r>
    </w:p>
    <w:p w14:paraId="66CC2A00">
      <w:pPr>
        <w:pStyle w:val="46"/>
        <w:spacing w:before="156" w:after="156"/>
        <w:rPr>
          <w:rFonts w:hint="default"/>
          <w:color w:val="auto"/>
          <w:highlight w:val="none"/>
        </w:rPr>
      </w:pPr>
      <w:r>
        <w:rPr>
          <w:rFonts w:hint="default" w:ascii="Times New Roman" w:hAnsi="Times New Roman" w:cs="Times New Roman"/>
          <w:color w:val="auto"/>
          <w:highlight w:val="none"/>
        </w:rPr>
        <w:t>7</w:t>
      </w:r>
      <w:r>
        <w:rPr>
          <w:color w:val="auto"/>
          <w:highlight w:val="none"/>
        </w:rPr>
        <w:t>.</w:t>
      </w:r>
      <w:r>
        <w:rPr>
          <w:rFonts w:hint="default"/>
          <w:color w:val="auto"/>
          <w:highlight w:val="none"/>
        </w:rPr>
        <w:t>语言文字</w:t>
      </w:r>
    </w:p>
    <w:p w14:paraId="55181D0B">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本次采购活动</w:t>
      </w:r>
      <w:r>
        <w:rPr>
          <w:rFonts w:ascii="宋体" w:hAnsi="宋体" w:eastAsia="宋体" w:cs="宋体"/>
          <w:color w:val="auto"/>
          <w:sz w:val="24"/>
          <w:szCs w:val="24"/>
          <w:highlight w:val="none"/>
          <w:lang w:bidi="zh-CN"/>
        </w:rPr>
        <w:t>有关的语言均使用中文。必要时专用术语应附有中文注释。</w:t>
      </w:r>
    </w:p>
    <w:p w14:paraId="4FB6E7BD">
      <w:pPr>
        <w:pStyle w:val="46"/>
        <w:spacing w:before="156" w:after="156"/>
        <w:rPr>
          <w:rFonts w:hint="default"/>
          <w:color w:val="auto"/>
          <w:highlight w:val="none"/>
        </w:rPr>
      </w:pPr>
      <w:r>
        <w:rPr>
          <w:rFonts w:hint="default" w:ascii="Times New Roman" w:hAnsi="Times New Roman" w:cs="Times New Roman"/>
          <w:color w:val="auto"/>
          <w:highlight w:val="none"/>
        </w:rPr>
        <w:t>8</w:t>
      </w:r>
      <w:r>
        <w:rPr>
          <w:color w:val="auto"/>
          <w:highlight w:val="none"/>
        </w:rPr>
        <w:t>.</w:t>
      </w:r>
      <w:r>
        <w:rPr>
          <w:rFonts w:hint="default"/>
          <w:color w:val="auto"/>
          <w:highlight w:val="none"/>
        </w:rPr>
        <w:t>计量单位</w:t>
      </w:r>
    </w:p>
    <w:p w14:paraId="3E5E89BA">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所有计量均采用中华人民共和国法定计量单位。</w:t>
      </w:r>
    </w:p>
    <w:p w14:paraId="6A1D1967">
      <w:pPr>
        <w:pStyle w:val="46"/>
        <w:spacing w:before="156" w:after="156"/>
        <w:rPr>
          <w:rFonts w:hint="default"/>
          <w:color w:val="auto"/>
          <w:highlight w:val="none"/>
        </w:rPr>
      </w:pPr>
      <w:r>
        <w:rPr>
          <w:rFonts w:hint="default" w:ascii="Times New Roman" w:hAnsi="Times New Roman" w:cs="Times New Roman"/>
          <w:color w:val="auto"/>
          <w:highlight w:val="none"/>
        </w:rPr>
        <w:t>9</w:t>
      </w:r>
      <w:r>
        <w:rPr>
          <w:color w:val="auto"/>
          <w:highlight w:val="none"/>
        </w:rPr>
        <w:t>.否决竞标条件</w:t>
      </w:r>
    </w:p>
    <w:p w14:paraId="3E0C1C5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有下列情形之一的，属于相互串通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453B331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服务商直接或者间接从采购人或者采购代理机构处获得其他服务商的相关情况并修改其响应文件；</w:t>
      </w:r>
    </w:p>
    <w:p w14:paraId="71EABA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服务商按照采购人或者采购代理机构的授意撤换、修改响应文件；</w:t>
      </w:r>
    </w:p>
    <w:p w14:paraId="3DD2C4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服务商之间协商报价、技术方案等响应文件的实质性内容；</w:t>
      </w:r>
    </w:p>
    <w:p w14:paraId="0360494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属于同一集团、协会、商会等组织成员的服务商按照该组织要求协同参加采购活动；</w:t>
      </w:r>
    </w:p>
    <w:p w14:paraId="50B4E5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服务商之间事先约定由某一特定服务商成交；</w:t>
      </w:r>
    </w:p>
    <w:p w14:paraId="1BB8A8B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服务商之间商定部分服务商放弃参加采购活动或者放弃成交；</w:t>
      </w:r>
    </w:p>
    <w:p w14:paraId="000D6C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服务商与采购人或者采购代理机构之间、服务商相互之间，为谋求特定服务商成交或者排斥其他服务商的其他串通行为。</w:t>
      </w:r>
    </w:p>
    <w:p w14:paraId="1DCE6777">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有下列情形之一的，视为</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346F269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文件由同一单位或者个人编制；</w:t>
      </w:r>
    </w:p>
    <w:p w14:paraId="5B4AFE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委托同一单位或者个人办理</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标事宜；</w:t>
      </w:r>
    </w:p>
    <w:p w14:paraId="0A04B1F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文件载明的项目管理成员为同一人；</w:t>
      </w:r>
    </w:p>
    <w:p w14:paraId="2BF901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文件异常一致或者报价呈规律性差异；</w:t>
      </w:r>
    </w:p>
    <w:p w14:paraId="5238E0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文件相互混装；</w:t>
      </w:r>
    </w:p>
    <w:p w14:paraId="2542605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标保证金从同一单位或者个人的账户转出。</w:t>
      </w:r>
    </w:p>
    <w:p w14:paraId="466EE12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响应文件将被视为无效</w:t>
      </w:r>
      <w:r>
        <w:rPr>
          <w:rFonts w:hint="eastAsia" w:ascii="宋体" w:hAnsi="宋体" w:eastAsia="宋体" w:cs="宋体"/>
          <w:color w:val="auto"/>
          <w:sz w:val="24"/>
          <w:szCs w:val="24"/>
          <w:highlight w:val="none"/>
          <w:lang w:bidi="zh-CN"/>
        </w:rPr>
        <w:t>的其他情形</w:t>
      </w:r>
      <w:r>
        <w:rPr>
          <w:rFonts w:ascii="宋体" w:hAnsi="宋体" w:eastAsia="宋体" w:cs="宋体"/>
          <w:color w:val="auto"/>
          <w:sz w:val="24"/>
          <w:szCs w:val="24"/>
          <w:highlight w:val="none"/>
          <w:lang w:bidi="zh-CN"/>
        </w:rPr>
        <w:t>：</w:t>
      </w:r>
    </w:p>
    <w:p w14:paraId="6BD0E71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逾期送达的或者未送达指定地点的；</w:t>
      </w:r>
    </w:p>
    <w:p w14:paraId="402B2B1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未按采购文件要求密封的；</w:t>
      </w:r>
    </w:p>
    <w:p w14:paraId="5F6CB6C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未按规定的格式填写，内容不全或关键字迹模糊、无法辨认的；</w:t>
      </w:r>
    </w:p>
    <w:p w14:paraId="5D92D58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无单位盖章并无法定代表人或法定代表人授权的代理人签字或盖章的；</w:t>
      </w:r>
    </w:p>
    <w:p w14:paraId="15E55AE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服务商递交两份或多份内容不同的响应文件，或在一份响应文件中对同一采购项目报有两个或多个报价，且未声明哪一个有效，按采购文件规定提交备选投标方案的除外；</w:t>
      </w:r>
    </w:p>
    <w:p w14:paraId="1F05F48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服务商不按评审委员会要求澄清、说明或补正的；</w:t>
      </w:r>
    </w:p>
    <w:p w14:paraId="6931346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未按采购文件要求提交保证金的；</w:t>
      </w:r>
    </w:p>
    <w:p w14:paraId="3B7465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8</w:t>
      </w:r>
      <w:r>
        <w:rPr>
          <w:rFonts w:hint="eastAsia" w:ascii="宋体" w:hAnsi="宋体" w:eastAsia="宋体" w:cs="宋体"/>
          <w:color w:val="auto"/>
          <w:sz w:val="24"/>
          <w:szCs w:val="24"/>
          <w:highlight w:val="none"/>
          <w:lang w:bidi="zh-CN"/>
        </w:rPr>
        <w:t>联合体竞标未附联合体各方共同投标协议的。</w:t>
      </w:r>
    </w:p>
    <w:p w14:paraId="118B624A">
      <w:pPr>
        <w:pStyle w:val="46"/>
        <w:spacing w:before="156" w:after="156"/>
        <w:rPr>
          <w:rFonts w:hint="default"/>
          <w:color w:val="auto"/>
          <w:highlight w:val="none"/>
        </w:rPr>
      </w:pPr>
      <w:r>
        <w:rPr>
          <w:rFonts w:hint="default" w:ascii="Times New Roman" w:hAnsi="Times New Roman" w:cs="Times New Roman"/>
          <w:color w:val="auto"/>
          <w:highlight w:val="none"/>
        </w:rPr>
        <w:t>10</w:t>
      </w:r>
      <w:r>
        <w:rPr>
          <w:color w:val="auto"/>
          <w:highlight w:val="none"/>
        </w:rPr>
        <w:t>.</w:t>
      </w:r>
      <w:r>
        <w:rPr>
          <w:rFonts w:hint="default"/>
          <w:color w:val="auto"/>
          <w:highlight w:val="none"/>
        </w:rPr>
        <w:t>采购人员及相关人员与</w:t>
      </w:r>
      <w:r>
        <w:rPr>
          <w:color w:val="auto"/>
          <w:highlight w:val="none"/>
        </w:rPr>
        <w:t>服务商</w:t>
      </w:r>
      <w:r>
        <w:rPr>
          <w:rFonts w:hint="default"/>
          <w:color w:val="auto"/>
          <w:highlight w:val="none"/>
        </w:rPr>
        <w:t>有下列利害关系之一的，应当回避：</w:t>
      </w:r>
    </w:p>
    <w:p w14:paraId="710232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存在劳动关系；</w:t>
      </w:r>
    </w:p>
    <w:p w14:paraId="0AC7059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年内担任</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的董事、监事；</w:t>
      </w:r>
    </w:p>
    <w:p w14:paraId="6B185F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年内是</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的控股股东或者实际控制人；</w:t>
      </w:r>
    </w:p>
    <w:p w14:paraId="26FCDE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的法定代表人或者负责人有夫妻、直系血亲、三代以内旁系血亲或者近姻亲关系；</w:t>
      </w:r>
    </w:p>
    <w:p w14:paraId="4718CC2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有其他可能影响采购活动公平、公正进行的关系。</w:t>
      </w:r>
    </w:p>
    <w:p w14:paraId="067770D7">
      <w:pPr>
        <w:adjustRightInd w:val="0"/>
        <w:snapToGrid w:val="0"/>
        <w:ind w:firstLine="480" w:firstLineChars="200"/>
        <w:jc w:val="left"/>
        <w:rPr>
          <w:color w:val="auto"/>
          <w:highlight w:val="none"/>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认为采购人员及相关人员与其他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有利害关系的，可以向采购人或者采购代理机构书面提出回避申请，并说明理由。采购人或者采购代理机构应当及时询问被申请回避人员，有利害关系的被申请回避人员应当回避。</w:t>
      </w:r>
    </w:p>
    <w:p w14:paraId="0FF35619">
      <w:pPr>
        <w:pStyle w:val="45"/>
        <w:spacing w:before="156"/>
        <w:jc w:val="both"/>
        <w:rPr>
          <w:rFonts w:hint="default"/>
          <w:color w:val="auto"/>
          <w:highlight w:val="none"/>
          <w:lang w:bidi="zh-CN"/>
        </w:rPr>
      </w:pPr>
    </w:p>
    <w:p w14:paraId="6232926F">
      <w:pPr>
        <w:pStyle w:val="45"/>
        <w:spacing w:before="156"/>
        <w:rPr>
          <w:rFonts w:hint="default"/>
          <w:color w:val="auto"/>
          <w:highlight w:val="none"/>
          <w:lang w:bidi="zh-CN"/>
        </w:rPr>
      </w:pPr>
      <w:r>
        <w:rPr>
          <w:color w:val="auto"/>
          <w:highlight w:val="none"/>
          <w:lang w:bidi="zh-CN"/>
        </w:rPr>
        <w:t>二、响应文件的编制</w:t>
      </w:r>
    </w:p>
    <w:p w14:paraId="66F67340">
      <w:pPr>
        <w:pStyle w:val="46"/>
        <w:spacing w:before="156" w:after="156"/>
        <w:rPr>
          <w:rFonts w:hint="default"/>
          <w:color w:val="auto"/>
          <w:highlight w:val="none"/>
        </w:rPr>
      </w:pPr>
      <w:r>
        <w:rPr>
          <w:rFonts w:hint="default" w:ascii="Times New Roman" w:hAnsi="Times New Roman" w:cs="Times New Roman"/>
          <w:color w:val="auto"/>
          <w:highlight w:val="none"/>
        </w:rPr>
        <w:t>11</w:t>
      </w:r>
      <w:r>
        <w:rPr>
          <w:rFonts w:hint="default"/>
          <w:color w:val="auto"/>
          <w:highlight w:val="none"/>
        </w:rPr>
        <w:t>.响应文件的编制原则</w:t>
      </w:r>
    </w:p>
    <w:p w14:paraId="50479108">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必须按照</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文件作出实质性响应。</w:t>
      </w:r>
    </w:p>
    <w:p w14:paraId="2A6E678D">
      <w:pPr>
        <w:pStyle w:val="46"/>
        <w:spacing w:before="156" w:after="156"/>
        <w:rPr>
          <w:rFonts w:hint="default"/>
          <w:color w:val="auto"/>
          <w:highlight w:val="none"/>
        </w:rPr>
      </w:pPr>
      <w:r>
        <w:rPr>
          <w:rFonts w:hint="default" w:ascii="Times New Roman" w:hAnsi="Times New Roman" w:cs="Times New Roman"/>
          <w:color w:val="auto"/>
          <w:highlight w:val="none"/>
        </w:rPr>
        <w:t>12</w:t>
      </w:r>
      <w:r>
        <w:rPr>
          <w:rFonts w:hint="default"/>
          <w:color w:val="auto"/>
          <w:highlight w:val="none"/>
        </w:rPr>
        <w:t>.响应文件的组成</w:t>
      </w:r>
    </w:p>
    <w:p w14:paraId="3BB5ABB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p>
    <w:p w14:paraId="5175641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资格证明文件：详见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5370DB7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报价商务技术文件：详见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6F043C9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响应文件电子版：详见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2F2BD76D">
      <w:pPr>
        <w:pStyle w:val="46"/>
        <w:spacing w:before="156" w:after="156"/>
        <w:rPr>
          <w:rFonts w:hint="default"/>
          <w:color w:val="auto"/>
          <w:highlight w:val="none"/>
        </w:rPr>
      </w:pPr>
      <w:r>
        <w:rPr>
          <w:rFonts w:hint="default" w:ascii="Times New Roman" w:hAnsi="Times New Roman" w:cs="Times New Roman"/>
          <w:color w:val="auto"/>
          <w:highlight w:val="none"/>
        </w:rPr>
        <w:t>13</w:t>
      </w:r>
      <w:r>
        <w:rPr>
          <w:color w:val="auto"/>
          <w:highlight w:val="none"/>
        </w:rPr>
        <w:t>.</w:t>
      </w:r>
      <w:r>
        <w:rPr>
          <w:rFonts w:hint="default"/>
          <w:color w:val="auto"/>
          <w:highlight w:val="none"/>
        </w:rPr>
        <w:t>响应文件编制的要求</w:t>
      </w:r>
    </w:p>
    <w:p w14:paraId="3466656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应按本</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由此引发的后果由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EC9EA53">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r>
        <w:rPr>
          <w:rFonts w:hint="eastAsia" w:ascii="宋体" w:hAnsi="宋体" w:eastAsia="宋体" w:cs="宋体"/>
          <w:color w:val="auto"/>
          <w:sz w:val="24"/>
          <w:szCs w:val="24"/>
          <w:highlight w:val="none"/>
          <w:lang w:bidi="zh-CN"/>
        </w:rPr>
        <w:t>，可按照</w:t>
      </w:r>
      <w:r>
        <w:rPr>
          <w:rFonts w:ascii="宋体" w:hAnsi="宋体" w:eastAsia="宋体" w:cs="宋体"/>
          <w:color w:val="auto"/>
          <w:sz w:val="24"/>
          <w:szCs w:val="24"/>
          <w:highlight w:val="none"/>
          <w:lang w:bidi="zh-CN"/>
        </w:rPr>
        <w:t>资格证明文件、报价商务技术文件顺序装订成册。响应文件正本一份</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副本份数详见“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响应文件的封面应注明“正本</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副本”字样</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自行承担。</w:t>
      </w:r>
    </w:p>
    <w:p w14:paraId="42F1B6E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响应文件的正本应打印或者用不褪色的墨水填写</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响应文件正本除本“</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须知”中规定的可提供复印件外均须提供原件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以正本为准。</w:t>
      </w:r>
    </w:p>
    <w:p w14:paraId="52072C1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响应文件须由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在规定位置盖公章并由法定代表人或者委托代理人签字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否则其响应文件按无效响应处理。骑缝盖公章不视为在规定位置盖章。</w:t>
      </w:r>
    </w:p>
    <w:p w14:paraId="13C6E862">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响应文件中标注的</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w:t>
      </w:r>
    </w:p>
    <w:p w14:paraId="1C8A016F">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响应文件应尽量避免涂改、行间插字或者删除。如果出现上述情况</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改动之处应由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7F2CA5E">
      <w:pPr>
        <w:ind w:firstLine="482" w:firstLineChars="200"/>
        <w:rPr>
          <w:rFonts w:ascii="宋体" w:hAnsi="宋体" w:eastAsia="宋体" w:cs="宋体"/>
          <w:b/>
          <w:bCs/>
          <w:color w:val="auto"/>
          <w:sz w:val="24"/>
          <w:szCs w:val="24"/>
          <w:highlight w:val="none"/>
          <w:lang w:bidi="zh-CN"/>
        </w:rPr>
      </w:pPr>
      <w:r>
        <w:rPr>
          <w:rFonts w:ascii="宋体" w:hAnsi="宋体" w:eastAsia="宋体" w:cs="宋体"/>
          <w:b/>
          <w:bCs/>
          <w:color w:val="auto"/>
          <w:sz w:val="24"/>
          <w:szCs w:val="24"/>
          <w:highlight w:val="none"/>
          <w:lang w:bidi="zh-CN"/>
        </w:rPr>
        <w:t>注：</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必须根据所投分标分别提交响应文件</w:t>
      </w:r>
      <w:r>
        <w:rPr>
          <w:rFonts w:hint="eastAsia" w:ascii="宋体" w:hAnsi="宋体" w:eastAsia="宋体" w:cs="宋体"/>
          <w:b/>
          <w:bCs/>
          <w:color w:val="auto"/>
          <w:sz w:val="24"/>
          <w:szCs w:val="24"/>
          <w:highlight w:val="none"/>
          <w:lang w:bidi="zh-CN"/>
        </w:rPr>
        <w:t>，</w:t>
      </w:r>
      <w:r>
        <w:rPr>
          <w:rFonts w:ascii="宋体" w:hAnsi="宋体" w:eastAsia="宋体" w:cs="宋体"/>
          <w:b/>
          <w:bCs/>
          <w:color w:val="auto"/>
          <w:sz w:val="24"/>
          <w:szCs w:val="24"/>
          <w:highlight w:val="none"/>
          <w:lang w:bidi="zh-CN"/>
        </w:rPr>
        <w:t>否则响应文件将被拒绝。</w:t>
      </w:r>
    </w:p>
    <w:p w14:paraId="1D30CEE7">
      <w:pPr>
        <w:pStyle w:val="46"/>
        <w:spacing w:before="156" w:after="156"/>
        <w:rPr>
          <w:rFonts w:hint="default"/>
          <w:color w:val="auto"/>
          <w:highlight w:val="none"/>
        </w:rPr>
      </w:pPr>
      <w:r>
        <w:rPr>
          <w:rFonts w:hint="default" w:ascii="Times New Roman" w:hAnsi="Times New Roman" w:cs="Times New Roman"/>
          <w:color w:val="auto"/>
          <w:highlight w:val="none"/>
        </w:rPr>
        <w:t>14</w:t>
      </w:r>
      <w:r>
        <w:rPr>
          <w:color w:val="auto"/>
          <w:highlight w:val="none"/>
        </w:rPr>
        <w:t>.</w:t>
      </w:r>
      <w:r>
        <w:rPr>
          <w:rFonts w:hint="default"/>
          <w:color w:val="auto"/>
          <w:highlight w:val="none"/>
        </w:rPr>
        <w:t>响应文件的密封和标记</w:t>
      </w:r>
    </w:p>
    <w:p w14:paraId="6613CB7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响应文件正、副本全部装入一个或者多个包封袋</w:t>
      </w:r>
      <w:r>
        <w:rPr>
          <w:rFonts w:hint="eastAsia" w:ascii="宋体" w:hAnsi="宋体" w:eastAsia="宋体" w:cs="宋体"/>
          <w:color w:val="auto"/>
          <w:sz w:val="24"/>
          <w:szCs w:val="24"/>
          <w:highlight w:val="none"/>
          <w:lang w:bidi="zh-CN"/>
        </w:rPr>
        <w:t>或</w:t>
      </w:r>
      <w:r>
        <w:rPr>
          <w:rFonts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封口处必须加盖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公章或者法定代表人签字或者委托代理人签字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以示密封。</w:t>
      </w:r>
    </w:p>
    <w:p w14:paraId="0AD1BB1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响应文件外层包装封面上应标记“</w:t>
      </w:r>
      <w:r>
        <w:rPr>
          <w:rFonts w:ascii="宋体" w:hAnsi="宋体" w:eastAsia="宋体" w:cs="宋体"/>
          <w:b/>
          <w:bCs/>
          <w:color w:val="auto"/>
          <w:sz w:val="24"/>
          <w:szCs w:val="24"/>
          <w:highlight w:val="none"/>
          <w:lang w:bidi="zh-CN"/>
        </w:rPr>
        <w:t>项目名称、项目编号、</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名称、所竞分标、首次响应文件提交截止时间前不得启封</w:t>
      </w:r>
      <w:r>
        <w:rPr>
          <w:rFonts w:ascii="宋体" w:hAnsi="宋体" w:eastAsia="宋体" w:cs="宋体"/>
          <w:color w:val="auto"/>
          <w:sz w:val="24"/>
          <w:szCs w:val="24"/>
          <w:highlight w:val="none"/>
          <w:lang w:bidi="zh-CN"/>
        </w:rPr>
        <w:t>”字样。</w:t>
      </w:r>
    </w:p>
    <w:p w14:paraId="77D5D5B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未按上述规定密封的响应文件将被拒收。</w:t>
      </w:r>
    </w:p>
    <w:p w14:paraId="202411AD">
      <w:pPr>
        <w:pStyle w:val="46"/>
        <w:spacing w:before="156" w:after="156"/>
        <w:rPr>
          <w:rFonts w:hint="default"/>
          <w:color w:val="auto"/>
          <w:szCs w:val="24"/>
          <w:highlight w:val="none"/>
        </w:rPr>
      </w:pPr>
      <w:r>
        <w:rPr>
          <w:rFonts w:hint="default" w:ascii="Times New Roman" w:hAnsi="Times New Roman" w:cs="Times New Roman"/>
          <w:color w:val="auto"/>
          <w:highlight w:val="none"/>
        </w:rPr>
        <w:t>15</w:t>
      </w:r>
      <w:r>
        <w:rPr>
          <w:color w:val="auto"/>
          <w:highlight w:val="none"/>
        </w:rPr>
        <w:t>.</w:t>
      </w:r>
      <w:r>
        <w:rPr>
          <w:rFonts w:hint="default"/>
          <w:color w:val="auto"/>
          <w:highlight w:val="none"/>
        </w:rPr>
        <w:t>响应文件的提交</w:t>
      </w:r>
    </w:p>
    <w:p w14:paraId="642B12CE">
      <w:pPr>
        <w:pStyle w:val="46"/>
        <w:numPr>
          <w:ilvl w:val="255"/>
          <w:numId w:val="0"/>
        </w:numPr>
        <w:spacing w:before="156" w:after="156"/>
        <w:ind w:firstLine="480" w:firstLineChars="200"/>
        <w:rPr>
          <w:rFonts w:hint="default"/>
          <w:color w:val="auto"/>
          <w:szCs w:val="24"/>
          <w:highlight w:val="none"/>
        </w:rPr>
      </w:pPr>
      <w:r>
        <w:rPr>
          <w:b w:val="0"/>
          <w:bCs w:val="0"/>
          <w:color w:val="auto"/>
          <w:szCs w:val="24"/>
          <w:highlight w:val="none"/>
        </w:rPr>
        <w:t>服务商</w:t>
      </w:r>
      <w:r>
        <w:rPr>
          <w:rFonts w:hint="default"/>
          <w:b w:val="0"/>
          <w:bCs w:val="0"/>
          <w:color w:val="auto"/>
          <w:szCs w:val="24"/>
          <w:highlight w:val="none"/>
        </w:rPr>
        <w:t>必须在“</w:t>
      </w:r>
      <w:r>
        <w:rPr>
          <w:b w:val="0"/>
          <w:bCs w:val="0"/>
          <w:color w:val="auto"/>
          <w:szCs w:val="24"/>
          <w:highlight w:val="none"/>
        </w:rPr>
        <w:t>服务商</w:t>
      </w:r>
      <w:r>
        <w:rPr>
          <w:rFonts w:hint="default"/>
          <w:b w:val="0"/>
          <w:bCs w:val="0"/>
          <w:color w:val="auto"/>
          <w:szCs w:val="24"/>
          <w:highlight w:val="none"/>
        </w:rPr>
        <w:t>须知前附表”规定的时间和地点提交响应文件。</w:t>
      </w:r>
    </w:p>
    <w:p w14:paraId="0C4C17CD">
      <w:pPr>
        <w:pStyle w:val="44"/>
        <w:spacing w:after="312"/>
        <w:rPr>
          <w:rFonts w:hint="default"/>
          <w:color w:val="auto"/>
          <w:highlight w:val="none"/>
        </w:rPr>
      </w:pPr>
      <w:r>
        <w:rPr>
          <w:color w:val="auto"/>
          <w:highlight w:val="none"/>
        </w:rPr>
        <w:t>第三章 评审办法</w:t>
      </w:r>
    </w:p>
    <w:p w14:paraId="1FF936EA">
      <w:pPr>
        <w:pStyle w:val="46"/>
        <w:spacing w:before="156" w:after="156"/>
        <w:rPr>
          <w:rFonts w:hint="default"/>
          <w:color w:val="auto"/>
          <w:highlight w:val="none"/>
        </w:rPr>
      </w:pPr>
      <w:r>
        <w:rPr>
          <w:color w:val="auto"/>
          <w:highlight w:val="none"/>
        </w:rPr>
        <w:t>1.评审小组的构成</w:t>
      </w:r>
    </w:p>
    <w:p w14:paraId="372E5628">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本采购项目的评审小组由采购人组建，其成员数为三人及以上单数组成。</w:t>
      </w:r>
    </w:p>
    <w:p w14:paraId="653D0B70">
      <w:pPr>
        <w:pStyle w:val="46"/>
        <w:spacing w:before="156" w:after="156"/>
        <w:rPr>
          <w:rFonts w:hint="default"/>
          <w:color w:val="auto"/>
          <w:highlight w:val="none"/>
        </w:rPr>
      </w:pPr>
      <w:r>
        <w:rPr>
          <w:color w:val="auto"/>
          <w:highlight w:val="none"/>
        </w:rPr>
        <w:t>2.评审依据</w:t>
      </w:r>
    </w:p>
    <w:p w14:paraId="5A2D480D">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以采购文件、响应文件为评审依据。</w:t>
      </w:r>
    </w:p>
    <w:p w14:paraId="6A031534">
      <w:pPr>
        <w:pStyle w:val="46"/>
        <w:spacing w:before="156" w:after="156"/>
        <w:rPr>
          <w:rFonts w:hint="default"/>
          <w:color w:val="auto"/>
          <w:highlight w:val="none"/>
        </w:rPr>
      </w:pPr>
      <w:r>
        <w:rPr>
          <w:color w:val="auto"/>
          <w:highlight w:val="none"/>
        </w:rPr>
        <w:t>3.评审方法</w:t>
      </w:r>
    </w:p>
    <w:p w14:paraId="28ACF1B6">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6A3F282E">
      <w:pPr>
        <w:pStyle w:val="46"/>
        <w:spacing w:before="156" w:after="156"/>
        <w:rPr>
          <w:rFonts w:hint="default"/>
          <w:color w:val="auto"/>
          <w:highlight w:val="none"/>
        </w:rPr>
      </w:pPr>
      <w:r>
        <w:rPr>
          <w:color w:val="auto"/>
          <w:highlight w:val="none"/>
        </w:rPr>
        <w:t>4.成交候选供应商推荐原则</w:t>
      </w:r>
    </w:p>
    <w:p w14:paraId="085AE407">
      <w:pPr>
        <w:pStyle w:val="58"/>
        <w:widowControl w:val="0"/>
        <w:shd w:val="clear" w:color="auto" w:fill="auto"/>
        <w:spacing w:line="360" w:lineRule="auto"/>
        <w:ind w:firstLine="480"/>
        <w:rPr>
          <w:rFonts w:hint="eastAsia" w:ascii="宋体" w:hAnsi="宋体" w:eastAsia="宋体" w:cs="宋体"/>
          <w:color w:val="auto"/>
          <w:kern w:val="2"/>
          <w:sz w:val="24"/>
          <w:szCs w:val="24"/>
          <w:highlight w:val="none"/>
          <w:lang w:bidi="zh-CN"/>
        </w:rPr>
      </w:pPr>
      <w:r>
        <w:rPr>
          <w:rFonts w:hint="eastAsia" w:ascii="宋体" w:hAnsi="宋体" w:eastAsia="宋体" w:cs="宋体"/>
          <w:color w:val="auto"/>
          <w:kern w:val="2"/>
          <w:sz w:val="24"/>
          <w:szCs w:val="24"/>
          <w:highlight w:val="none"/>
          <w:lang w:bidi="zh-CN"/>
        </w:rPr>
        <w:t>本次</w:t>
      </w:r>
      <w:r>
        <w:rPr>
          <w:rFonts w:hint="eastAsia" w:ascii="宋体" w:hAnsi="宋体" w:eastAsia="宋体" w:cs="宋体"/>
          <w:color w:val="auto"/>
          <w:kern w:val="2"/>
          <w:sz w:val="24"/>
          <w:szCs w:val="24"/>
          <w:highlight w:val="none"/>
          <w:lang w:val="en-US" w:eastAsia="zh-CN" w:bidi="zh-CN"/>
        </w:rPr>
        <w:t>评审</w:t>
      </w:r>
      <w:r>
        <w:rPr>
          <w:rFonts w:hint="eastAsia" w:ascii="宋体" w:hAnsi="宋体" w:eastAsia="宋体" w:cs="宋体"/>
          <w:color w:val="auto"/>
          <w:kern w:val="2"/>
          <w:sz w:val="24"/>
          <w:szCs w:val="24"/>
          <w:highlight w:val="none"/>
          <w:lang w:bidi="zh-CN"/>
        </w:rPr>
        <w:t>采用综合评分法，总分为100分。合格投标人的</w:t>
      </w:r>
      <w:r>
        <w:rPr>
          <w:rFonts w:hint="eastAsia" w:ascii="宋体" w:hAnsi="宋体" w:eastAsia="宋体" w:cs="宋体"/>
          <w:color w:val="auto"/>
          <w:kern w:val="2"/>
          <w:sz w:val="24"/>
          <w:szCs w:val="24"/>
          <w:highlight w:val="none"/>
          <w:lang w:val="en-US" w:eastAsia="zh-CN" w:bidi="zh-CN"/>
        </w:rPr>
        <w:t>评审</w:t>
      </w:r>
      <w:r>
        <w:rPr>
          <w:rFonts w:hint="eastAsia" w:ascii="宋体" w:hAnsi="宋体" w:eastAsia="宋体" w:cs="宋体"/>
          <w:color w:val="auto"/>
          <w:kern w:val="2"/>
          <w:sz w:val="24"/>
          <w:szCs w:val="24"/>
          <w:highlight w:val="none"/>
          <w:lang w:bidi="zh-CN"/>
        </w:rPr>
        <w:t>得分为各项目汇总得分，中标候选资格按评标得分由高到低顺序排列，得分相同的，按投标报价由低到高顺序排列；</w:t>
      </w:r>
      <w:r>
        <w:rPr>
          <w:rFonts w:hint="eastAsia" w:ascii="宋体" w:hAnsi="宋体" w:eastAsia="宋体" w:cs="宋体"/>
          <w:color w:val="auto"/>
          <w:kern w:val="2"/>
          <w:sz w:val="24"/>
          <w:szCs w:val="24"/>
          <w:highlight w:val="none"/>
          <w:lang w:val="en-US" w:bidi="zh-CN"/>
        </w:rPr>
        <w:t>得分且投标报价相同的，按技术指标优劣顺序排列；</w:t>
      </w:r>
      <w:r>
        <w:rPr>
          <w:rFonts w:hint="eastAsia" w:ascii="宋体" w:hAnsi="宋体" w:eastAsia="宋体" w:cs="宋体"/>
          <w:color w:val="auto"/>
          <w:kern w:val="2"/>
          <w:sz w:val="24"/>
          <w:szCs w:val="24"/>
          <w:highlight w:val="none"/>
          <w:lang w:val="en-US" w:eastAsia="zh-CN" w:bidi="zh-CN"/>
        </w:rPr>
        <w:t>资信</w:t>
      </w:r>
      <w:r>
        <w:rPr>
          <w:rFonts w:hint="eastAsia" w:ascii="宋体" w:hAnsi="宋体" w:eastAsia="宋体" w:cs="宋体"/>
          <w:color w:val="auto"/>
          <w:kern w:val="2"/>
          <w:sz w:val="24"/>
          <w:szCs w:val="24"/>
          <w:highlight w:val="none"/>
          <w:lang w:val="en-US" w:bidi="zh-CN"/>
        </w:rPr>
        <w:t>得分、技术得分且投标报价均相同的，按投标人签到序号为投标人代表球号，由招标人代表抽取中标候选人。</w:t>
      </w:r>
      <w:r>
        <w:rPr>
          <w:rFonts w:hint="eastAsia" w:ascii="宋体" w:hAnsi="宋体" w:eastAsia="宋体" w:cs="宋体"/>
          <w:color w:val="auto"/>
          <w:kern w:val="2"/>
          <w:sz w:val="24"/>
          <w:szCs w:val="24"/>
          <w:highlight w:val="none"/>
          <w:lang w:bidi="zh-CN"/>
        </w:rPr>
        <w:t>排名第一的投标人为第一中标候选人。评分过程中采用四舍五入法，并保留小数2位。</w:t>
      </w:r>
    </w:p>
    <w:p w14:paraId="22BAA363">
      <w:pPr>
        <w:pStyle w:val="58"/>
        <w:widowControl w:val="0"/>
        <w:shd w:val="clear" w:color="auto" w:fill="auto"/>
        <w:spacing w:line="360" w:lineRule="auto"/>
        <w:ind w:firstLine="480"/>
        <w:rPr>
          <w:rFonts w:hint="default" w:ascii="宋体" w:hAnsi="宋体" w:eastAsia="宋体" w:cs="宋体"/>
          <w:color w:val="auto"/>
          <w:kern w:val="2"/>
          <w:sz w:val="24"/>
          <w:szCs w:val="24"/>
          <w:highlight w:val="none"/>
          <w:lang w:val="en-US" w:bidi="zh-CN"/>
        </w:rPr>
      </w:pPr>
      <w:r>
        <w:rPr>
          <w:rFonts w:hint="eastAsia" w:ascii="宋体" w:hAnsi="宋体" w:eastAsia="宋体" w:cs="宋体"/>
          <w:color w:val="auto"/>
          <w:kern w:val="2"/>
          <w:sz w:val="24"/>
          <w:szCs w:val="24"/>
          <w:highlight w:val="none"/>
          <w:lang w:bidi="zh-CN"/>
        </w:rPr>
        <w:t>投标人评标综合得分=价格分+</w:t>
      </w:r>
      <w:r>
        <w:rPr>
          <w:rFonts w:hint="eastAsia" w:ascii="宋体" w:hAnsi="宋体" w:cs="宋体"/>
          <w:color w:val="auto"/>
          <w:kern w:val="2"/>
          <w:sz w:val="24"/>
          <w:szCs w:val="24"/>
          <w:highlight w:val="none"/>
          <w:lang w:val="en-US" w:bidi="zh-CN"/>
        </w:rPr>
        <w:t>商务分+技术方案分</w:t>
      </w:r>
    </w:p>
    <w:p w14:paraId="0E53D1AE">
      <w:pPr>
        <w:pStyle w:val="57"/>
        <w:widowControl w:val="0"/>
        <w:shd w:val="clear" w:color="auto" w:fill="auto"/>
        <w:wordWrap/>
        <w:adjustRightInd/>
        <w:snapToGrid/>
        <w:spacing w:before="0" w:line="360" w:lineRule="auto"/>
        <w:ind w:firstLine="442"/>
        <w:textAlignment w:val="auto"/>
        <w:rPr>
          <w:rFonts w:hint="eastAsia" w:ascii="宋体" w:hAnsi="宋体" w:eastAsia="宋体" w:cs="宋体"/>
          <w:b w:val="0"/>
          <w:color w:val="auto"/>
          <w:kern w:val="2"/>
          <w:sz w:val="24"/>
          <w:szCs w:val="24"/>
          <w:highlight w:val="none"/>
          <w:lang w:bidi="zh-CN"/>
        </w:rPr>
      </w:pPr>
    </w:p>
    <w:tbl>
      <w:tblPr>
        <w:tblStyle w:val="25"/>
        <w:tblW w:w="917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93"/>
        <w:gridCol w:w="2233"/>
        <w:gridCol w:w="866"/>
        <w:gridCol w:w="4682"/>
      </w:tblGrid>
      <w:tr w14:paraId="3978FE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626" w:type="dxa"/>
            <w:gridSpan w:val="2"/>
            <w:tcBorders>
              <w:top w:val="single" w:color="auto" w:sz="8" w:space="0"/>
              <w:left w:val="single" w:color="auto" w:sz="8" w:space="0"/>
              <w:bottom w:val="single" w:color="auto" w:sz="8" w:space="0"/>
              <w:right w:val="single" w:color="auto" w:sz="8" w:space="0"/>
            </w:tcBorders>
            <w:vAlign w:val="center"/>
          </w:tcPr>
          <w:p w14:paraId="135B6B6F">
            <w:pPr>
              <w:widowControl/>
              <w:wordWrap w:val="0"/>
              <w:spacing w:line="400" w:lineRule="exact"/>
              <w:jc w:val="center"/>
              <w:rPr>
                <w:rFonts w:ascii="宋体" w:hAnsi="宋体" w:cs="宋体"/>
                <w:b/>
                <w:kern w:val="0"/>
                <w:szCs w:val="21"/>
              </w:rPr>
            </w:pPr>
            <w:r>
              <w:rPr>
                <w:rFonts w:hint="eastAsia" w:ascii="宋体" w:hAnsi="宋体" w:cs="宋体"/>
                <w:b/>
                <w:kern w:val="0"/>
                <w:szCs w:val="21"/>
              </w:rPr>
              <w:t>评分内容</w:t>
            </w:r>
          </w:p>
        </w:tc>
        <w:tc>
          <w:tcPr>
            <w:tcW w:w="866" w:type="dxa"/>
            <w:tcBorders>
              <w:top w:val="single" w:color="auto" w:sz="8" w:space="0"/>
              <w:left w:val="single" w:color="auto" w:sz="8" w:space="0"/>
              <w:bottom w:val="single" w:color="auto" w:sz="8" w:space="0"/>
              <w:right w:val="single" w:color="auto" w:sz="8" w:space="0"/>
            </w:tcBorders>
            <w:vAlign w:val="center"/>
          </w:tcPr>
          <w:p w14:paraId="15C1C5AE">
            <w:pPr>
              <w:widowControl/>
              <w:wordWrap w:val="0"/>
              <w:spacing w:line="400" w:lineRule="exact"/>
              <w:jc w:val="center"/>
              <w:rPr>
                <w:rFonts w:ascii="宋体" w:hAnsi="宋体" w:cs="宋体"/>
                <w:b/>
                <w:kern w:val="0"/>
                <w:szCs w:val="21"/>
              </w:rPr>
            </w:pPr>
            <w:r>
              <w:rPr>
                <w:rFonts w:hint="eastAsia" w:ascii="宋体" w:hAnsi="宋体" w:cs="宋体"/>
                <w:b/>
                <w:kern w:val="0"/>
                <w:szCs w:val="21"/>
              </w:rPr>
              <w:t>分值</w:t>
            </w:r>
          </w:p>
        </w:tc>
        <w:tc>
          <w:tcPr>
            <w:tcW w:w="4682" w:type="dxa"/>
            <w:tcBorders>
              <w:top w:val="single" w:color="auto" w:sz="8" w:space="0"/>
              <w:left w:val="single" w:color="auto" w:sz="8" w:space="0"/>
              <w:bottom w:val="single" w:color="auto" w:sz="8" w:space="0"/>
              <w:right w:val="single" w:color="auto" w:sz="8" w:space="0"/>
            </w:tcBorders>
            <w:vAlign w:val="center"/>
          </w:tcPr>
          <w:p w14:paraId="56304459">
            <w:pPr>
              <w:widowControl/>
              <w:wordWrap w:val="0"/>
              <w:spacing w:line="400" w:lineRule="exact"/>
              <w:jc w:val="center"/>
              <w:rPr>
                <w:rFonts w:ascii="宋体" w:hAnsi="宋体" w:cs="宋体"/>
                <w:b/>
                <w:kern w:val="0"/>
                <w:szCs w:val="21"/>
              </w:rPr>
            </w:pPr>
            <w:r>
              <w:rPr>
                <w:rFonts w:hint="eastAsia" w:ascii="宋体" w:hAnsi="宋体" w:cs="宋体"/>
                <w:b/>
                <w:kern w:val="0"/>
                <w:szCs w:val="21"/>
              </w:rPr>
              <w:t>评分细则</w:t>
            </w:r>
          </w:p>
        </w:tc>
      </w:tr>
      <w:tr w14:paraId="124607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1393" w:type="dxa"/>
            <w:vMerge w:val="restart"/>
            <w:tcBorders>
              <w:top w:val="single" w:color="auto" w:sz="8" w:space="0"/>
              <w:left w:val="single" w:color="auto" w:sz="8" w:space="0"/>
              <w:right w:val="single" w:color="auto" w:sz="8" w:space="0"/>
            </w:tcBorders>
            <w:vAlign w:val="center"/>
          </w:tcPr>
          <w:p w14:paraId="7C736FFE">
            <w:pPr>
              <w:widowControl/>
              <w:wordWrap w:val="0"/>
              <w:spacing w:line="400" w:lineRule="exact"/>
              <w:jc w:val="center"/>
              <w:rPr>
                <w:rFonts w:ascii="宋体" w:hAnsi="宋体" w:cs="宋体"/>
                <w:b/>
                <w:bCs/>
                <w:kern w:val="0"/>
                <w:szCs w:val="21"/>
              </w:rPr>
            </w:pPr>
            <w:r>
              <w:rPr>
                <w:rFonts w:hint="eastAsia" w:ascii="宋体" w:hAnsi="宋体" w:cs="宋体"/>
                <w:b/>
                <w:bCs/>
                <w:kern w:val="0"/>
                <w:szCs w:val="21"/>
              </w:rPr>
              <w:t>价格分</w:t>
            </w:r>
          </w:p>
          <w:p w14:paraId="560514FD">
            <w:pPr>
              <w:widowControl/>
              <w:wordWrap w:val="0"/>
              <w:spacing w:line="400" w:lineRule="exact"/>
              <w:jc w:val="center"/>
              <w:rPr>
                <w:rFonts w:ascii="宋体" w:hAnsi="宋体" w:cs="宋体"/>
                <w:b/>
                <w:bCs/>
                <w:kern w:val="0"/>
                <w:szCs w:val="21"/>
              </w:rPr>
            </w:pPr>
            <w:r>
              <w:rPr>
                <w:rFonts w:hint="eastAsia" w:ascii="宋体" w:hAnsi="宋体" w:cs="宋体"/>
                <w:b/>
                <w:bCs/>
                <w:kern w:val="0"/>
                <w:szCs w:val="21"/>
              </w:rPr>
              <w:t>（满分10分）</w:t>
            </w:r>
          </w:p>
        </w:tc>
        <w:tc>
          <w:tcPr>
            <w:tcW w:w="2233" w:type="dxa"/>
            <w:tcBorders>
              <w:top w:val="single" w:color="auto" w:sz="8" w:space="0"/>
              <w:left w:val="single" w:color="auto" w:sz="8" w:space="0"/>
              <w:bottom w:val="single" w:color="auto" w:sz="8" w:space="0"/>
              <w:right w:val="single" w:color="auto" w:sz="8" w:space="0"/>
            </w:tcBorders>
            <w:vAlign w:val="center"/>
          </w:tcPr>
          <w:p w14:paraId="21E8FE9E">
            <w:pPr>
              <w:widowControl/>
              <w:wordWrap w:val="0"/>
              <w:spacing w:line="400" w:lineRule="exact"/>
              <w:jc w:val="center"/>
              <w:rPr>
                <w:rFonts w:ascii="宋体" w:hAnsi="宋体" w:cs="宋体"/>
                <w:kern w:val="0"/>
                <w:szCs w:val="21"/>
              </w:rPr>
            </w:pPr>
            <w:r>
              <w:rPr>
                <w:rFonts w:hint="eastAsia" w:ascii="宋体" w:hAnsi="宋体" w:cs="宋体"/>
                <w:kern w:val="0"/>
                <w:szCs w:val="21"/>
              </w:rPr>
              <w:t>受托管理费费率</w:t>
            </w:r>
          </w:p>
        </w:tc>
        <w:tc>
          <w:tcPr>
            <w:tcW w:w="866" w:type="dxa"/>
            <w:tcBorders>
              <w:top w:val="single" w:color="auto" w:sz="8" w:space="0"/>
              <w:left w:val="single" w:color="auto" w:sz="8" w:space="0"/>
              <w:right w:val="single" w:color="auto" w:sz="8" w:space="0"/>
            </w:tcBorders>
            <w:vAlign w:val="center"/>
          </w:tcPr>
          <w:p w14:paraId="555063C1">
            <w:pPr>
              <w:widowControl/>
              <w:wordWrap w:val="0"/>
              <w:spacing w:line="400" w:lineRule="exact"/>
              <w:jc w:val="center"/>
              <w:rPr>
                <w:rFonts w:hint="eastAsia" w:ascii="宋体" w:hAnsi="宋体" w:cs="宋体"/>
                <w:kern w:val="0"/>
                <w:szCs w:val="21"/>
                <w:lang w:eastAsia="zh-CN"/>
              </w:rPr>
            </w:pPr>
            <w:r>
              <w:rPr>
                <w:rFonts w:hint="eastAsia" w:ascii="宋体" w:hAnsi="宋体" w:cs="宋体"/>
                <w:kern w:val="0"/>
                <w:szCs w:val="21"/>
                <w:lang w:eastAsia="zh-CN"/>
              </w:rPr>
              <w:t>3分</w:t>
            </w:r>
          </w:p>
        </w:tc>
        <w:tc>
          <w:tcPr>
            <w:tcW w:w="4682" w:type="dxa"/>
            <w:vMerge w:val="restart"/>
            <w:tcBorders>
              <w:top w:val="single" w:color="auto" w:sz="8" w:space="0"/>
              <w:left w:val="single" w:color="auto" w:sz="8" w:space="0"/>
              <w:right w:val="single" w:color="auto" w:sz="8" w:space="0"/>
            </w:tcBorders>
            <w:vAlign w:val="center"/>
          </w:tcPr>
          <w:p w14:paraId="7EF3ABB5">
            <w:pPr>
              <w:widowControl/>
              <w:wordWrap w:val="0"/>
              <w:spacing w:line="400" w:lineRule="exact"/>
              <w:jc w:val="left"/>
            </w:pPr>
            <w:r>
              <w:rPr>
                <w:rFonts w:hint="eastAsia" w:ascii="宋体" w:hAnsi="宋体" w:eastAsia="宋体" w:cs="宋体"/>
                <w:i w:val="0"/>
                <w:caps w:val="0"/>
                <w:color w:val="000000"/>
                <w:spacing w:val="0"/>
                <w:kern w:val="0"/>
                <w:sz w:val="18"/>
                <w:szCs w:val="18"/>
                <w:u w:val="none"/>
                <w:lang w:val="en-US" w:eastAsia="zh-CN" w:bidi="ar"/>
              </w:rPr>
              <w:t>以各有效投标人中的最低费率报价为基准价，价格得满分，其他投标人报价按其与基准价的占比计分，计算公式：（基准价/投标人报价）×各项总分。</w:t>
            </w:r>
          </w:p>
          <w:p w14:paraId="465A4CA3">
            <w:pPr>
              <w:widowControl/>
              <w:wordWrap w:val="0"/>
              <w:spacing w:line="400" w:lineRule="exact"/>
              <w:jc w:val="left"/>
              <w:rPr>
                <w:rFonts w:ascii="宋体" w:hAnsi="宋体" w:cs="宋体"/>
                <w:kern w:val="0"/>
                <w:szCs w:val="21"/>
              </w:rPr>
            </w:pPr>
          </w:p>
        </w:tc>
      </w:tr>
      <w:tr w14:paraId="54A1DD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1393" w:type="dxa"/>
            <w:vMerge w:val="continue"/>
            <w:tcBorders>
              <w:left w:val="single" w:color="auto" w:sz="8" w:space="0"/>
              <w:right w:val="single" w:color="auto" w:sz="8" w:space="0"/>
            </w:tcBorders>
            <w:vAlign w:val="center"/>
          </w:tcPr>
          <w:p w14:paraId="1D72EA14">
            <w:pPr>
              <w:widowControl/>
              <w:wordWrap w:val="0"/>
              <w:spacing w:line="400" w:lineRule="exact"/>
              <w:jc w:val="center"/>
            </w:pPr>
          </w:p>
        </w:tc>
        <w:tc>
          <w:tcPr>
            <w:tcW w:w="2233" w:type="dxa"/>
            <w:tcBorders>
              <w:top w:val="single" w:color="auto" w:sz="8" w:space="0"/>
              <w:left w:val="single" w:color="auto" w:sz="8" w:space="0"/>
              <w:bottom w:val="single" w:color="auto" w:sz="8" w:space="0"/>
              <w:right w:val="single" w:color="auto" w:sz="8" w:space="0"/>
            </w:tcBorders>
            <w:vAlign w:val="center"/>
          </w:tcPr>
          <w:p w14:paraId="53226951">
            <w:pPr>
              <w:widowControl/>
              <w:wordWrap w:val="0"/>
              <w:spacing w:line="400" w:lineRule="exact"/>
              <w:jc w:val="center"/>
              <w:rPr>
                <w:rFonts w:hint="eastAsia" w:ascii="宋体" w:hAnsi="宋体" w:cs="宋体"/>
                <w:kern w:val="0"/>
                <w:szCs w:val="21"/>
                <w:lang w:eastAsia="zh-CN"/>
              </w:rPr>
            </w:pPr>
            <w:r>
              <w:rPr>
                <w:rFonts w:hint="eastAsia" w:ascii="宋体" w:hAnsi="宋体" w:cs="宋体"/>
                <w:kern w:val="0"/>
                <w:szCs w:val="21"/>
                <w:lang w:eastAsia="zh-CN"/>
              </w:rPr>
              <w:t>投资管理费费率</w:t>
            </w:r>
          </w:p>
        </w:tc>
        <w:tc>
          <w:tcPr>
            <w:tcW w:w="866" w:type="dxa"/>
            <w:tcBorders>
              <w:left w:val="single" w:color="auto" w:sz="8" w:space="0"/>
              <w:right w:val="single" w:color="auto" w:sz="8" w:space="0"/>
            </w:tcBorders>
            <w:vAlign w:val="center"/>
          </w:tcPr>
          <w:p w14:paraId="366E8E81">
            <w:pPr>
              <w:widowControl/>
              <w:wordWrap w:val="0"/>
              <w:spacing w:line="400" w:lineRule="exact"/>
              <w:jc w:val="center"/>
              <w:rPr>
                <w:rFonts w:hint="eastAsia" w:ascii="宋体" w:hAnsi="宋体" w:cs="宋体"/>
                <w:kern w:val="0"/>
                <w:szCs w:val="21"/>
                <w:lang w:eastAsia="zh-CN"/>
              </w:rPr>
            </w:pPr>
            <w:r>
              <w:rPr>
                <w:rFonts w:hint="eastAsia" w:ascii="宋体" w:hAnsi="宋体" w:cs="宋体"/>
                <w:kern w:val="0"/>
                <w:szCs w:val="21"/>
                <w:lang w:eastAsia="zh-CN"/>
              </w:rPr>
              <w:t>3分</w:t>
            </w:r>
          </w:p>
        </w:tc>
        <w:tc>
          <w:tcPr>
            <w:tcW w:w="4682" w:type="dxa"/>
            <w:vMerge w:val="continue"/>
            <w:tcBorders>
              <w:left w:val="single" w:color="auto" w:sz="8" w:space="0"/>
              <w:right w:val="single" w:color="auto" w:sz="8" w:space="0"/>
            </w:tcBorders>
            <w:vAlign w:val="center"/>
          </w:tcPr>
          <w:p w14:paraId="0B83DC0F">
            <w:pPr>
              <w:widowControl/>
              <w:wordWrap w:val="0"/>
              <w:spacing w:line="400" w:lineRule="exact"/>
              <w:jc w:val="center"/>
              <w:rPr>
                <w:rFonts w:hint="eastAsia" w:ascii="宋体" w:hAnsi="宋体" w:cs="宋体"/>
                <w:kern w:val="0"/>
                <w:szCs w:val="21"/>
              </w:rPr>
            </w:pPr>
          </w:p>
        </w:tc>
      </w:tr>
      <w:tr w14:paraId="72254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1393" w:type="dxa"/>
            <w:vMerge w:val="continue"/>
            <w:tcBorders>
              <w:left w:val="single" w:color="auto" w:sz="8" w:space="0"/>
              <w:right w:val="single" w:color="auto" w:sz="8" w:space="0"/>
            </w:tcBorders>
            <w:vAlign w:val="center"/>
          </w:tcPr>
          <w:p w14:paraId="7EFD3DEB">
            <w:pPr>
              <w:widowControl/>
              <w:wordWrap w:val="0"/>
              <w:spacing w:line="400" w:lineRule="exact"/>
              <w:jc w:val="center"/>
              <w:rPr>
                <w:rFonts w:hint="eastAsia" w:ascii="宋体" w:hAnsi="宋体" w:cs="宋体"/>
                <w:kern w:val="0"/>
                <w:szCs w:val="21"/>
              </w:rPr>
            </w:pPr>
          </w:p>
        </w:tc>
        <w:tc>
          <w:tcPr>
            <w:tcW w:w="2233" w:type="dxa"/>
            <w:tcBorders>
              <w:top w:val="single" w:color="auto" w:sz="8" w:space="0"/>
              <w:left w:val="single" w:color="auto" w:sz="8" w:space="0"/>
              <w:bottom w:val="single" w:color="auto" w:sz="8" w:space="0"/>
              <w:right w:val="single" w:color="auto" w:sz="8" w:space="0"/>
            </w:tcBorders>
            <w:vAlign w:val="center"/>
          </w:tcPr>
          <w:p w14:paraId="2C231949">
            <w:pPr>
              <w:widowControl/>
              <w:wordWrap w:val="0"/>
              <w:spacing w:line="400" w:lineRule="exact"/>
              <w:jc w:val="center"/>
              <w:rPr>
                <w:rFonts w:hint="eastAsia" w:ascii="宋体" w:hAnsi="宋体" w:cs="宋体"/>
                <w:kern w:val="0"/>
                <w:szCs w:val="21"/>
                <w:lang w:eastAsia="zh-CN"/>
              </w:rPr>
            </w:pPr>
            <w:r>
              <w:rPr>
                <w:rFonts w:hint="eastAsia" w:ascii="宋体" w:hAnsi="宋体" w:cs="宋体"/>
                <w:kern w:val="0"/>
                <w:szCs w:val="21"/>
                <w:lang w:eastAsia="zh-CN"/>
              </w:rPr>
              <w:t>托管费费率</w:t>
            </w:r>
          </w:p>
        </w:tc>
        <w:tc>
          <w:tcPr>
            <w:tcW w:w="866" w:type="dxa"/>
            <w:tcBorders>
              <w:left w:val="single" w:color="auto" w:sz="8" w:space="0"/>
              <w:right w:val="single" w:color="auto" w:sz="8" w:space="0"/>
            </w:tcBorders>
            <w:vAlign w:val="center"/>
          </w:tcPr>
          <w:p w14:paraId="6EE23FEE">
            <w:pPr>
              <w:widowControl/>
              <w:wordWrap w:val="0"/>
              <w:spacing w:line="400" w:lineRule="exact"/>
              <w:jc w:val="center"/>
              <w:rPr>
                <w:rFonts w:hint="eastAsia" w:ascii="宋体" w:hAnsi="宋体" w:cs="宋体"/>
                <w:kern w:val="0"/>
                <w:szCs w:val="21"/>
                <w:lang w:eastAsia="zh-CN"/>
              </w:rPr>
            </w:pPr>
            <w:r>
              <w:rPr>
                <w:rFonts w:hint="eastAsia" w:ascii="宋体" w:hAnsi="宋体" w:cs="宋体"/>
                <w:kern w:val="0"/>
                <w:szCs w:val="21"/>
                <w:lang w:eastAsia="zh-CN"/>
              </w:rPr>
              <w:t>2分</w:t>
            </w:r>
          </w:p>
        </w:tc>
        <w:tc>
          <w:tcPr>
            <w:tcW w:w="4682" w:type="dxa"/>
            <w:vMerge w:val="continue"/>
            <w:tcBorders>
              <w:left w:val="single" w:color="auto" w:sz="8" w:space="0"/>
              <w:right w:val="single" w:color="auto" w:sz="8" w:space="0"/>
            </w:tcBorders>
            <w:vAlign w:val="center"/>
          </w:tcPr>
          <w:p w14:paraId="5B0DA462">
            <w:pPr>
              <w:widowControl/>
              <w:wordWrap w:val="0"/>
              <w:spacing w:line="400" w:lineRule="exact"/>
              <w:jc w:val="center"/>
              <w:rPr>
                <w:rFonts w:hint="eastAsia" w:ascii="宋体" w:hAnsi="宋体" w:cs="宋体"/>
                <w:kern w:val="0"/>
                <w:szCs w:val="21"/>
              </w:rPr>
            </w:pPr>
          </w:p>
        </w:tc>
      </w:tr>
      <w:tr w14:paraId="301BD6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1393" w:type="dxa"/>
            <w:vMerge w:val="continue"/>
            <w:tcBorders>
              <w:left w:val="single" w:color="auto" w:sz="8" w:space="0"/>
              <w:bottom w:val="single" w:color="auto" w:sz="8" w:space="0"/>
              <w:right w:val="single" w:color="auto" w:sz="8" w:space="0"/>
            </w:tcBorders>
            <w:vAlign w:val="center"/>
          </w:tcPr>
          <w:p w14:paraId="78E43E31">
            <w:pPr>
              <w:widowControl/>
              <w:wordWrap w:val="0"/>
              <w:spacing w:line="400" w:lineRule="exact"/>
              <w:jc w:val="center"/>
              <w:rPr>
                <w:rFonts w:hint="eastAsia" w:ascii="宋体" w:hAnsi="宋体" w:cs="宋体"/>
                <w:kern w:val="0"/>
                <w:szCs w:val="21"/>
              </w:rPr>
            </w:pPr>
          </w:p>
        </w:tc>
        <w:tc>
          <w:tcPr>
            <w:tcW w:w="2233" w:type="dxa"/>
            <w:tcBorders>
              <w:top w:val="single" w:color="auto" w:sz="8" w:space="0"/>
              <w:left w:val="single" w:color="auto" w:sz="8" w:space="0"/>
              <w:bottom w:val="single" w:color="auto" w:sz="8" w:space="0"/>
              <w:right w:val="single" w:color="auto" w:sz="8" w:space="0"/>
            </w:tcBorders>
            <w:vAlign w:val="center"/>
          </w:tcPr>
          <w:p w14:paraId="616BE589">
            <w:pPr>
              <w:widowControl/>
              <w:wordWrap w:val="0"/>
              <w:spacing w:line="400" w:lineRule="exact"/>
              <w:jc w:val="center"/>
              <w:rPr>
                <w:rFonts w:hint="eastAsia" w:ascii="宋体" w:hAnsi="宋体" w:cs="宋体"/>
                <w:kern w:val="0"/>
                <w:szCs w:val="21"/>
                <w:lang w:eastAsia="zh-CN"/>
              </w:rPr>
            </w:pPr>
            <w:r>
              <w:rPr>
                <w:rFonts w:hint="eastAsia" w:ascii="宋体" w:hAnsi="宋体" w:cs="宋体"/>
                <w:kern w:val="0"/>
                <w:szCs w:val="21"/>
                <w:lang w:eastAsia="zh-CN"/>
              </w:rPr>
              <w:t>账户管理费</w:t>
            </w:r>
          </w:p>
        </w:tc>
        <w:tc>
          <w:tcPr>
            <w:tcW w:w="866" w:type="dxa"/>
            <w:tcBorders>
              <w:left w:val="single" w:color="auto" w:sz="8" w:space="0"/>
              <w:bottom w:val="single" w:color="auto" w:sz="8" w:space="0"/>
              <w:right w:val="single" w:color="auto" w:sz="8" w:space="0"/>
            </w:tcBorders>
            <w:vAlign w:val="center"/>
          </w:tcPr>
          <w:p w14:paraId="0C95A978">
            <w:pPr>
              <w:widowControl/>
              <w:wordWrap w:val="0"/>
              <w:spacing w:line="400" w:lineRule="exact"/>
              <w:jc w:val="center"/>
              <w:rPr>
                <w:rFonts w:hint="eastAsia" w:ascii="宋体" w:hAnsi="宋体" w:cs="宋体"/>
                <w:kern w:val="0"/>
                <w:szCs w:val="21"/>
                <w:lang w:eastAsia="zh-CN"/>
              </w:rPr>
            </w:pPr>
            <w:r>
              <w:rPr>
                <w:rFonts w:hint="eastAsia" w:ascii="宋体" w:hAnsi="宋体" w:cs="宋体"/>
                <w:kern w:val="0"/>
                <w:szCs w:val="21"/>
                <w:lang w:eastAsia="zh-CN"/>
              </w:rPr>
              <w:t>2分</w:t>
            </w:r>
          </w:p>
        </w:tc>
        <w:tc>
          <w:tcPr>
            <w:tcW w:w="4682" w:type="dxa"/>
            <w:vMerge w:val="continue"/>
            <w:tcBorders>
              <w:left w:val="single" w:color="auto" w:sz="8" w:space="0"/>
              <w:bottom w:val="single" w:color="auto" w:sz="8" w:space="0"/>
              <w:right w:val="single" w:color="auto" w:sz="8" w:space="0"/>
            </w:tcBorders>
            <w:vAlign w:val="center"/>
          </w:tcPr>
          <w:p w14:paraId="298C998F">
            <w:pPr>
              <w:widowControl/>
              <w:wordWrap w:val="0"/>
              <w:spacing w:line="400" w:lineRule="exact"/>
              <w:jc w:val="center"/>
              <w:rPr>
                <w:rFonts w:hint="eastAsia" w:ascii="宋体" w:hAnsi="宋体" w:cs="宋体"/>
                <w:kern w:val="0"/>
                <w:szCs w:val="21"/>
              </w:rPr>
            </w:pPr>
          </w:p>
        </w:tc>
      </w:tr>
      <w:tr w14:paraId="7C3137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00" w:hRule="atLeast"/>
          <w:jc w:val="center"/>
        </w:trPr>
        <w:tc>
          <w:tcPr>
            <w:tcW w:w="1393" w:type="dxa"/>
            <w:vMerge w:val="restart"/>
            <w:tcBorders>
              <w:top w:val="single" w:color="auto" w:sz="8" w:space="0"/>
              <w:left w:val="single" w:color="auto" w:sz="8" w:space="0"/>
              <w:right w:val="single" w:color="auto" w:sz="8" w:space="0"/>
            </w:tcBorders>
            <w:vAlign w:val="center"/>
          </w:tcPr>
          <w:p w14:paraId="04DD91AD">
            <w:pPr>
              <w:widowControl/>
              <w:wordWrap w:val="0"/>
              <w:spacing w:line="400" w:lineRule="exact"/>
              <w:jc w:val="center"/>
              <w:rPr>
                <w:rFonts w:ascii="宋体" w:hAnsi="宋体" w:cs="宋体"/>
                <w:b/>
                <w:kern w:val="0"/>
                <w:szCs w:val="21"/>
              </w:rPr>
            </w:pPr>
            <w:r>
              <w:rPr>
                <w:rFonts w:hint="eastAsia" w:ascii="宋体" w:hAnsi="宋体" w:cs="宋体"/>
                <w:b/>
                <w:kern w:val="0"/>
                <w:szCs w:val="21"/>
              </w:rPr>
              <w:t>商务分（</w:t>
            </w:r>
            <w:r>
              <w:rPr>
                <w:rFonts w:hint="eastAsia" w:ascii="宋体" w:hAnsi="宋体" w:cs="宋体"/>
                <w:b/>
                <w:bCs/>
                <w:kern w:val="0"/>
                <w:szCs w:val="21"/>
              </w:rPr>
              <w:t>满分</w:t>
            </w:r>
            <w:r>
              <w:rPr>
                <w:rFonts w:ascii="宋体" w:hAnsi="宋体" w:cs="宋体"/>
                <w:b/>
                <w:kern w:val="0"/>
                <w:szCs w:val="21"/>
              </w:rPr>
              <w:t>50</w:t>
            </w:r>
            <w:r>
              <w:rPr>
                <w:rFonts w:hint="eastAsia" w:ascii="宋体" w:hAnsi="宋体" w:cs="宋体"/>
                <w:b/>
                <w:kern w:val="0"/>
                <w:szCs w:val="21"/>
              </w:rPr>
              <w:t>分）</w:t>
            </w:r>
          </w:p>
        </w:tc>
        <w:tc>
          <w:tcPr>
            <w:tcW w:w="2233" w:type="dxa"/>
            <w:tcBorders>
              <w:top w:val="single" w:color="auto" w:sz="8" w:space="0"/>
              <w:left w:val="single" w:color="auto" w:sz="8" w:space="0"/>
              <w:right w:val="single" w:color="auto" w:sz="8" w:space="0"/>
            </w:tcBorders>
            <w:vAlign w:val="center"/>
          </w:tcPr>
          <w:p w14:paraId="63994DC4">
            <w:pPr>
              <w:wordWrap w:val="0"/>
              <w:spacing w:line="400" w:lineRule="exact"/>
              <w:jc w:val="center"/>
              <w:rPr>
                <w:rFonts w:ascii="宋体" w:hAnsi="宋体" w:cs="宋体"/>
                <w:kern w:val="0"/>
                <w:szCs w:val="21"/>
                <w:highlight w:val="none"/>
              </w:rPr>
            </w:pPr>
            <w:r>
              <w:rPr>
                <w:rFonts w:hint="eastAsia" w:ascii="宋体" w:hAnsi="宋体" w:cs="宋体"/>
                <w:kern w:val="0"/>
                <w:szCs w:val="21"/>
                <w:highlight w:val="none"/>
              </w:rPr>
              <w:t>20</w:t>
            </w:r>
            <w:r>
              <w:rPr>
                <w:rFonts w:ascii="宋体" w:hAnsi="宋体" w:cs="宋体"/>
                <w:kern w:val="0"/>
                <w:szCs w:val="21"/>
                <w:highlight w:val="none"/>
              </w:rPr>
              <w:t>2</w:t>
            </w:r>
            <w:r>
              <w:rPr>
                <w:rFonts w:hint="eastAsia" w:ascii="宋体" w:hAnsi="宋体" w:cs="宋体"/>
                <w:kern w:val="0"/>
                <w:szCs w:val="21"/>
                <w:highlight w:val="none"/>
                <w:lang w:val="en-US" w:eastAsia="zh-CN"/>
              </w:rPr>
              <w:t>2</w:t>
            </w:r>
            <w:r>
              <w:rPr>
                <w:rFonts w:hint="eastAsia" w:ascii="宋体" w:hAnsi="宋体" w:cs="宋体"/>
                <w:kern w:val="0"/>
                <w:szCs w:val="21"/>
                <w:highlight w:val="none"/>
              </w:rPr>
              <w:t>年至20</w:t>
            </w:r>
            <w:r>
              <w:rPr>
                <w:rFonts w:hint="eastAsia" w:ascii="宋体" w:hAnsi="宋体" w:cs="宋体"/>
                <w:kern w:val="0"/>
                <w:szCs w:val="21"/>
                <w:highlight w:val="none"/>
                <w:lang w:val="en-US" w:eastAsia="zh-CN"/>
              </w:rPr>
              <w:t>24</w:t>
            </w:r>
            <w:r>
              <w:rPr>
                <w:rFonts w:hint="eastAsia" w:ascii="宋体" w:hAnsi="宋体" w:cs="宋体"/>
                <w:kern w:val="0"/>
                <w:szCs w:val="21"/>
                <w:highlight w:val="none"/>
              </w:rPr>
              <w:t>年平均年金管理费占公司全部业务营业收入的比例（量化评估专营程度）（需投标人在投标文件中提供经会计师事务所审计的财务报表的相关页面的复印件）</w:t>
            </w:r>
          </w:p>
        </w:tc>
        <w:tc>
          <w:tcPr>
            <w:tcW w:w="866" w:type="dxa"/>
            <w:tcBorders>
              <w:top w:val="single" w:color="auto" w:sz="8" w:space="0"/>
              <w:left w:val="single" w:color="auto" w:sz="8" w:space="0"/>
              <w:right w:val="single" w:color="auto" w:sz="8" w:space="0"/>
            </w:tcBorders>
            <w:vAlign w:val="center"/>
          </w:tcPr>
          <w:p w14:paraId="24E2F501">
            <w:pPr>
              <w:wordWrap w:val="0"/>
              <w:spacing w:line="400" w:lineRule="exact"/>
              <w:jc w:val="center"/>
              <w:rPr>
                <w:rFonts w:ascii="宋体" w:hAnsi="宋体" w:cs="宋体"/>
                <w:kern w:val="0"/>
                <w:szCs w:val="21"/>
                <w:highlight w:val="none"/>
              </w:rPr>
            </w:pPr>
            <w:r>
              <w:rPr>
                <w:rFonts w:hint="eastAsia" w:ascii="宋体" w:hAnsi="宋体" w:cs="宋体"/>
                <w:kern w:val="0"/>
                <w:szCs w:val="21"/>
                <w:highlight w:val="none"/>
              </w:rPr>
              <w:t>5分</w:t>
            </w:r>
          </w:p>
        </w:tc>
        <w:tc>
          <w:tcPr>
            <w:tcW w:w="4682" w:type="dxa"/>
            <w:tcBorders>
              <w:top w:val="single" w:color="auto" w:sz="8" w:space="0"/>
              <w:left w:val="single" w:color="auto" w:sz="8" w:space="0"/>
              <w:right w:val="single" w:color="auto" w:sz="8" w:space="0"/>
            </w:tcBorders>
            <w:vAlign w:val="center"/>
          </w:tcPr>
          <w:p w14:paraId="0465D35F">
            <w:pPr>
              <w:widowControl/>
              <w:wordWrap w:val="0"/>
              <w:spacing w:line="400" w:lineRule="exact"/>
              <w:ind w:hanging="5"/>
              <w:rPr>
                <w:rFonts w:ascii="宋体" w:hAnsi="宋体" w:cs="宋体"/>
                <w:kern w:val="0"/>
                <w:szCs w:val="21"/>
                <w:highlight w:val="none"/>
              </w:rPr>
            </w:pPr>
            <w:r>
              <w:rPr>
                <w:rFonts w:hint="eastAsia" w:ascii="宋体" w:hAnsi="宋体" w:cs="宋体"/>
                <w:kern w:val="0"/>
                <w:szCs w:val="21"/>
                <w:highlight w:val="none"/>
              </w:rPr>
              <w:t>①占比40%以上的得5分；</w:t>
            </w:r>
          </w:p>
          <w:p w14:paraId="09F6CB55">
            <w:pPr>
              <w:widowControl/>
              <w:wordWrap w:val="0"/>
              <w:spacing w:line="400" w:lineRule="exact"/>
              <w:ind w:hanging="5"/>
              <w:rPr>
                <w:rFonts w:ascii="宋体" w:hAnsi="宋体" w:cs="宋体"/>
                <w:kern w:val="0"/>
                <w:szCs w:val="21"/>
                <w:highlight w:val="none"/>
              </w:rPr>
            </w:pPr>
            <w:r>
              <w:rPr>
                <w:rFonts w:hint="eastAsia" w:ascii="宋体" w:hAnsi="宋体" w:cs="宋体"/>
                <w:kern w:val="0"/>
                <w:szCs w:val="21"/>
                <w:highlight w:val="none"/>
              </w:rPr>
              <w:t>②占比30%以上，低于40%的得3分；</w:t>
            </w:r>
          </w:p>
          <w:p w14:paraId="2B76AD01">
            <w:pPr>
              <w:widowControl/>
              <w:wordWrap w:val="0"/>
              <w:spacing w:line="400" w:lineRule="exact"/>
              <w:ind w:hanging="5"/>
              <w:rPr>
                <w:rFonts w:ascii="宋体" w:hAnsi="宋体" w:cs="宋体"/>
                <w:kern w:val="0"/>
                <w:szCs w:val="21"/>
                <w:highlight w:val="none"/>
              </w:rPr>
            </w:pPr>
            <w:r>
              <w:rPr>
                <w:rFonts w:hint="eastAsia" w:ascii="宋体" w:hAnsi="宋体" w:cs="宋体"/>
                <w:kern w:val="0"/>
                <w:szCs w:val="21"/>
                <w:highlight w:val="none"/>
              </w:rPr>
              <w:t>③占比20%以上，低于30%的得2分；</w:t>
            </w:r>
          </w:p>
          <w:p w14:paraId="7EFD7BE4">
            <w:pPr>
              <w:wordWrap w:val="0"/>
              <w:spacing w:line="400" w:lineRule="exact"/>
              <w:ind w:hanging="5"/>
              <w:rPr>
                <w:rFonts w:ascii="宋体" w:hAnsi="宋体" w:cs="宋体"/>
                <w:kern w:val="0"/>
                <w:szCs w:val="21"/>
                <w:highlight w:val="none"/>
              </w:rPr>
            </w:pPr>
            <w:r>
              <w:rPr>
                <w:rFonts w:hint="eastAsia" w:ascii="宋体" w:hAnsi="宋体" w:cs="宋体"/>
                <w:kern w:val="0"/>
                <w:szCs w:val="21"/>
                <w:highlight w:val="none"/>
              </w:rPr>
              <w:t>④占比20%以下的得1分。</w:t>
            </w:r>
          </w:p>
        </w:tc>
      </w:tr>
      <w:tr w14:paraId="531F2B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5" w:hRule="atLeast"/>
          <w:jc w:val="center"/>
        </w:trPr>
        <w:tc>
          <w:tcPr>
            <w:tcW w:w="1393" w:type="dxa"/>
            <w:vMerge w:val="continue"/>
            <w:tcBorders>
              <w:left w:val="single" w:color="auto" w:sz="8" w:space="0"/>
              <w:right w:val="single" w:color="auto" w:sz="8" w:space="0"/>
            </w:tcBorders>
            <w:vAlign w:val="center"/>
          </w:tcPr>
          <w:p w14:paraId="538E169C">
            <w:pPr>
              <w:widowControl/>
              <w:wordWrap w:val="0"/>
              <w:spacing w:line="400" w:lineRule="exact"/>
              <w:jc w:val="center"/>
              <w:rPr>
                <w:rFonts w:ascii="宋体" w:hAnsi="宋体" w:cs="宋体"/>
                <w:b/>
                <w:kern w:val="0"/>
                <w:szCs w:val="21"/>
              </w:rPr>
            </w:pPr>
          </w:p>
        </w:tc>
        <w:tc>
          <w:tcPr>
            <w:tcW w:w="2233" w:type="dxa"/>
            <w:tcBorders>
              <w:top w:val="single" w:color="auto" w:sz="8" w:space="0"/>
              <w:left w:val="single" w:color="auto" w:sz="8" w:space="0"/>
              <w:bottom w:val="single" w:color="auto" w:sz="8" w:space="0"/>
              <w:right w:val="single" w:color="auto" w:sz="8" w:space="0"/>
            </w:tcBorders>
            <w:vAlign w:val="center"/>
          </w:tcPr>
          <w:p w14:paraId="0AE24C0C">
            <w:pPr>
              <w:wordWrap w:val="0"/>
              <w:spacing w:line="400" w:lineRule="exact"/>
              <w:jc w:val="center"/>
              <w:rPr>
                <w:rFonts w:ascii="宋体" w:hAnsi="宋体" w:cs="宋体"/>
                <w:kern w:val="0"/>
                <w:szCs w:val="21"/>
                <w:highlight w:val="none"/>
              </w:rPr>
            </w:pPr>
            <w:r>
              <w:rPr>
                <w:rFonts w:hint="eastAsia" w:ascii="宋体" w:hAnsi="宋体" w:cs="宋体"/>
                <w:kern w:val="0"/>
                <w:szCs w:val="21"/>
                <w:highlight w:val="none"/>
              </w:rPr>
              <w:t>截至</w:t>
            </w:r>
            <w:r>
              <w:rPr>
                <w:rFonts w:hint="eastAsia" w:ascii="宋体" w:hAnsi="宋体" w:cs="宋体"/>
                <w:kern w:val="0"/>
                <w:szCs w:val="21"/>
                <w:highlight w:val="none"/>
                <w:lang w:val="en-US" w:eastAsia="zh-CN"/>
              </w:rPr>
              <w:t>2024</w:t>
            </w:r>
            <w:r>
              <w:rPr>
                <w:rFonts w:hint="eastAsia" w:ascii="宋体" w:hAnsi="宋体" w:cs="宋体"/>
                <w:kern w:val="0"/>
                <w:szCs w:val="21"/>
                <w:highlight w:val="none"/>
              </w:rPr>
              <w:t>年受托管理企业年金规模（以人社部公布数据为准）</w:t>
            </w:r>
          </w:p>
        </w:tc>
        <w:tc>
          <w:tcPr>
            <w:tcW w:w="866" w:type="dxa"/>
            <w:tcBorders>
              <w:top w:val="single" w:color="auto" w:sz="8" w:space="0"/>
              <w:left w:val="single" w:color="auto" w:sz="8" w:space="0"/>
              <w:bottom w:val="single" w:color="auto" w:sz="8" w:space="0"/>
              <w:right w:val="single" w:color="auto" w:sz="8" w:space="0"/>
            </w:tcBorders>
            <w:vAlign w:val="center"/>
          </w:tcPr>
          <w:p w14:paraId="2F82EDA3">
            <w:pPr>
              <w:widowControl/>
              <w:wordWrap w:val="0"/>
              <w:spacing w:line="400" w:lineRule="exact"/>
              <w:jc w:val="center"/>
              <w:rPr>
                <w:rFonts w:ascii="宋体" w:hAnsi="宋体" w:cs="宋体"/>
                <w:kern w:val="0"/>
                <w:szCs w:val="21"/>
                <w:highlight w:val="none"/>
              </w:rPr>
            </w:pPr>
            <w:r>
              <w:rPr>
                <w:rFonts w:hint="eastAsia" w:ascii="宋体" w:hAnsi="宋体" w:cs="宋体"/>
                <w:kern w:val="0"/>
                <w:szCs w:val="21"/>
                <w:highlight w:val="none"/>
              </w:rPr>
              <w:t>7分</w:t>
            </w:r>
          </w:p>
        </w:tc>
        <w:tc>
          <w:tcPr>
            <w:tcW w:w="4682" w:type="dxa"/>
            <w:tcBorders>
              <w:top w:val="single" w:color="auto" w:sz="8" w:space="0"/>
              <w:left w:val="single" w:color="auto" w:sz="8" w:space="0"/>
              <w:bottom w:val="single" w:color="auto" w:sz="8" w:space="0"/>
              <w:right w:val="single" w:color="auto" w:sz="8" w:space="0"/>
            </w:tcBorders>
            <w:vAlign w:val="center"/>
          </w:tcPr>
          <w:p w14:paraId="2243CB73">
            <w:pPr>
              <w:wordWrap w:val="0"/>
              <w:spacing w:line="400" w:lineRule="exact"/>
              <w:rPr>
                <w:rFonts w:ascii="宋体" w:hAnsi="宋体" w:cs="宋体"/>
                <w:kern w:val="0"/>
                <w:szCs w:val="21"/>
                <w:highlight w:val="none"/>
              </w:rPr>
            </w:pPr>
            <w:r>
              <w:rPr>
                <w:rFonts w:hint="eastAsia" w:ascii="宋体" w:hAnsi="宋体" w:cs="宋体"/>
                <w:kern w:val="0"/>
                <w:szCs w:val="21"/>
                <w:highlight w:val="none"/>
              </w:rPr>
              <w:t>①排名第1</w:t>
            </w:r>
            <w:r>
              <w:rPr>
                <w:rFonts w:ascii="宋体" w:hAnsi="宋体" w:cs="宋体"/>
                <w:kern w:val="0"/>
                <w:szCs w:val="21"/>
                <w:highlight w:val="none"/>
              </w:rPr>
              <w:t>-3</w:t>
            </w:r>
            <w:r>
              <w:rPr>
                <w:rFonts w:hint="eastAsia" w:ascii="宋体" w:hAnsi="宋体" w:cs="宋体"/>
                <w:kern w:val="0"/>
                <w:szCs w:val="21"/>
                <w:highlight w:val="none"/>
              </w:rPr>
              <w:t>名的得7分；</w:t>
            </w:r>
          </w:p>
          <w:p w14:paraId="39BEBD86">
            <w:pPr>
              <w:wordWrap w:val="0"/>
              <w:spacing w:line="400" w:lineRule="exact"/>
              <w:rPr>
                <w:rFonts w:ascii="宋体" w:hAnsi="宋体" w:cs="宋体"/>
                <w:kern w:val="0"/>
                <w:szCs w:val="21"/>
                <w:highlight w:val="none"/>
              </w:rPr>
            </w:pPr>
            <w:r>
              <w:rPr>
                <w:rFonts w:hint="eastAsia" w:ascii="宋体" w:hAnsi="宋体" w:cs="宋体"/>
                <w:kern w:val="0"/>
                <w:szCs w:val="21"/>
                <w:highlight w:val="none"/>
              </w:rPr>
              <w:t>②排名第</w:t>
            </w:r>
            <w:r>
              <w:rPr>
                <w:rFonts w:ascii="宋体" w:hAnsi="宋体" w:cs="宋体"/>
                <w:kern w:val="0"/>
                <w:szCs w:val="21"/>
                <w:highlight w:val="none"/>
              </w:rPr>
              <w:t>4</w:t>
            </w:r>
            <w:r>
              <w:rPr>
                <w:rFonts w:hint="eastAsia" w:ascii="宋体" w:hAnsi="宋体" w:cs="宋体"/>
                <w:kern w:val="0"/>
                <w:szCs w:val="21"/>
                <w:highlight w:val="none"/>
              </w:rPr>
              <w:t>及以下的得</w:t>
            </w:r>
            <w:r>
              <w:rPr>
                <w:rFonts w:ascii="宋体" w:hAnsi="宋体" w:cs="宋体"/>
                <w:kern w:val="0"/>
                <w:szCs w:val="21"/>
                <w:highlight w:val="none"/>
              </w:rPr>
              <w:t>5</w:t>
            </w:r>
            <w:r>
              <w:rPr>
                <w:rFonts w:hint="eastAsia" w:ascii="宋体" w:hAnsi="宋体" w:cs="宋体"/>
                <w:kern w:val="0"/>
                <w:szCs w:val="21"/>
                <w:highlight w:val="none"/>
              </w:rPr>
              <w:t>分。</w:t>
            </w:r>
          </w:p>
        </w:tc>
      </w:tr>
      <w:tr w14:paraId="62728D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1" w:hRule="atLeast"/>
          <w:jc w:val="center"/>
        </w:trPr>
        <w:tc>
          <w:tcPr>
            <w:tcW w:w="1393" w:type="dxa"/>
            <w:vMerge w:val="continue"/>
            <w:tcBorders>
              <w:left w:val="single" w:color="auto" w:sz="8" w:space="0"/>
              <w:right w:val="single" w:color="auto" w:sz="8" w:space="0"/>
            </w:tcBorders>
            <w:vAlign w:val="center"/>
          </w:tcPr>
          <w:p w14:paraId="60363FFA">
            <w:pPr>
              <w:widowControl/>
              <w:wordWrap w:val="0"/>
              <w:spacing w:line="400" w:lineRule="exact"/>
              <w:jc w:val="center"/>
              <w:rPr>
                <w:rFonts w:ascii="宋体" w:hAnsi="宋体" w:cs="宋体"/>
                <w:b/>
                <w:kern w:val="0"/>
                <w:szCs w:val="21"/>
              </w:rPr>
            </w:pPr>
          </w:p>
        </w:tc>
        <w:tc>
          <w:tcPr>
            <w:tcW w:w="2233" w:type="dxa"/>
            <w:tcBorders>
              <w:top w:val="single" w:color="auto" w:sz="8" w:space="0"/>
              <w:left w:val="single" w:color="auto" w:sz="8" w:space="0"/>
              <w:bottom w:val="single" w:color="auto" w:sz="8" w:space="0"/>
              <w:right w:val="single" w:color="auto" w:sz="8" w:space="0"/>
            </w:tcBorders>
            <w:vAlign w:val="center"/>
          </w:tcPr>
          <w:p w14:paraId="2A02B189">
            <w:pPr>
              <w:widowControl/>
              <w:wordWrap w:val="0"/>
              <w:spacing w:line="400" w:lineRule="exact"/>
              <w:jc w:val="center"/>
              <w:rPr>
                <w:rFonts w:ascii="宋体" w:hAnsi="宋体" w:cs="宋体"/>
                <w:kern w:val="0"/>
                <w:szCs w:val="21"/>
                <w:highlight w:val="none"/>
              </w:rPr>
            </w:pPr>
            <w:r>
              <w:rPr>
                <w:rFonts w:hint="eastAsia" w:ascii="宋体" w:hAnsi="宋体" w:cs="宋体"/>
                <w:kern w:val="0"/>
                <w:szCs w:val="21"/>
                <w:highlight w:val="none"/>
              </w:rPr>
              <w:t>截至</w:t>
            </w:r>
            <w:r>
              <w:rPr>
                <w:rFonts w:hint="eastAsia" w:ascii="宋体" w:hAnsi="宋体" w:cs="宋体"/>
                <w:kern w:val="0"/>
                <w:szCs w:val="21"/>
                <w:highlight w:val="none"/>
                <w:lang w:val="en-US" w:eastAsia="zh-CN"/>
              </w:rPr>
              <w:t>2024</w:t>
            </w:r>
            <w:r>
              <w:rPr>
                <w:rFonts w:hint="eastAsia" w:ascii="宋体" w:hAnsi="宋体" w:cs="宋体"/>
                <w:kern w:val="0"/>
                <w:szCs w:val="21"/>
                <w:highlight w:val="none"/>
              </w:rPr>
              <w:t>年受托管理企业年金计划的职工数量（以人社部公布数据为准）</w:t>
            </w:r>
          </w:p>
        </w:tc>
        <w:tc>
          <w:tcPr>
            <w:tcW w:w="866" w:type="dxa"/>
            <w:tcBorders>
              <w:top w:val="single" w:color="auto" w:sz="8" w:space="0"/>
              <w:left w:val="single" w:color="auto" w:sz="8" w:space="0"/>
              <w:bottom w:val="single" w:color="auto" w:sz="8" w:space="0"/>
              <w:right w:val="single" w:color="auto" w:sz="8" w:space="0"/>
            </w:tcBorders>
            <w:vAlign w:val="center"/>
          </w:tcPr>
          <w:p w14:paraId="7E373CA7">
            <w:pPr>
              <w:widowControl/>
              <w:wordWrap w:val="0"/>
              <w:spacing w:line="400" w:lineRule="exact"/>
              <w:jc w:val="center"/>
              <w:rPr>
                <w:rFonts w:ascii="宋体" w:hAnsi="宋体" w:cs="宋体"/>
                <w:kern w:val="0"/>
                <w:szCs w:val="21"/>
                <w:highlight w:val="none"/>
              </w:rPr>
            </w:pPr>
            <w:r>
              <w:rPr>
                <w:rFonts w:hint="eastAsia" w:ascii="宋体" w:hAnsi="宋体" w:cs="宋体"/>
                <w:kern w:val="0"/>
                <w:szCs w:val="21"/>
                <w:highlight w:val="none"/>
              </w:rPr>
              <w:t>7分</w:t>
            </w:r>
          </w:p>
        </w:tc>
        <w:tc>
          <w:tcPr>
            <w:tcW w:w="4682" w:type="dxa"/>
            <w:tcBorders>
              <w:top w:val="single" w:color="auto" w:sz="8" w:space="0"/>
              <w:left w:val="single" w:color="auto" w:sz="8" w:space="0"/>
              <w:bottom w:val="single" w:color="auto" w:sz="8" w:space="0"/>
              <w:right w:val="single" w:color="auto" w:sz="8" w:space="0"/>
            </w:tcBorders>
            <w:vAlign w:val="center"/>
          </w:tcPr>
          <w:p w14:paraId="141DAC95">
            <w:pPr>
              <w:widowControl/>
              <w:wordWrap w:val="0"/>
              <w:spacing w:line="400" w:lineRule="exact"/>
              <w:rPr>
                <w:rFonts w:hint="eastAsia" w:ascii="宋体" w:hAnsi="宋体" w:cs="宋体"/>
                <w:kern w:val="0"/>
                <w:szCs w:val="21"/>
                <w:highlight w:val="none"/>
              </w:rPr>
            </w:pPr>
            <w:r>
              <w:rPr>
                <w:rFonts w:hint="eastAsia" w:ascii="宋体" w:hAnsi="宋体" w:cs="宋体"/>
                <w:kern w:val="0"/>
                <w:szCs w:val="21"/>
                <w:highlight w:val="none"/>
              </w:rPr>
              <w:t>①排名第1-3名的得7分；</w:t>
            </w:r>
          </w:p>
          <w:p w14:paraId="74A7EBAF">
            <w:pPr>
              <w:widowControl/>
              <w:wordWrap w:val="0"/>
              <w:spacing w:line="400" w:lineRule="exact"/>
              <w:rPr>
                <w:rFonts w:ascii="宋体" w:hAnsi="宋体" w:cs="宋体"/>
                <w:kern w:val="0"/>
                <w:szCs w:val="21"/>
                <w:highlight w:val="none"/>
              </w:rPr>
            </w:pPr>
            <w:r>
              <w:rPr>
                <w:rFonts w:hint="eastAsia" w:ascii="宋体" w:hAnsi="宋体" w:cs="宋体"/>
                <w:kern w:val="0"/>
                <w:szCs w:val="21"/>
                <w:highlight w:val="none"/>
              </w:rPr>
              <w:t>②排名第4及以下的得5分。</w:t>
            </w:r>
          </w:p>
        </w:tc>
      </w:tr>
      <w:tr w14:paraId="05C08C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1" w:hRule="atLeast"/>
          <w:jc w:val="center"/>
        </w:trPr>
        <w:tc>
          <w:tcPr>
            <w:tcW w:w="1393" w:type="dxa"/>
            <w:vMerge w:val="continue"/>
            <w:tcBorders>
              <w:left w:val="single" w:color="auto" w:sz="8" w:space="0"/>
              <w:right w:val="single" w:color="auto" w:sz="8" w:space="0"/>
            </w:tcBorders>
            <w:vAlign w:val="center"/>
          </w:tcPr>
          <w:p w14:paraId="67EFC047">
            <w:pPr>
              <w:widowControl/>
              <w:wordWrap w:val="0"/>
              <w:spacing w:line="400" w:lineRule="exact"/>
              <w:jc w:val="center"/>
              <w:rPr>
                <w:rFonts w:ascii="宋体" w:hAnsi="宋体" w:cs="宋体"/>
                <w:b/>
                <w:kern w:val="0"/>
                <w:szCs w:val="21"/>
              </w:rPr>
            </w:pPr>
          </w:p>
        </w:tc>
        <w:tc>
          <w:tcPr>
            <w:tcW w:w="2233" w:type="dxa"/>
            <w:tcBorders>
              <w:top w:val="single" w:color="auto" w:sz="8" w:space="0"/>
              <w:left w:val="single" w:color="auto" w:sz="8" w:space="0"/>
              <w:bottom w:val="single" w:color="auto" w:sz="8" w:space="0"/>
              <w:right w:val="single" w:color="auto" w:sz="8" w:space="0"/>
            </w:tcBorders>
            <w:vAlign w:val="center"/>
          </w:tcPr>
          <w:p w14:paraId="20B966DF">
            <w:pPr>
              <w:widowControl/>
              <w:wordWrap w:val="0"/>
              <w:spacing w:line="400" w:lineRule="exact"/>
              <w:jc w:val="center"/>
              <w:rPr>
                <w:rFonts w:ascii="宋体" w:hAnsi="宋体" w:cs="宋体"/>
                <w:kern w:val="0"/>
                <w:szCs w:val="21"/>
                <w:highlight w:val="none"/>
              </w:rPr>
            </w:pPr>
            <w:r>
              <w:rPr>
                <w:rFonts w:hint="eastAsia" w:ascii="宋体" w:hAnsi="宋体" w:cs="宋体"/>
                <w:kern w:val="0"/>
                <w:szCs w:val="21"/>
                <w:highlight w:val="none"/>
                <w:lang w:val="en-US" w:eastAsia="zh-CN"/>
              </w:rPr>
              <w:t>2024</w:t>
            </w:r>
            <w:r>
              <w:rPr>
                <w:rFonts w:hint="eastAsia" w:ascii="宋体" w:hAnsi="宋体" w:cs="宋体"/>
                <w:kern w:val="0"/>
                <w:szCs w:val="21"/>
                <w:highlight w:val="none"/>
              </w:rPr>
              <w:t>年企业年金受托管理的年均增长规模（以人社部公布数据为准）</w:t>
            </w:r>
          </w:p>
        </w:tc>
        <w:tc>
          <w:tcPr>
            <w:tcW w:w="866" w:type="dxa"/>
            <w:tcBorders>
              <w:top w:val="single" w:color="auto" w:sz="8" w:space="0"/>
              <w:left w:val="single" w:color="auto" w:sz="8" w:space="0"/>
              <w:bottom w:val="single" w:color="auto" w:sz="8" w:space="0"/>
              <w:right w:val="single" w:color="auto" w:sz="8" w:space="0"/>
            </w:tcBorders>
            <w:vAlign w:val="center"/>
          </w:tcPr>
          <w:p w14:paraId="348C03D4">
            <w:pPr>
              <w:widowControl/>
              <w:wordWrap w:val="0"/>
              <w:spacing w:line="400" w:lineRule="exact"/>
              <w:jc w:val="center"/>
              <w:rPr>
                <w:rFonts w:ascii="宋体" w:hAnsi="宋体" w:cs="宋体"/>
                <w:kern w:val="0"/>
                <w:szCs w:val="21"/>
                <w:highlight w:val="none"/>
              </w:rPr>
            </w:pPr>
            <w:r>
              <w:rPr>
                <w:rFonts w:hint="eastAsia" w:ascii="宋体" w:hAnsi="宋体" w:cs="宋体"/>
                <w:kern w:val="0"/>
                <w:szCs w:val="21"/>
                <w:highlight w:val="none"/>
              </w:rPr>
              <w:t>5分</w:t>
            </w:r>
          </w:p>
        </w:tc>
        <w:tc>
          <w:tcPr>
            <w:tcW w:w="4682" w:type="dxa"/>
            <w:tcBorders>
              <w:top w:val="single" w:color="auto" w:sz="8" w:space="0"/>
              <w:left w:val="single" w:color="auto" w:sz="8" w:space="0"/>
              <w:bottom w:val="single" w:color="auto" w:sz="8" w:space="0"/>
              <w:right w:val="single" w:color="auto" w:sz="8" w:space="0"/>
            </w:tcBorders>
            <w:vAlign w:val="center"/>
          </w:tcPr>
          <w:p w14:paraId="46EDEA63">
            <w:pPr>
              <w:widowControl/>
              <w:wordWrap w:val="0"/>
              <w:spacing w:line="400" w:lineRule="exact"/>
              <w:rPr>
                <w:rFonts w:hint="eastAsia" w:ascii="宋体" w:hAnsi="宋体" w:cs="宋体"/>
                <w:kern w:val="0"/>
                <w:szCs w:val="21"/>
                <w:highlight w:val="none"/>
              </w:rPr>
            </w:pPr>
            <w:r>
              <w:rPr>
                <w:rFonts w:hint="eastAsia" w:ascii="宋体" w:hAnsi="宋体" w:cs="宋体"/>
                <w:kern w:val="0"/>
                <w:szCs w:val="21"/>
                <w:highlight w:val="none"/>
              </w:rPr>
              <w:t>①排名第1-3名的得</w:t>
            </w:r>
            <w:r>
              <w:rPr>
                <w:rFonts w:ascii="宋体" w:hAnsi="宋体" w:cs="宋体"/>
                <w:kern w:val="0"/>
                <w:szCs w:val="21"/>
                <w:highlight w:val="none"/>
              </w:rPr>
              <w:t>5</w:t>
            </w:r>
            <w:r>
              <w:rPr>
                <w:rFonts w:hint="eastAsia" w:ascii="宋体" w:hAnsi="宋体" w:cs="宋体"/>
                <w:kern w:val="0"/>
                <w:szCs w:val="21"/>
                <w:highlight w:val="none"/>
              </w:rPr>
              <w:t>分；</w:t>
            </w:r>
          </w:p>
          <w:p w14:paraId="02B96BC5">
            <w:pPr>
              <w:widowControl/>
              <w:wordWrap w:val="0"/>
              <w:spacing w:line="400" w:lineRule="exact"/>
              <w:rPr>
                <w:rFonts w:ascii="宋体" w:hAnsi="宋体" w:cs="宋体"/>
                <w:kern w:val="0"/>
                <w:szCs w:val="21"/>
                <w:highlight w:val="none"/>
              </w:rPr>
            </w:pPr>
            <w:r>
              <w:rPr>
                <w:rFonts w:hint="eastAsia" w:ascii="宋体" w:hAnsi="宋体" w:cs="宋体"/>
                <w:kern w:val="0"/>
                <w:szCs w:val="21"/>
                <w:highlight w:val="none"/>
              </w:rPr>
              <w:t>②排名第4及以下的得</w:t>
            </w:r>
            <w:r>
              <w:rPr>
                <w:rFonts w:ascii="宋体" w:hAnsi="宋体" w:cs="宋体"/>
                <w:kern w:val="0"/>
                <w:szCs w:val="21"/>
                <w:highlight w:val="none"/>
              </w:rPr>
              <w:t>3</w:t>
            </w:r>
            <w:r>
              <w:rPr>
                <w:rFonts w:hint="eastAsia" w:ascii="宋体" w:hAnsi="宋体" w:cs="宋体"/>
                <w:kern w:val="0"/>
                <w:szCs w:val="21"/>
                <w:highlight w:val="none"/>
              </w:rPr>
              <w:t>分。</w:t>
            </w:r>
          </w:p>
        </w:tc>
      </w:tr>
      <w:tr w14:paraId="5866F6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1" w:hRule="atLeast"/>
          <w:jc w:val="center"/>
        </w:trPr>
        <w:tc>
          <w:tcPr>
            <w:tcW w:w="1393" w:type="dxa"/>
            <w:vMerge w:val="continue"/>
            <w:tcBorders>
              <w:left w:val="single" w:color="auto" w:sz="8" w:space="0"/>
              <w:right w:val="single" w:color="auto" w:sz="8" w:space="0"/>
            </w:tcBorders>
            <w:vAlign w:val="center"/>
          </w:tcPr>
          <w:p w14:paraId="55016C18">
            <w:pPr>
              <w:widowControl/>
              <w:wordWrap w:val="0"/>
              <w:spacing w:line="400" w:lineRule="exact"/>
              <w:jc w:val="center"/>
              <w:rPr>
                <w:rFonts w:ascii="宋体" w:hAnsi="宋体" w:cs="宋体"/>
                <w:b/>
                <w:kern w:val="0"/>
                <w:szCs w:val="21"/>
              </w:rPr>
            </w:pPr>
          </w:p>
        </w:tc>
        <w:tc>
          <w:tcPr>
            <w:tcW w:w="2233" w:type="dxa"/>
            <w:tcBorders>
              <w:top w:val="single" w:color="auto" w:sz="8" w:space="0"/>
              <w:left w:val="single" w:color="auto" w:sz="8" w:space="0"/>
              <w:bottom w:val="single" w:color="auto" w:sz="8" w:space="0"/>
              <w:right w:val="single" w:color="auto" w:sz="8" w:space="0"/>
            </w:tcBorders>
            <w:vAlign w:val="center"/>
          </w:tcPr>
          <w:p w14:paraId="1DC956B0">
            <w:pPr>
              <w:widowControl/>
              <w:wordWrap w:val="0"/>
              <w:spacing w:line="400" w:lineRule="exact"/>
              <w:jc w:val="center"/>
              <w:rPr>
                <w:rFonts w:ascii="宋体" w:hAnsi="宋体" w:cs="宋体"/>
                <w:kern w:val="0"/>
                <w:szCs w:val="21"/>
              </w:rPr>
            </w:pPr>
            <w:r>
              <w:rPr>
                <w:rFonts w:hint="eastAsia" w:ascii="宋体" w:hAnsi="宋体" w:cs="宋体"/>
                <w:kern w:val="0"/>
                <w:szCs w:val="21"/>
              </w:rPr>
              <w:t>运营管理能力</w:t>
            </w:r>
          </w:p>
        </w:tc>
        <w:tc>
          <w:tcPr>
            <w:tcW w:w="866" w:type="dxa"/>
            <w:tcBorders>
              <w:top w:val="single" w:color="auto" w:sz="8" w:space="0"/>
              <w:left w:val="single" w:color="auto" w:sz="8" w:space="0"/>
              <w:bottom w:val="single" w:color="auto" w:sz="8" w:space="0"/>
              <w:right w:val="single" w:color="auto" w:sz="8" w:space="0"/>
            </w:tcBorders>
            <w:vAlign w:val="center"/>
          </w:tcPr>
          <w:p w14:paraId="31E72B23">
            <w:pPr>
              <w:widowControl/>
              <w:wordWrap w:val="0"/>
              <w:spacing w:line="400" w:lineRule="exact"/>
              <w:jc w:val="center"/>
              <w:rPr>
                <w:rFonts w:ascii="宋体" w:hAnsi="宋体" w:cs="宋体"/>
                <w:kern w:val="0"/>
                <w:szCs w:val="21"/>
              </w:rPr>
            </w:pPr>
            <w:r>
              <w:rPr>
                <w:rFonts w:hint="eastAsia" w:ascii="宋体" w:hAnsi="宋体" w:cs="宋体"/>
                <w:kern w:val="0"/>
                <w:szCs w:val="21"/>
              </w:rPr>
              <w:t>5分</w:t>
            </w:r>
          </w:p>
        </w:tc>
        <w:tc>
          <w:tcPr>
            <w:tcW w:w="4682" w:type="dxa"/>
            <w:tcBorders>
              <w:top w:val="single" w:color="auto" w:sz="8" w:space="0"/>
              <w:left w:val="single" w:color="auto" w:sz="8" w:space="0"/>
              <w:bottom w:val="single" w:color="auto" w:sz="8" w:space="0"/>
              <w:right w:val="single" w:color="auto" w:sz="8" w:space="0"/>
            </w:tcBorders>
            <w:vAlign w:val="center"/>
          </w:tcPr>
          <w:p w14:paraId="69649F12">
            <w:pPr>
              <w:widowControl/>
              <w:wordWrap w:val="0"/>
              <w:spacing w:line="400" w:lineRule="exact"/>
              <w:rPr>
                <w:rFonts w:ascii="宋体" w:hAnsi="宋体" w:cs="宋体"/>
                <w:kern w:val="0"/>
                <w:szCs w:val="21"/>
              </w:rPr>
            </w:pPr>
            <w:r>
              <w:rPr>
                <w:rFonts w:hint="eastAsia" w:ascii="宋体" w:hAnsi="宋体" w:cs="宋体"/>
                <w:kern w:val="0"/>
                <w:szCs w:val="21"/>
              </w:rPr>
              <w:t>评审因素：①能够按照企业年金标准流程进行业务操作并具有切实的保障流程落地实施的措施；②受托户管理流程清晰、完善，受托户核算有信息系统支持；③全流程监控待遇支付各环节工作，更能切实保证按照代理人时效完成待遇支付；④有专门的信息披露系统，能按照委托人个性化需求提供各类信息披露报告；⑤运营服务质量管理及考核体系完善。</w:t>
            </w:r>
          </w:p>
          <w:p w14:paraId="4AFE3F54">
            <w:pPr>
              <w:widowControl/>
              <w:wordWrap w:val="0"/>
              <w:spacing w:line="400" w:lineRule="exact"/>
              <w:rPr>
                <w:rFonts w:ascii="宋体" w:hAnsi="宋体" w:cs="宋体"/>
                <w:kern w:val="0"/>
                <w:szCs w:val="21"/>
              </w:rPr>
            </w:pPr>
            <w:r>
              <w:rPr>
                <w:rFonts w:hint="eastAsia" w:ascii="宋体" w:hAnsi="宋体" w:cs="宋体"/>
                <w:kern w:val="0"/>
                <w:szCs w:val="21"/>
              </w:rPr>
              <w:t>1）上述各项评审因素描述详细且可实施性强的得5分；</w:t>
            </w:r>
          </w:p>
          <w:p w14:paraId="089B10D7">
            <w:pPr>
              <w:widowControl/>
              <w:wordWrap w:val="0"/>
              <w:spacing w:line="400" w:lineRule="exact"/>
              <w:rPr>
                <w:rFonts w:ascii="宋体" w:hAnsi="宋体" w:cs="宋体"/>
                <w:kern w:val="0"/>
                <w:szCs w:val="21"/>
              </w:rPr>
            </w:pPr>
            <w:r>
              <w:rPr>
                <w:rFonts w:hint="eastAsia" w:ascii="宋体" w:hAnsi="宋体" w:cs="宋体"/>
                <w:kern w:val="0"/>
                <w:szCs w:val="21"/>
              </w:rPr>
              <w:t>2）上述各项评审因素描述简单、可实施一般的得3分；</w:t>
            </w:r>
          </w:p>
          <w:p w14:paraId="727735BC">
            <w:pPr>
              <w:widowControl/>
              <w:wordWrap w:val="0"/>
              <w:spacing w:line="400" w:lineRule="exact"/>
              <w:rPr>
                <w:rFonts w:ascii="宋体" w:hAnsi="宋体" w:cs="宋体"/>
                <w:kern w:val="0"/>
                <w:szCs w:val="21"/>
              </w:rPr>
            </w:pPr>
            <w:r>
              <w:rPr>
                <w:rFonts w:hint="eastAsia" w:ascii="宋体" w:hAnsi="宋体" w:cs="宋体"/>
                <w:kern w:val="0"/>
                <w:szCs w:val="21"/>
              </w:rPr>
              <w:t>3）上述各项评审因素描述较差或无描述的得0分。</w:t>
            </w:r>
          </w:p>
        </w:tc>
      </w:tr>
      <w:tr w14:paraId="34793F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1" w:hRule="atLeast"/>
          <w:jc w:val="center"/>
        </w:trPr>
        <w:tc>
          <w:tcPr>
            <w:tcW w:w="1393" w:type="dxa"/>
            <w:vMerge w:val="continue"/>
            <w:tcBorders>
              <w:left w:val="single" w:color="auto" w:sz="8" w:space="0"/>
              <w:right w:val="single" w:color="auto" w:sz="8" w:space="0"/>
            </w:tcBorders>
            <w:vAlign w:val="center"/>
          </w:tcPr>
          <w:p w14:paraId="79147A65">
            <w:pPr>
              <w:widowControl/>
              <w:wordWrap w:val="0"/>
              <w:spacing w:line="400" w:lineRule="exact"/>
              <w:jc w:val="center"/>
              <w:rPr>
                <w:rFonts w:ascii="宋体" w:hAnsi="宋体" w:cs="宋体"/>
                <w:b/>
                <w:kern w:val="0"/>
                <w:szCs w:val="21"/>
              </w:rPr>
            </w:pPr>
          </w:p>
        </w:tc>
        <w:tc>
          <w:tcPr>
            <w:tcW w:w="2233" w:type="dxa"/>
            <w:tcBorders>
              <w:top w:val="single" w:color="auto" w:sz="8" w:space="0"/>
              <w:left w:val="single" w:color="auto" w:sz="8" w:space="0"/>
              <w:bottom w:val="single" w:color="auto" w:sz="8" w:space="0"/>
              <w:right w:val="single" w:color="auto" w:sz="8" w:space="0"/>
            </w:tcBorders>
            <w:vAlign w:val="center"/>
          </w:tcPr>
          <w:p w14:paraId="0D394CDD">
            <w:pPr>
              <w:widowControl/>
              <w:wordWrap w:val="0"/>
              <w:spacing w:line="400" w:lineRule="exact"/>
              <w:jc w:val="left"/>
              <w:rPr>
                <w:rFonts w:ascii="宋体" w:hAnsi="宋体" w:cs="宋体"/>
                <w:kern w:val="0"/>
                <w:szCs w:val="21"/>
              </w:rPr>
            </w:pPr>
            <w:r>
              <w:rPr>
                <w:rFonts w:hint="eastAsia" w:ascii="宋体" w:hAnsi="宋体" w:cs="宋体"/>
                <w:kern w:val="0"/>
                <w:szCs w:val="21"/>
              </w:rPr>
              <w:t>选择、更换、监督和评估托管人、账户管理人、投资管理人的指标体系及经验等。</w:t>
            </w:r>
          </w:p>
        </w:tc>
        <w:tc>
          <w:tcPr>
            <w:tcW w:w="866" w:type="dxa"/>
            <w:tcBorders>
              <w:top w:val="single" w:color="auto" w:sz="8" w:space="0"/>
              <w:left w:val="single" w:color="auto" w:sz="8" w:space="0"/>
              <w:bottom w:val="single" w:color="auto" w:sz="8" w:space="0"/>
              <w:right w:val="single" w:color="auto" w:sz="8" w:space="0"/>
            </w:tcBorders>
            <w:vAlign w:val="center"/>
          </w:tcPr>
          <w:p w14:paraId="69595939">
            <w:pPr>
              <w:widowControl/>
              <w:wordWrap w:val="0"/>
              <w:spacing w:line="400" w:lineRule="exact"/>
              <w:jc w:val="center"/>
              <w:rPr>
                <w:rFonts w:ascii="宋体" w:hAnsi="宋体" w:cs="宋体"/>
                <w:kern w:val="0"/>
                <w:szCs w:val="21"/>
              </w:rPr>
            </w:pPr>
            <w:r>
              <w:rPr>
                <w:rFonts w:hint="eastAsia" w:ascii="宋体" w:hAnsi="宋体" w:cs="宋体"/>
                <w:kern w:val="0"/>
                <w:szCs w:val="21"/>
              </w:rPr>
              <w:t>5分</w:t>
            </w:r>
          </w:p>
        </w:tc>
        <w:tc>
          <w:tcPr>
            <w:tcW w:w="4682" w:type="dxa"/>
            <w:tcBorders>
              <w:top w:val="single" w:color="auto" w:sz="8" w:space="0"/>
              <w:left w:val="single" w:color="auto" w:sz="8" w:space="0"/>
              <w:bottom w:val="single" w:color="auto" w:sz="8" w:space="0"/>
              <w:right w:val="single" w:color="auto" w:sz="8" w:space="0"/>
            </w:tcBorders>
            <w:vAlign w:val="center"/>
          </w:tcPr>
          <w:p w14:paraId="1C7DD7DF">
            <w:pPr>
              <w:widowControl/>
              <w:wordWrap w:val="0"/>
              <w:spacing w:line="400" w:lineRule="exact"/>
              <w:rPr>
                <w:rFonts w:ascii="宋体" w:hAnsi="宋体" w:cs="宋体"/>
                <w:kern w:val="0"/>
                <w:szCs w:val="21"/>
              </w:rPr>
            </w:pPr>
            <w:r>
              <w:rPr>
                <w:rFonts w:hint="eastAsia" w:ascii="宋体" w:hAnsi="宋体" w:cs="宋体"/>
                <w:kern w:val="0"/>
                <w:szCs w:val="21"/>
              </w:rPr>
              <w:t>评审因素：①指标完善；②流程规范；③经验丰富；</w:t>
            </w:r>
          </w:p>
          <w:p w14:paraId="113433C2">
            <w:pPr>
              <w:widowControl/>
              <w:wordWrap w:val="0"/>
              <w:spacing w:line="400" w:lineRule="exact"/>
              <w:rPr>
                <w:rFonts w:ascii="宋体" w:hAnsi="宋体" w:cs="宋体"/>
                <w:kern w:val="0"/>
                <w:szCs w:val="21"/>
              </w:rPr>
            </w:pPr>
            <w:r>
              <w:rPr>
                <w:rFonts w:hint="eastAsia" w:ascii="宋体" w:hAnsi="宋体" w:cs="宋体"/>
                <w:kern w:val="0"/>
                <w:szCs w:val="21"/>
              </w:rPr>
              <w:t>1）上述各项表现较好的得5分；</w:t>
            </w:r>
          </w:p>
          <w:p w14:paraId="1081792D">
            <w:pPr>
              <w:widowControl/>
              <w:wordWrap w:val="0"/>
              <w:spacing w:line="400" w:lineRule="exact"/>
              <w:rPr>
                <w:rFonts w:ascii="宋体" w:hAnsi="宋体" w:cs="宋体"/>
                <w:kern w:val="0"/>
                <w:szCs w:val="21"/>
              </w:rPr>
            </w:pPr>
            <w:r>
              <w:rPr>
                <w:rFonts w:hint="eastAsia" w:ascii="宋体" w:hAnsi="宋体" w:cs="宋体"/>
                <w:kern w:val="0"/>
                <w:szCs w:val="21"/>
              </w:rPr>
              <w:t>2）上述各项表现一般的得3分；</w:t>
            </w:r>
          </w:p>
          <w:p w14:paraId="428C16BF">
            <w:pPr>
              <w:widowControl/>
              <w:wordWrap w:val="0"/>
              <w:spacing w:line="400" w:lineRule="exact"/>
              <w:rPr>
                <w:rFonts w:ascii="宋体" w:hAnsi="宋体" w:cs="宋体"/>
                <w:kern w:val="0"/>
                <w:szCs w:val="21"/>
              </w:rPr>
            </w:pPr>
            <w:r>
              <w:rPr>
                <w:rFonts w:hint="eastAsia" w:ascii="宋体" w:hAnsi="宋体" w:cs="宋体"/>
                <w:kern w:val="0"/>
                <w:szCs w:val="21"/>
              </w:rPr>
              <w:t>3）上述各项表现较差的得0分。</w:t>
            </w:r>
          </w:p>
        </w:tc>
      </w:tr>
      <w:tr w14:paraId="565EF3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1" w:hRule="atLeast"/>
          <w:jc w:val="center"/>
        </w:trPr>
        <w:tc>
          <w:tcPr>
            <w:tcW w:w="1393" w:type="dxa"/>
            <w:vMerge w:val="continue"/>
            <w:tcBorders>
              <w:left w:val="single" w:color="auto" w:sz="8" w:space="0"/>
              <w:right w:val="single" w:color="auto" w:sz="8" w:space="0"/>
            </w:tcBorders>
            <w:vAlign w:val="center"/>
          </w:tcPr>
          <w:p w14:paraId="4951F3F5">
            <w:pPr>
              <w:widowControl/>
              <w:wordWrap w:val="0"/>
              <w:spacing w:line="400" w:lineRule="exact"/>
              <w:jc w:val="center"/>
              <w:rPr>
                <w:rFonts w:ascii="宋体" w:hAnsi="宋体" w:cs="宋体"/>
                <w:b/>
                <w:kern w:val="0"/>
                <w:szCs w:val="21"/>
              </w:rPr>
            </w:pPr>
          </w:p>
        </w:tc>
        <w:tc>
          <w:tcPr>
            <w:tcW w:w="2233" w:type="dxa"/>
            <w:tcBorders>
              <w:top w:val="single" w:color="auto" w:sz="8" w:space="0"/>
              <w:left w:val="single" w:color="auto" w:sz="8" w:space="0"/>
              <w:bottom w:val="single" w:color="auto" w:sz="8" w:space="0"/>
              <w:right w:val="single" w:color="auto" w:sz="8" w:space="0"/>
            </w:tcBorders>
            <w:vAlign w:val="center"/>
          </w:tcPr>
          <w:p w14:paraId="24AA80D2">
            <w:pPr>
              <w:widowControl/>
              <w:wordWrap w:val="0"/>
              <w:spacing w:line="400" w:lineRule="exact"/>
              <w:rPr>
                <w:rFonts w:ascii="宋体" w:hAnsi="宋体" w:cs="宋体"/>
                <w:kern w:val="0"/>
                <w:szCs w:val="21"/>
              </w:rPr>
            </w:pPr>
            <w:r>
              <w:rPr>
                <w:rFonts w:hint="eastAsia" w:ascii="宋体" w:hAnsi="宋体" w:cs="宋体"/>
                <w:kern w:val="0"/>
                <w:szCs w:val="21"/>
              </w:rPr>
              <w:t>是否可以提供对投资管理人的指数化的评价工具</w:t>
            </w:r>
          </w:p>
        </w:tc>
        <w:tc>
          <w:tcPr>
            <w:tcW w:w="866" w:type="dxa"/>
            <w:tcBorders>
              <w:top w:val="single" w:color="auto" w:sz="8" w:space="0"/>
              <w:left w:val="single" w:color="auto" w:sz="8" w:space="0"/>
              <w:bottom w:val="single" w:color="auto" w:sz="8" w:space="0"/>
              <w:right w:val="single" w:color="auto" w:sz="8" w:space="0"/>
            </w:tcBorders>
            <w:vAlign w:val="center"/>
          </w:tcPr>
          <w:p w14:paraId="66D423BF">
            <w:pPr>
              <w:widowControl/>
              <w:wordWrap w:val="0"/>
              <w:spacing w:line="400" w:lineRule="exact"/>
              <w:jc w:val="center"/>
              <w:rPr>
                <w:rFonts w:ascii="宋体" w:hAnsi="宋体" w:cs="宋体"/>
                <w:kern w:val="0"/>
                <w:szCs w:val="21"/>
              </w:rPr>
            </w:pPr>
            <w:r>
              <w:rPr>
                <w:rFonts w:hint="eastAsia" w:ascii="宋体" w:hAnsi="宋体" w:cs="宋体"/>
                <w:kern w:val="0"/>
                <w:szCs w:val="21"/>
              </w:rPr>
              <w:t>6分</w:t>
            </w:r>
          </w:p>
        </w:tc>
        <w:tc>
          <w:tcPr>
            <w:tcW w:w="4682" w:type="dxa"/>
            <w:tcBorders>
              <w:top w:val="single" w:color="auto" w:sz="8" w:space="0"/>
              <w:left w:val="single" w:color="auto" w:sz="8" w:space="0"/>
              <w:bottom w:val="single" w:color="auto" w:sz="8" w:space="0"/>
              <w:right w:val="single" w:color="auto" w:sz="8" w:space="0"/>
            </w:tcBorders>
            <w:vAlign w:val="center"/>
          </w:tcPr>
          <w:p w14:paraId="6B0BA56F">
            <w:pPr>
              <w:widowControl/>
              <w:wordWrap w:val="0"/>
              <w:spacing w:line="400" w:lineRule="exact"/>
              <w:rPr>
                <w:rFonts w:ascii="宋体" w:hAnsi="宋体" w:cs="宋体"/>
                <w:kern w:val="0"/>
                <w:szCs w:val="21"/>
              </w:rPr>
            </w:pPr>
            <w:r>
              <w:rPr>
                <w:rFonts w:hint="eastAsia" w:ascii="宋体" w:hAnsi="宋体" w:cs="宋体"/>
                <w:kern w:val="0"/>
                <w:szCs w:val="21"/>
              </w:rPr>
              <w:t>①具有指数化评价工具的得6分；</w:t>
            </w:r>
          </w:p>
          <w:p w14:paraId="50227794">
            <w:pPr>
              <w:widowControl/>
              <w:wordWrap w:val="0"/>
              <w:spacing w:line="400" w:lineRule="exact"/>
              <w:rPr>
                <w:rFonts w:ascii="宋体" w:hAnsi="宋体" w:cs="宋体"/>
                <w:kern w:val="0"/>
                <w:szCs w:val="21"/>
              </w:rPr>
            </w:pPr>
            <w:r>
              <w:rPr>
                <w:rFonts w:hint="eastAsia" w:ascii="宋体" w:hAnsi="宋体" w:cs="宋体"/>
                <w:kern w:val="0"/>
                <w:szCs w:val="21"/>
              </w:rPr>
              <w:t>②不具有指数化评价工具但有其他评价工具的得3分；</w:t>
            </w:r>
          </w:p>
          <w:p w14:paraId="4F60750C">
            <w:pPr>
              <w:widowControl/>
              <w:wordWrap w:val="0"/>
              <w:spacing w:line="400" w:lineRule="exact"/>
              <w:rPr>
                <w:rFonts w:ascii="宋体" w:hAnsi="宋体" w:cs="宋体"/>
                <w:kern w:val="0"/>
                <w:szCs w:val="21"/>
              </w:rPr>
            </w:pPr>
            <w:r>
              <w:rPr>
                <w:rFonts w:hint="eastAsia" w:ascii="宋体" w:hAnsi="宋体" w:cs="宋体"/>
                <w:kern w:val="0"/>
                <w:szCs w:val="21"/>
              </w:rPr>
              <w:t>③不具有相关评价工具的得0分。</w:t>
            </w:r>
          </w:p>
        </w:tc>
      </w:tr>
      <w:tr w14:paraId="5F91FE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1" w:hRule="atLeast"/>
          <w:jc w:val="center"/>
        </w:trPr>
        <w:tc>
          <w:tcPr>
            <w:tcW w:w="1393" w:type="dxa"/>
            <w:vMerge w:val="continue"/>
            <w:tcBorders>
              <w:left w:val="single" w:color="auto" w:sz="8" w:space="0"/>
              <w:right w:val="single" w:color="auto" w:sz="8" w:space="0"/>
            </w:tcBorders>
            <w:vAlign w:val="center"/>
          </w:tcPr>
          <w:p w14:paraId="100D3D0C">
            <w:pPr>
              <w:widowControl/>
              <w:wordWrap w:val="0"/>
              <w:spacing w:line="400" w:lineRule="exact"/>
              <w:jc w:val="center"/>
              <w:rPr>
                <w:rFonts w:ascii="宋体" w:hAnsi="宋体" w:cs="宋体"/>
                <w:b/>
                <w:kern w:val="0"/>
                <w:szCs w:val="21"/>
              </w:rPr>
            </w:pPr>
          </w:p>
        </w:tc>
        <w:tc>
          <w:tcPr>
            <w:tcW w:w="2233" w:type="dxa"/>
            <w:tcBorders>
              <w:top w:val="single" w:color="auto" w:sz="8" w:space="0"/>
              <w:left w:val="single" w:color="auto" w:sz="8" w:space="0"/>
              <w:bottom w:val="single" w:color="auto" w:sz="8" w:space="0"/>
              <w:right w:val="single" w:color="auto" w:sz="8" w:space="0"/>
            </w:tcBorders>
            <w:vAlign w:val="center"/>
          </w:tcPr>
          <w:p w14:paraId="65ED1E84">
            <w:pPr>
              <w:widowControl/>
              <w:wordWrap w:val="0"/>
              <w:spacing w:line="400" w:lineRule="exact"/>
              <w:rPr>
                <w:rFonts w:ascii="宋体" w:hAnsi="宋体" w:cs="宋体"/>
                <w:kern w:val="0"/>
                <w:szCs w:val="21"/>
              </w:rPr>
            </w:pPr>
            <w:r>
              <w:rPr>
                <w:rFonts w:hint="eastAsia" w:ascii="宋体" w:hAnsi="宋体" w:cs="宋体"/>
                <w:kern w:val="0"/>
                <w:szCs w:val="21"/>
              </w:rPr>
              <w:t>受托信息技术系统建设</w:t>
            </w:r>
          </w:p>
        </w:tc>
        <w:tc>
          <w:tcPr>
            <w:tcW w:w="866" w:type="dxa"/>
            <w:tcBorders>
              <w:top w:val="single" w:color="auto" w:sz="8" w:space="0"/>
              <w:left w:val="single" w:color="auto" w:sz="8" w:space="0"/>
              <w:bottom w:val="single" w:color="auto" w:sz="8" w:space="0"/>
              <w:right w:val="single" w:color="auto" w:sz="8" w:space="0"/>
            </w:tcBorders>
            <w:vAlign w:val="center"/>
          </w:tcPr>
          <w:p w14:paraId="4277CBA2">
            <w:pPr>
              <w:widowControl/>
              <w:wordWrap w:val="0"/>
              <w:spacing w:line="400" w:lineRule="exact"/>
              <w:jc w:val="center"/>
              <w:rPr>
                <w:rFonts w:ascii="宋体" w:hAnsi="宋体" w:cs="宋体"/>
                <w:kern w:val="0"/>
                <w:szCs w:val="21"/>
              </w:rPr>
            </w:pPr>
            <w:r>
              <w:rPr>
                <w:rFonts w:hint="eastAsia" w:ascii="宋体" w:hAnsi="宋体" w:cs="宋体"/>
                <w:kern w:val="0"/>
                <w:szCs w:val="21"/>
              </w:rPr>
              <w:t>5分</w:t>
            </w:r>
          </w:p>
        </w:tc>
        <w:tc>
          <w:tcPr>
            <w:tcW w:w="4682" w:type="dxa"/>
            <w:tcBorders>
              <w:top w:val="single" w:color="auto" w:sz="8" w:space="0"/>
              <w:left w:val="single" w:color="auto" w:sz="8" w:space="0"/>
              <w:bottom w:val="single" w:color="auto" w:sz="8" w:space="0"/>
              <w:right w:val="single" w:color="auto" w:sz="8" w:space="0"/>
            </w:tcBorders>
            <w:vAlign w:val="center"/>
          </w:tcPr>
          <w:p w14:paraId="27CAD8CC">
            <w:pPr>
              <w:widowControl/>
              <w:wordWrap w:val="0"/>
              <w:spacing w:line="400" w:lineRule="exact"/>
              <w:rPr>
                <w:rFonts w:ascii="宋体" w:hAnsi="宋体" w:cs="宋体"/>
                <w:kern w:val="0"/>
                <w:szCs w:val="21"/>
              </w:rPr>
            </w:pPr>
            <w:r>
              <w:rPr>
                <w:rFonts w:hint="eastAsia" w:ascii="宋体" w:hAnsi="宋体" w:cs="宋体"/>
                <w:kern w:val="0"/>
                <w:szCs w:val="21"/>
              </w:rPr>
              <w:t>评审因素：①年金信息系统整体规划和架构设计合理；②受托管理系统功能完善，有专门的业务系统对受托年金资产的资产配置、风险控制、投资监督、绩效评估、受托直投等各项业务提供支撑，能够为客户提供查询使用的客户端；③相关专业子系统齐备；④信息系统建设模式契合企业年金业务性质。</w:t>
            </w:r>
          </w:p>
          <w:p w14:paraId="664DC71A">
            <w:pPr>
              <w:widowControl/>
              <w:wordWrap w:val="0"/>
              <w:spacing w:line="400" w:lineRule="exact"/>
              <w:rPr>
                <w:rFonts w:ascii="宋体" w:hAnsi="宋体" w:cs="宋体"/>
                <w:kern w:val="0"/>
                <w:szCs w:val="21"/>
              </w:rPr>
            </w:pPr>
            <w:r>
              <w:rPr>
                <w:rFonts w:hint="eastAsia" w:ascii="宋体" w:hAnsi="宋体" w:cs="宋体"/>
                <w:kern w:val="0"/>
                <w:szCs w:val="21"/>
              </w:rPr>
              <w:t>1）上述各项表现较好的得5分；</w:t>
            </w:r>
          </w:p>
          <w:p w14:paraId="69893580">
            <w:pPr>
              <w:widowControl/>
              <w:wordWrap w:val="0"/>
              <w:spacing w:line="400" w:lineRule="exact"/>
              <w:rPr>
                <w:rFonts w:ascii="宋体" w:hAnsi="宋体" w:cs="宋体"/>
                <w:kern w:val="0"/>
                <w:szCs w:val="21"/>
              </w:rPr>
            </w:pPr>
            <w:r>
              <w:rPr>
                <w:rFonts w:hint="eastAsia" w:ascii="宋体" w:hAnsi="宋体" w:cs="宋体"/>
                <w:kern w:val="0"/>
                <w:szCs w:val="21"/>
              </w:rPr>
              <w:t>2）上述各项表现一般的得2分；</w:t>
            </w:r>
          </w:p>
          <w:p w14:paraId="09B3D72B">
            <w:pPr>
              <w:widowControl/>
              <w:wordWrap w:val="0"/>
              <w:spacing w:line="400" w:lineRule="exact"/>
              <w:rPr>
                <w:rFonts w:ascii="宋体" w:hAnsi="宋体" w:cs="宋体"/>
                <w:kern w:val="0"/>
                <w:szCs w:val="21"/>
              </w:rPr>
            </w:pPr>
            <w:r>
              <w:rPr>
                <w:rFonts w:hint="eastAsia" w:ascii="宋体" w:hAnsi="宋体" w:cs="宋体"/>
                <w:kern w:val="0"/>
                <w:szCs w:val="21"/>
              </w:rPr>
              <w:t>3）上述各项表现较差的得0分。</w:t>
            </w:r>
          </w:p>
        </w:tc>
      </w:tr>
      <w:tr w14:paraId="620FB2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1" w:hRule="atLeast"/>
          <w:jc w:val="center"/>
        </w:trPr>
        <w:tc>
          <w:tcPr>
            <w:tcW w:w="1393" w:type="dxa"/>
            <w:vMerge w:val="continue"/>
            <w:tcBorders>
              <w:left w:val="single" w:color="auto" w:sz="8" w:space="0"/>
              <w:bottom w:val="single" w:color="auto" w:sz="8" w:space="0"/>
              <w:right w:val="single" w:color="auto" w:sz="8" w:space="0"/>
            </w:tcBorders>
            <w:vAlign w:val="center"/>
          </w:tcPr>
          <w:p w14:paraId="010BBCB8">
            <w:pPr>
              <w:widowControl/>
              <w:wordWrap w:val="0"/>
              <w:spacing w:line="400" w:lineRule="exact"/>
              <w:jc w:val="center"/>
              <w:rPr>
                <w:rFonts w:ascii="宋体" w:hAnsi="宋体" w:cs="宋体"/>
                <w:b/>
                <w:kern w:val="0"/>
                <w:szCs w:val="21"/>
              </w:rPr>
            </w:pPr>
          </w:p>
        </w:tc>
        <w:tc>
          <w:tcPr>
            <w:tcW w:w="2233" w:type="dxa"/>
            <w:tcBorders>
              <w:top w:val="single" w:color="auto" w:sz="8" w:space="0"/>
              <w:left w:val="single" w:color="auto" w:sz="8" w:space="0"/>
              <w:bottom w:val="single" w:color="auto" w:sz="8" w:space="0"/>
              <w:right w:val="single" w:color="auto" w:sz="8" w:space="0"/>
            </w:tcBorders>
            <w:vAlign w:val="center"/>
          </w:tcPr>
          <w:p w14:paraId="151C4EA1">
            <w:pPr>
              <w:widowControl/>
              <w:wordWrap w:val="0"/>
              <w:spacing w:line="400" w:lineRule="exact"/>
              <w:jc w:val="center"/>
              <w:rPr>
                <w:rFonts w:ascii="宋体" w:hAnsi="宋体" w:cs="宋体"/>
                <w:kern w:val="0"/>
                <w:szCs w:val="21"/>
              </w:rPr>
            </w:pPr>
            <w:r>
              <w:rPr>
                <w:rFonts w:hint="eastAsia" w:ascii="宋体" w:hAnsi="宋体" w:cs="宋体"/>
                <w:kern w:val="0"/>
                <w:szCs w:val="21"/>
              </w:rPr>
              <w:t>数据灾备</w:t>
            </w:r>
          </w:p>
        </w:tc>
        <w:tc>
          <w:tcPr>
            <w:tcW w:w="866" w:type="dxa"/>
            <w:tcBorders>
              <w:top w:val="single" w:color="auto" w:sz="8" w:space="0"/>
              <w:left w:val="single" w:color="auto" w:sz="8" w:space="0"/>
              <w:bottom w:val="single" w:color="auto" w:sz="8" w:space="0"/>
              <w:right w:val="single" w:color="auto" w:sz="8" w:space="0"/>
            </w:tcBorders>
            <w:vAlign w:val="center"/>
          </w:tcPr>
          <w:p w14:paraId="24CE4550">
            <w:pPr>
              <w:widowControl/>
              <w:wordWrap w:val="0"/>
              <w:spacing w:line="400" w:lineRule="exact"/>
              <w:jc w:val="center"/>
              <w:rPr>
                <w:rFonts w:ascii="宋体" w:hAnsi="宋体" w:cs="宋体"/>
                <w:kern w:val="0"/>
                <w:szCs w:val="21"/>
              </w:rPr>
            </w:pPr>
            <w:r>
              <w:rPr>
                <w:rFonts w:hint="eastAsia" w:ascii="宋体" w:hAnsi="宋体" w:cs="宋体"/>
                <w:kern w:val="0"/>
                <w:szCs w:val="21"/>
              </w:rPr>
              <w:t>5分</w:t>
            </w:r>
          </w:p>
        </w:tc>
        <w:tc>
          <w:tcPr>
            <w:tcW w:w="4682" w:type="dxa"/>
            <w:tcBorders>
              <w:top w:val="single" w:color="auto" w:sz="8" w:space="0"/>
              <w:left w:val="single" w:color="auto" w:sz="8" w:space="0"/>
              <w:bottom w:val="single" w:color="auto" w:sz="8" w:space="0"/>
              <w:right w:val="single" w:color="auto" w:sz="8" w:space="0"/>
            </w:tcBorders>
            <w:vAlign w:val="center"/>
          </w:tcPr>
          <w:p w14:paraId="725857BF">
            <w:pPr>
              <w:widowControl/>
              <w:wordWrap w:val="0"/>
              <w:spacing w:line="400" w:lineRule="exact"/>
              <w:rPr>
                <w:rFonts w:ascii="宋体" w:hAnsi="宋体" w:cs="宋体"/>
                <w:kern w:val="0"/>
                <w:szCs w:val="21"/>
              </w:rPr>
            </w:pPr>
            <w:r>
              <w:rPr>
                <w:rFonts w:hint="eastAsia" w:ascii="宋体" w:hAnsi="宋体" w:cs="宋体"/>
                <w:kern w:val="0"/>
                <w:szCs w:val="21"/>
              </w:rPr>
              <w:t>①建立异地数据灾备体系的得5分；</w:t>
            </w:r>
          </w:p>
          <w:p w14:paraId="3D5AF02C">
            <w:pPr>
              <w:widowControl/>
              <w:wordWrap w:val="0"/>
              <w:spacing w:line="400" w:lineRule="exact"/>
              <w:rPr>
                <w:rFonts w:ascii="宋体" w:hAnsi="宋体" w:cs="宋体"/>
                <w:kern w:val="0"/>
                <w:szCs w:val="21"/>
              </w:rPr>
            </w:pPr>
            <w:r>
              <w:rPr>
                <w:rFonts w:hint="eastAsia" w:ascii="宋体" w:hAnsi="宋体" w:cs="宋体"/>
                <w:kern w:val="0"/>
                <w:szCs w:val="21"/>
              </w:rPr>
              <w:t>②未建立异地数据灾备体系的得0分。</w:t>
            </w:r>
          </w:p>
        </w:tc>
      </w:tr>
      <w:tr w14:paraId="5DB80B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1" w:hRule="atLeast"/>
          <w:jc w:val="center"/>
        </w:trPr>
        <w:tc>
          <w:tcPr>
            <w:tcW w:w="1393" w:type="dxa"/>
            <w:vMerge w:val="restart"/>
            <w:tcBorders>
              <w:top w:val="single" w:color="auto" w:sz="8" w:space="0"/>
              <w:left w:val="single" w:color="auto" w:sz="8" w:space="0"/>
              <w:bottom w:val="single" w:color="auto" w:sz="8" w:space="0"/>
              <w:right w:val="single" w:color="auto" w:sz="8" w:space="0"/>
            </w:tcBorders>
            <w:vAlign w:val="center"/>
          </w:tcPr>
          <w:p w14:paraId="7C0EF872">
            <w:pPr>
              <w:widowControl/>
              <w:wordWrap w:val="0"/>
              <w:spacing w:line="400" w:lineRule="exact"/>
              <w:jc w:val="center"/>
              <w:rPr>
                <w:rFonts w:ascii="宋体" w:hAnsi="宋体" w:cs="宋体"/>
                <w:b/>
                <w:bCs/>
                <w:kern w:val="0"/>
                <w:szCs w:val="21"/>
              </w:rPr>
            </w:pPr>
            <w:r>
              <w:rPr>
                <w:rFonts w:hint="eastAsia" w:ascii="宋体" w:hAnsi="宋体" w:cs="宋体"/>
                <w:b/>
                <w:bCs/>
                <w:kern w:val="0"/>
                <w:szCs w:val="21"/>
              </w:rPr>
              <w:t>技术方案分</w:t>
            </w:r>
          </w:p>
          <w:p w14:paraId="4A612D07">
            <w:pPr>
              <w:wordWrap w:val="0"/>
              <w:spacing w:line="400" w:lineRule="exact"/>
              <w:jc w:val="center"/>
              <w:rPr>
                <w:rFonts w:ascii="宋体" w:hAnsi="宋体" w:cs="宋体"/>
                <w:b/>
                <w:kern w:val="0"/>
                <w:szCs w:val="21"/>
              </w:rPr>
            </w:pPr>
            <w:r>
              <w:rPr>
                <w:rFonts w:hint="eastAsia" w:ascii="宋体" w:hAnsi="宋体" w:cs="宋体"/>
                <w:b/>
                <w:bCs/>
                <w:kern w:val="0"/>
                <w:szCs w:val="21"/>
              </w:rPr>
              <w:t>（满分</w:t>
            </w:r>
            <w:r>
              <w:rPr>
                <w:rFonts w:ascii="宋体" w:hAnsi="宋体" w:cs="宋体"/>
                <w:b/>
                <w:bCs/>
                <w:kern w:val="0"/>
                <w:szCs w:val="21"/>
              </w:rPr>
              <w:t>40</w:t>
            </w:r>
            <w:r>
              <w:rPr>
                <w:rFonts w:hint="eastAsia" w:ascii="宋体" w:hAnsi="宋体" w:cs="宋体"/>
                <w:b/>
                <w:bCs/>
                <w:kern w:val="0"/>
                <w:szCs w:val="21"/>
              </w:rPr>
              <w:t>分）</w:t>
            </w:r>
          </w:p>
        </w:tc>
        <w:tc>
          <w:tcPr>
            <w:tcW w:w="2233" w:type="dxa"/>
            <w:tcBorders>
              <w:top w:val="single" w:color="auto" w:sz="8" w:space="0"/>
              <w:left w:val="single" w:color="auto" w:sz="8" w:space="0"/>
              <w:bottom w:val="single" w:color="auto" w:sz="8" w:space="0"/>
              <w:right w:val="single" w:color="auto" w:sz="8" w:space="0"/>
            </w:tcBorders>
            <w:vAlign w:val="center"/>
          </w:tcPr>
          <w:p w14:paraId="66B30CEE">
            <w:pPr>
              <w:widowControl/>
              <w:wordWrap w:val="0"/>
              <w:spacing w:line="400" w:lineRule="exact"/>
              <w:jc w:val="center"/>
              <w:rPr>
                <w:rFonts w:ascii="宋体" w:hAnsi="宋体" w:cs="宋体"/>
                <w:kern w:val="0"/>
                <w:szCs w:val="21"/>
              </w:rPr>
            </w:pPr>
            <w:r>
              <w:rPr>
                <w:rFonts w:hint="eastAsia" w:ascii="宋体" w:hAnsi="宋体" w:cs="宋体"/>
                <w:kern w:val="0"/>
                <w:szCs w:val="21"/>
              </w:rPr>
              <w:t>风险控制体系</w:t>
            </w:r>
          </w:p>
        </w:tc>
        <w:tc>
          <w:tcPr>
            <w:tcW w:w="866" w:type="dxa"/>
            <w:tcBorders>
              <w:top w:val="single" w:color="auto" w:sz="8" w:space="0"/>
              <w:left w:val="single" w:color="auto" w:sz="8" w:space="0"/>
              <w:bottom w:val="single" w:color="auto" w:sz="8" w:space="0"/>
              <w:right w:val="single" w:color="auto" w:sz="8" w:space="0"/>
            </w:tcBorders>
            <w:vAlign w:val="center"/>
          </w:tcPr>
          <w:p w14:paraId="349376AC">
            <w:pPr>
              <w:widowControl/>
              <w:wordWrap w:val="0"/>
              <w:spacing w:line="400" w:lineRule="exact"/>
              <w:jc w:val="center"/>
              <w:rPr>
                <w:rFonts w:ascii="宋体" w:hAnsi="宋体" w:cs="宋体"/>
                <w:kern w:val="0"/>
                <w:szCs w:val="21"/>
              </w:rPr>
            </w:pPr>
            <w:r>
              <w:rPr>
                <w:rFonts w:hint="eastAsia" w:ascii="宋体" w:hAnsi="宋体" w:cs="宋体"/>
                <w:kern w:val="0"/>
                <w:szCs w:val="21"/>
              </w:rPr>
              <w:t>5分</w:t>
            </w:r>
          </w:p>
        </w:tc>
        <w:tc>
          <w:tcPr>
            <w:tcW w:w="4682" w:type="dxa"/>
            <w:tcBorders>
              <w:top w:val="single" w:color="auto" w:sz="8" w:space="0"/>
              <w:left w:val="single" w:color="auto" w:sz="8" w:space="0"/>
              <w:bottom w:val="single" w:color="auto" w:sz="8" w:space="0"/>
              <w:right w:val="single" w:color="auto" w:sz="8" w:space="0"/>
            </w:tcBorders>
            <w:vAlign w:val="center"/>
          </w:tcPr>
          <w:p w14:paraId="4E465EB1">
            <w:pPr>
              <w:widowControl/>
              <w:wordWrap w:val="0"/>
              <w:spacing w:line="400" w:lineRule="exact"/>
              <w:rPr>
                <w:rFonts w:ascii="宋体" w:hAnsi="宋体" w:cs="宋体"/>
                <w:kern w:val="0"/>
                <w:szCs w:val="21"/>
              </w:rPr>
            </w:pPr>
            <w:r>
              <w:rPr>
                <w:rFonts w:hint="eastAsia" w:ascii="宋体" w:hAnsi="宋体" w:cs="宋体"/>
                <w:kern w:val="0"/>
                <w:szCs w:val="21"/>
              </w:rPr>
              <w:t>评审因素：①风险控制制度完善；②过程记录完整，风控管理流程清晰；③接受严格的内外部监督；④建立专门的风控系统，对不同类别的风险进行分类管，采用量化指标进行风险防控。</w:t>
            </w:r>
          </w:p>
          <w:p w14:paraId="70C8EE53">
            <w:pPr>
              <w:widowControl/>
              <w:wordWrap w:val="0"/>
              <w:spacing w:line="400" w:lineRule="exact"/>
              <w:rPr>
                <w:rFonts w:ascii="宋体" w:hAnsi="宋体" w:cs="宋体"/>
                <w:kern w:val="0"/>
                <w:szCs w:val="21"/>
              </w:rPr>
            </w:pPr>
            <w:r>
              <w:rPr>
                <w:rFonts w:hint="eastAsia" w:ascii="宋体" w:hAnsi="宋体" w:cs="宋体"/>
                <w:kern w:val="0"/>
                <w:szCs w:val="21"/>
              </w:rPr>
              <w:t>1）上述各项表现较好的得5分；</w:t>
            </w:r>
          </w:p>
          <w:p w14:paraId="5CB39DF2">
            <w:pPr>
              <w:widowControl/>
              <w:wordWrap w:val="0"/>
              <w:spacing w:line="400" w:lineRule="exact"/>
              <w:rPr>
                <w:rFonts w:ascii="宋体" w:hAnsi="宋体" w:cs="宋体"/>
                <w:kern w:val="0"/>
                <w:szCs w:val="21"/>
              </w:rPr>
            </w:pPr>
            <w:r>
              <w:rPr>
                <w:rFonts w:hint="eastAsia" w:ascii="宋体" w:hAnsi="宋体" w:cs="宋体"/>
                <w:kern w:val="0"/>
                <w:szCs w:val="21"/>
              </w:rPr>
              <w:t>2）上述各项表现一般的得3分；</w:t>
            </w:r>
          </w:p>
          <w:p w14:paraId="33A7EB99">
            <w:pPr>
              <w:widowControl/>
              <w:wordWrap w:val="0"/>
              <w:spacing w:line="400" w:lineRule="exact"/>
              <w:rPr>
                <w:rFonts w:ascii="宋体" w:hAnsi="宋体" w:cs="宋体"/>
                <w:kern w:val="0"/>
                <w:szCs w:val="21"/>
              </w:rPr>
            </w:pPr>
            <w:r>
              <w:rPr>
                <w:rFonts w:hint="eastAsia" w:ascii="宋体" w:hAnsi="宋体" w:cs="宋体"/>
                <w:kern w:val="0"/>
                <w:szCs w:val="21"/>
              </w:rPr>
              <w:t>3）上述各项表现较差的得0分。</w:t>
            </w:r>
          </w:p>
        </w:tc>
      </w:tr>
      <w:tr w14:paraId="7238E0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1" w:hRule="atLeast"/>
          <w:jc w:val="center"/>
        </w:trPr>
        <w:tc>
          <w:tcPr>
            <w:tcW w:w="1393" w:type="dxa"/>
            <w:vMerge w:val="continue"/>
            <w:tcBorders>
              <w:top w:val="single" w:color="auto" w:sz="8" w:space="0"/>
              <w:left w:val="single" w:color="auto" w:sz="8" w:space="0"/>
              <w:bottom w:val="single" w:color="auto" w:sz="8" w:space="0"/>
              <w:right w:val="single" w:color="auto" w:sz="8" w:space="0"/>
            </w:tcBorders>
            <w:vAlign w:val="center"/>
          </w:tcPr>
          <w:p w14:paraId="27F66126">
            <w:pPr>
              <w:widowControl/>
              <w:wordWrap w:val="0"/>
              <w:spacing w:line="400" w:lineRule="exact"/>
              <w:jc w:val="left"/>
              <w:rPr>
                <w:rFonts w:ascii="宋体" w:hAnsi="宋体" w:cs="宋体"/>
                <w:kern w:val="0"/>
                <w:szCs w:val="21"/>
              </w:rPr>
            </w:pPr>
          </w:p>
        </w:tc>
        <w:tc>
          <w:tcPr>
            <w:tcW w:w="2233" w:type="dxa"/>
            <w:tcBorders>
              <w:top w:val="single" w:color="auto" w:sz="8" w:space="0"/>
              <w:left w:val="single" w:color="auto" w:sz="8" w:space="0"/>
              <w:bottom w:val="single" w:color="auto" w:sz="8" w:space="0"/>
              <w:right w:val="single" w:color="auto" w:sz="8" w:space="0"/>
            </w:tcBorders>
            <w:vAlign w:val="center"/>
          </w:tcPr>
          <w:p w14:paraId="3F0B8760">
            <w:pPr>
              <w:widowControl/>
              <w:wordWrap w:val="0"/>
              <w:spacing w:line="400" w:lineRule="exact"/>
              <w:jc w:val="center"/>
              <w:rPr>
                <w:rFonts w:ascii="宋体" w:hAnsi="宋体" w:cs="宋体"/>
                <w:kern w:val="0"/>
                <w:szCs w:val="21"/>
              </w:rPr>
            </w:pPr>
            <w:r>
              <w:rPr>
                <w:rFonts w:hint="eastAsia" w:ascii="宋体" w:hAnsi="宋体" w:cs="宋体"/>
                <w:kern w:val="0"/>
                <w:szCs w:val="21"/>
              </w:rPr>
              <w:t>信息安全情况</w:t>
            </w:r>
          </w:p>
        </w:tc>
        <w:tc>
          <w:tcPr>
            <w:tcW w:w="866" w:type="dxa"/>
            <w:tcBorders>
              <w:top w:val="single" w:color="auto" w:sz="8" w:space="0"/>
              <w:left w:val="single" w:color="auto" w:sz="8" w:space="0"/>
              <w:bottom w:val="single" w:color="auto" w:sz="8" w:space="0"/>
              <w:right w:val="single" w:color="auto" w:sz="8" w:space="0"/>
            </w:tcBorders>
            <w:vAlign w:val="center"/>
          </w:tcPr>
          <w:p w14:paraId="799A6EEE">
            <w:pPr>
              <w:widowControl/>
              <w:wordWrap w:val="0"/>
              <w:spacing w:line="400" w:lineRule="exact"/>
              <w:jc w:val="center"/>
              <w:rPr>
                <w:rFonts w:ascii="宋体" w:hAnsi="宋体" w:cs="宋体"/>
                <w:kern w:val="0"/>
                <w:szCs w:val="21"/>
              </w:rPr>
            </w:pPr>
            <w:r>
              <w:rPr>
                <w:rFonts w:hint="eastAsia" w:ascii="宋体" w:hAnsi="宋体" w:cs="宋体"/>
                <w:kern w:val="0"/>
                <w:szCs w:val="21"/>
              </w:rPr>
              <w:t>3分</w:t>
            </w:r>
          </w:p>
        </w:tc>
        <w:tc>
          <w:tcPr>
            <w:tcW w:w="4682" w:type="dxa"/>
            <w:tcBorders>
              <w:top w:val="single" w:color="auto" w:sz="8" w:space="0"/>
              <w:left w:val="single" w:color="auto" w:sz="8" w:space="0"/>
              <w:bottom w:val="single" w:color="auto" w:sz="8" w:space="0"/>
              <w:right w:val="single" w:color="auto" w:sz="8" w:space="0"/>
            </w:tcBorders>
            <w:vAlign w:val="center"/>
          </w:tcPr>
          <w:p w14:paraId="669AEA08">
            <w:pPr>
              <w:widowControl/>
              <w:wordWrap w:val="0"/>
              <w:spacing w:line="400" w:lineRule="exact"/>
              <w:rPr>
                <w:rFonts w:ascii="宋体" w:hAnsi="宋体" w:cs="宋体"/>
                <w:kern w:val="0"/>
                <w:szCs w:val="21"/>
              </w:rPr>
            </w:pPr>
            <w:r>
              <w:rPr>
                <w:rFonts w:hint="eastAsia" w:ascii="宋体" w:hAnsi="宋体" w:cs="宋体"/>
                <w:kern w:val="0"/>
                <w:szCs w:val="21"/>
              </w:rPr>
              <w:t>评审因素：①保密制度完善；②保密措施到位；③是公安部网络安全重点保卫单位；</w:t>
            </w:r>
          </w:p>
          <w:p w14:paraId="4A549875">
            <w:pPr>
              <w:widowControl/>
              <w:wordWrap w:val="0"/>
              <w:spacing w:line="400" w:lineRule="exact"/>
              <w:rPr>
                <w:rFonts w:ascii="宋体" w:hAnsi="宋体" w:cs="宋体"/>
                <w:kern w:val="0"/>
                <w:szCs w:val="21"/>
              </w:rPr>
            </w:pPr>
            <w:r>
              <w:rPr>
                <w:rFonts w:hint="eastAsia" w:ascii="宋体" w:hAnsi="宋体" w:cs="宋体"/>
                <w:kern w:val="0"/>
                <w:szCs w:val="21"/>
              </w:rPr>
              <w:t>1）上述各项表现较好的得3分；</w:t>
            </w:r>
          </w:p>
          <w:p w14:paraId="5DD08D2C">
            <w:pPr>
              <w:widowControl/>
              <w:wordWrap w:val="0"/>
              <w:spacing w:line="400" w:lineRule="exact"/>
              <w:rPr>
                <w:rFonts w:ascii="宋体" w:hAnsi="宋体" w:cs="宋体"/>
                <w:kern w:val="0"/>
                <w:szCs w:val="21"/>
              </w:rPr>
            </w:pPr>
            <w:r>
              <w:rPr>
                <w:rFonts w:hint="eastAsia" w:ascii="宋体" w:hAnsi="宋体" w:cs="宋体"/>
                <w:kern w:val="0"/>
                <w:szCs w:val="21"/>
              </w:rPr>
              <w:t>2）上述各项表现一般的得1分；</w:t>
            </w:r>
          </w:p>
          <w:p w14:paraId="3B213745">
            <w:pPr>
              <w:widowControl/>
              <w:wordWrap w:val="0"/>
              <w:spacing w:line="400" w:lineRule="exact"/>
              <w:rPr>
                <w:rFonts w:ascii="宋体" w:hAnsi="宋体" w:cs="宋体"/>
                <w:kern w:val="0"/>
                <w:szCs w:val="21"/>
              </w:rPr>
            </w:pPr>
            <w:r>
              <w:rPr>
                <w:rFonts w:hint="eastAsia" w:ascii="宋体" w:hAnsi="宋体" w:cs="宋体"/>
                <w:kern w:val="0"/>
                <w:szCs w:val="21"/>
              </w:rPr>
              <w:t>3）上述各项表现较差的得0分。</w:t>
            </w:r>
          </w:p>
        </w:tc>
      </w:tr>
      <w:tr w14:paraId="12948A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1" w:hRule="atLeast"/>
          <w:jc w:val="center"/>
        </w:trPr>
        <w:tc>
          <w:tcPr>
            <w:tcW w:w="1393" w:type="dxa"/>
            <w:vMerge w:val="continue"/>
            <w:tcBorders>
              <w:top w:val="single" w:color="auto" w:sz="8" w:space="0"/>
              <w:left w:val="single" w:color="auto" w:sz="8" w:space="0"/>
              <w:bottom w:val="single" w:color="auto" w:sz="8" w:space="0"/>
              <w:right w:val="single" w:color="auto" w:sz="8" w:space="0"/>
            </w:tcBorders>
            <w:vAlign w:val="center"/>
          </w:tcPr>
          <w:p w14:paraId="62E2EA09">
            <w:pPr>
              <w:widowControl/>
              <w:wordWrap w:val="0"/>
              <w:spacing w:line="400" w:lineRule="exact"/>
              <w:jc w:val="left"/>
              <w:rPr>
                <w:rFonts w:ascii="宋体" w:hAnsi="宋体" w:cs="宋体"/>
                <w:kern w:val="0"/>
                <w:szCs w:val="21"/>
              </w:rPr>
            </w:pPr>
          </w:p>
        </w:tc>
        <w:tc>
          <w:tcPr>
            <w:tcW w:w="2233" w:type="dxa"/>
            <w:tcBorders>
              <w:top w:val="single" w:color="auto" w:sz="8" w:space="0"/>
              <w:left w:val="single" w:color="auto" w:sz="8" w:space="0"/>
              <w:bottom w:val="single" w:color="auto" w:sz="8" w:space="0"/>
              <w:right w:val="single" w:color="auto" w:sz="8" w:space="0"/>
            </w:tcBorders>
            <w:vAlign w:val="center"/>
          </w:tcPr>
          <w:p w14:paraId="094B8227">
            <w:pPr>
              <w:widowControl/>
              <w:wordWrap w:val="0"/>
              <w:spacing w:line="400" w:lineRule="exact"/>
              <w:rPr>
                <w:rFonts w:ascii="宋体" w:hAnsi="宋体" w:cs="宋体"/>
                <w:kern w:val="0"/>
                <w:szCs w:val="21"/>
              </w:rPr>
            </w:pPr>
            <w:r>
              <w:rPr>
                <w:rFonts w:hint="eastAsia" w:ascii="宋体" w:hAnsi="宋体" w:cs="宋体"/>
                <w:kern w:val="0"/>
                <w:szCs w:val="21"/>
              </w:rPr>
              <w:t>20</w:t>
            </w:r>
            <w:r>
              <w:rPr>
                <w:rFonts w:ascii="宋体" w:hAnsi="宋体" w:cs="宋体"/>
                <w:kern w:val="0"/>
                <w:szCs w:val="21"/>
              </w:rPr>
              <w:t>20</w:t>
            </w:r>
            <w:r>
              <w:rPr>
                <w:rFonts w:hint="eastAsia" w:ascii="宋体" w:hAnsi="宋体" w:cs="宋体"/>
                <w:kern w:val="0"/>
                <w:szCs w:val="21"/>
              </w:rPr>
              <w:t>年至今在开展受托业务时受监管部门处罚情况</w:t>
            </w:r>
          </w:p>
        </w:tc>
        <w:tc>
          <w:tcPr>
            <w:tcW w:w="866" w:type="dxa"/>
            <w:tcBorders>
              <w:top w:val="single" w:color="auto" w:sz="8" w:space="0"/>
              <w:left w:val="single" w:color="auto" w:sz="8" w:space="0"/>
              <w:bottom w:val="single" w:color="auto" w:sz="8" w:space="0"/>
              <w:right w:val="single" w:color="auto" w:sz="8" w:space="0"/>
            </w:tcBorders>
            <w:vAlign w:val="center"/>
          </w:tcPr>
          <w:p w14:paraId="1D279802">
            <w:pPr>
              <w:widowControl/>
              <w:wordWrap w:val="0"/>
              <w:spacing w:line="400" w:lineRule="exact"/>
              <w:jc w:val="center"/>
              <w:rPr>
                <w:rFonts w:ascii="宋体" w:hAnsi="宋体" w:cs="宋体"/>
                <w:kern w:val="0"/>
                <w:szCs w:val="21"/>
              </w:rPr>
            </w:pPr>
            <w:r>
              <w:rPr>
                <w:rFonts w:ascii="宋体" w:hAnsi="宋体" w:cs="宋体"/>
                <w:kern w:val="0"/>
                <w:szCs w:val="21"/>
              </w:rPr>
              <w:t>6</w:t>
            </w:r>
            <w:r>
              <w:rPr>
                <w:rFonts w:hint="eastAsia" w:ascii="宋体" w:hAnsi="宋体" w:cs="宋体"/>
                <w:kern w:val="0"/>
                <w:szCs w:val="21"/>
              </w:rPr>
              <w:t>分</w:t>
            </w:r>
          </w:p>
        </w:tc>
        <w:tc>
          <w:tcPr>
            <w:tcW w:w="4682" w:type="dxa"/>
            <w:tcBorders>
              <w:top w:val="single" w:color="auto" w:sz="8" w:space="0"/>
              <w:left w:val="single" w:color="auto" w:sz="8" w:space="0"/>
              <w:bottom w:val="single" w:color="auto" w:sz="8" w:space="0"/>
              <w:right w:val="single" w:color="auto" w:sz="8" w:space="0"/>
            </w:tcBorders>
            <w:vAlign w:val="center"/>
          </w:tcPr>
          <w:p w14:paraId="43346E46">
            <w:pPr>
              <w:widowControl/>
              <w:wordWrap w:val="0"/>
              <w:spacing w:line="400" w:lineRule="exact"/>
              <w:rPr>
                <w:rFonts w:ascii="宋体" w:hAnsi="宋体" w:cs="宋体"/>
                <w:kern w:val="0"/>
                <w:szCs w:val="21"/>
              </w:rPr>
            </w:pPr>
            <w:r>
              <w:rPr>
                <w:rFonts w:hint="eastAsia" w:ascii="宋体" w:hAnsi="宋体" w:cs="宋体"/>
                <w:kern w:val="0"/>
                <w:szCs w:val="21"/>
              </w:rPr>
              <w:t>①无处罚记录的得</w:t>
            </w:r>
            <w:r>
              <w:rPr>
                <w:rFonts w:ascii="宋体" w:hAnsi="宋体" w:cs="宋体"/>
                <w:kern w:val="0"/>
                <w:szCs w:val="21"/>
              </w:rPr>
              <w:t>6</w:t>
            </w:r>
            <w:r>
              <w:rPr>
                <w:rFonts w:hint="eastAsia" w:ascii="宋体" w:hAnsi="宋体" w:cs="宋体"/>
                <w:kern w:val="0"/>
                <w:szCs w:val="21"/>
              </w:rPr>
              <w:t>分；</w:t>
            </w:r>
          </w:p>
          <w:p w14:paraId="450BB908">
            <w:pPr>
              <w:widowControl/>
              <w:wordWrap w:val="0"/>
              <w:spacing w:line="400" w:lineRule="exact"/>
              <w:rPr>
                <w:rFonts w:ascii="宋体" w:hAnsi="宋体" w:cs="宋体"/>
                <w:kern w:val="0"/>
                <w:szCs w:val="21"/>
              </w:rPr>
            </w:pPr>
            <w:r>
              <w:rPr>
                <w:rFonts w:hint="eastAsia" w:ascii="宋体" w:hAnsi="宋体" w:cs="宋体"/>
                <w:kern w:val="0"/>
                <w:szCs w:val="21"/>
              </w:rPr>
              <w:t>②被处罚过1次的得1分；</w:t>
            </w:r>
          </w:p>
          <w:p w14:paraId="4723D5F4">
            <w:pPr>
              <w:widowControl/>
              <w:wordWrap w:val="0"/>
              <w:spacing w:line="400" w:lineRule="exact"/>
              <w:rPr>
                <w:rFonts w:ascii="宋体" w:hAnsi="宋体" w:cs="宋体"/>
                <w:kern w:val="0"/>
                <w:szCs w:val="21"/>
              </w:rPr>
            </w:pPr>
            <w:r>
              <w:rPr>
                <w:rFonts w:hint="eastAsia" w:ascii="宋体" w:hAnsi="宋体" w:cs="宋体"/>
                <w:kern w:val="0"/>
                <w:szCs w:val="21"/>
              </w:rPr>
              <w:t>③被处罚过2次及以上的得0分。</w:t>
            </w:r>
          </w:p>
        </w:tc>
      </w:tr>
      <w:tr w14:paraId="659902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5" w:hRule="atLeast"/>
          <w:jc w:val="center"/>
        </w:trPr>
        <w:tc>
          <w:tcPr>
            <w:tcW w:w="1393" w:type="dxa"/>
            <w:vMerge w:val="continue"/>
            <w:tcBorders>
              <w:top w:val="single" w:color="auto" w:sz="8" w:space="0"/>
              <w:left w:val="single" w:color="auto" w:sz="8" w:space="0"/>
              <w:bottom w:val="single" w:color="auto" w:sz="8" w:space="0"/>
              <w:right w:val="single" w:color="auto" w:sz="8" w:space="0"/>
            </w:tcBorders>
            <w:vAlign w:val="center"/>
          </w:tcPr>
          <w:p w14:paraId="0FE1DF08">
            <w:pPr>
              <w:widowControl/>
              <w:wordWrap w:val="0"/>
              <w:spacing w:line="400" w:lineRule="exact"/>
              <w:jc w:val="left"/>
              <w:rPr>
                <w:rFonts w:ascii="宋体" w:hAnsi="宋体" w:cs="宋体"/>
                <w:kern w:val="0"/>
                <w:szCs w:val="21"/>
              </w:rPr>
            </w:pPr>
          </w:p>
        </w:tc>
        <w:tc>
          <w:tcPr>
            <w:tcW w:w="2233" w:type="dxa"/>
            <w:tcBorders>
              <w:top w:val="single" w:color="auto" w:sz="8" w:space="0"/>
              <w:left w:val="single" w:color="auto" w:sz="8" w:space="0"/>
              <w:bottom w:val="single" w:color="auto" w:sz="8" w:space="0"/>
              <w:right w:val="single" w:color="auto" w:sz="8" w:space="0"/>
            </w:tcBorders>
            <w:vAlign w:val="center"/>
          </w:tcPr>
          <w:p w14:paraId="608659A7">
            <w:pPr>
              <w:wordWrap w:val="0"/>
              <w:spacing w:line="400" w:lineRule="exact"/>
              <w:rPr>
                <w:rFonts w:ascii="宋体" w:hAnsi="宋体" w:cs="宋体"/>
                <w:kern w:val="0"/>
                <w:szCs w:val="21"/>
                <w:highlight w:val="none"/>
              </w:rPr>
            </w:pPr>
            <w:r>
              <w:rPr>
                <w:rFonts w:hint="eastAsia" w:ascii="宋体" w:hAnsi="宋体" w:cs="宋体"/>
                <w:kern w:val="0"/>
                <w:szCs w:val="21"/>
                <w:highlight w:val="none"/>
              </w:rPr>
              <w:t>受托机构为广西企业或者在广西有分支机构</w:t>
            </w:r>
          </w:p>
        </w:tc>
        <w:tc>
          <w:tcPr>
            <w:tcW w:w="866" w:type="dxa"/>
            <w:tcBorders>
              <w:top w:val="single" w:color="auto" w:sz="8" w:space="0"/>
              <w:left w:val="single" w:color="auto" w:sz="8" w:space="0"/>
              <w:bottom w:val="single" w:color="auto" w:sz="8" w:space="0"/>
              <w:right w:val="single" w:color="auto" w:sz="8" w:space="0"/>
            </w:tcBorders>
            <w:vAlign w:val="center"/>
          </w:tcPr>
          <w:p w14:paraId="2F29D41A">
            <w:pPr>
              <w:widowControl/>
              <w:wordWrap w:val="0"/>
              <w:spacing w:line="400" w:lineRule="exact"/>
              <w:jc w:val="center"/>
              <w:rPr>
                <w:rFonts w:ascii="宋体" w:hAnsi="宋体" w:cs="宋体"/>
                <w:kern w:val="0"/>
                <w:szCs w:val="21"/>
                <w:highlight w:val="none"/>
              </w:rPr>
            </w:pPr>
            <w:r>
              <w:rPr>
                <w:rFonts w:ascii="宋体" w:hAnsi="宋体" w:cs="宋体"/>
                <w:kern w:val="0"/>
                <w:szCs w:val="21"/>
                <w:highlight w:val="none"/>
              </w:rPr>
              <w:t>6</w:t>
            </w:r>
            <w:r>
              <w:rPr>
                <w:rFonts w:hint="eastAsia" w:ascii="宋体" w:hAnsi="宋体" w:cs="宋体"/>
                <w:kern w:val="0"/>
                <w:szCs w:val="21"/>
                <w:highlight w:val="none"/>
              </w:rPr>
              <w:t>分</w:t>
            </w:r>
          </w:p>
        </w:tc>
        <w:tc>
          <w:tcPr>
            <w:tcW w:w="4682" w:type="dxa"/>
            <w:tcBorders>
              <w:top w:val="single" w:color="auto" w:sz="8" w:space="0"/>
              <w:left w:val="single" w:color="auto" w:sz="8" w:space="0"/>
              <w:bottom w:val="single" w:color="auto" w:sz="8" w:space="0"/>
              <w:right w:val="single" w:color="auto" w:sz="8" w:space="0"/>
            </w:tcBorders>
            <w:vAlign w:val="center"/>
          </w:tcPr>
          <w:p w14:paraId="44D5F416">
            <w:pPr>
              <w:widowControl/>
              <w:wordWrap w:val="0"/>
              <w:spacing w:line="400" w:lineRule="exact"/>
              <w:rPr>
                <w:rFonts w:ascii="宋体" w:hAnsi="宋体" w:cs="宋体"/>
                <w:kern w:val="0"/>
                <w:szCs w:val="21"/>
                <w:highlight w:val="none"/>
              </w:rPr>
            </w:pPr>
            <w:r>
              <w:rPr>
                <w:rFonts w:hint="eastAsia" w:ascii="宋体" w:hAnsi="宋体" w:cs="宋体"/>
                <w:kern w:val="0"/>
                <w:szCs w:val="21"/>
                <w:highlight w:val="none"/>
              </w:rPr>
              <w:t>①有的得</w:t>
            </w:r>
            <w:r>
              <w:rPr>
                <w:rFonts w:ascii="宋体" w:hAnsi="宋体" w:cs="宋体"/>
                <w:kern w:val="0"/>
                <w:szCs w:val="21"/>
                <w:highlight w:val="none"/>
              </w:rPr>
              <w:t>6</w:t>
            </w:r>
            <w:r>
              <w:rPr>
                <w:rFonts w:hint="eastAsia" w:ascii="宋体" w:hAnsi="宋体" w:cs="宋体"/>
                <w:kern w:val="0"/>
                <w:szCs w:val="21"/>
                <w:highlight w:val="none"/>
              </w:rPr>
              <w:t>分；</w:t>
            </w:r>
          </w:p>
          <w:p w14:paraId="4CC34FFC">
            <w:pPr>
              <w:widowControl/>
              <w:wordWrap w:val="0"/>
              <w:spacing w:line="400" w:lineRule="exact"/>
              <w:rPr>
                <w:rFonts w:ascii="宋体" w:hAnsi="宋体" w:cs="宋体"/>
                <w:kern w:val="0"/>
                <w:szCs w:val="21"/>
                <w:highlight w:val="none"/>
              </w:rPr>
            </w:pPr>
            <w:r>
              <w:rPr>
                <w:rFonts w:hint="eastAsia" w:ascii="宋体" w:hAnsi="宋体" w:cs="宋体"/>
                <w:kern w:val="0"/>
                <w:szCs w:val="21"/>
                <w:highlight w:val="none"/>
              </w:rPr>
              <w:t>②无的得</w:t>
            </w:r>
            <w:r>
              <w:rPr>
                <w:rFonts w:ascii="宋体" w:hAnsi="宋体" w:cs="宋体"/>
                <w:kern w:val="0"/>
                <w:szCs w:val="21"/>
                <w:highlight w:val="none"/>
              </w:rPr>
              <w:t>4</w:t>
            </w:r>
            <w:r>
              <w:rPr>
                <w:rFonts w:hint="eastAsia" w:ascii="宋体" w:hAnsi="宋体" w:cs="宋体"/>
                <w:kern w:val="0"/>
                <w:szCs w:val="21"/>
                <w:highlight w:val="none"/>
              </w:rPr>
              <w:t>分。</w:t>
            </w:r>
          </w:p>
        </w:tc>
      </w:tr>
      <w:tr w14:paraId="454B26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8" w:hRule="atLeast"/>
          <w:jc w:val="center"/>
        </w:trPr>
        <w:tc>
          <w:tcPr>
            <w:tcW w:w="1393" w:type="dxa"/>
            <w:vMerge w:val="continue"/>
            <w:tcBorders>
              <w:top w:val="single" w:color="auto" w:sz="8" w:space="0"/>
              <w:left w:val="single" w:color="auto" w:sz="8" w:space="0"/>
              <w:bottom w:val="single" w:color="auto" w:sz="8" w:space="0"/>
              <w:right w:val="single" w:color="auto" w:sz="8" w:space="0"/>
            </w:tcBorders>
            <w:vAlign w:val="center"/>
          </w:tcPr>
          <w:p w14:paraId="7912E0B0">
            <w:pPr>
              <w:widowControl/>
              <w:wordWrap w:val="0"/>
              <w:spacing w:line="400" w:lineRule="exact"/>
              <w:jc w:val="left"/>
              <w:rPr>
                <w:rFonts w:ascii="宋体" w:hAnsi="宋体" w:cs="宋体"/>
                <w:kern w:val="0"/>
                <w:szCs w:val="21"/>
              </w:rPr>
            </w:pPr>
          </w:p>
        </w:tc>
        <w:tc>
          <w:tcPr>
            <w:tcW w:w="2233" w:type="dxa"/>
            <w:tcBorders>
              <w:top w:val="single" w:color="auto" w:sz="4" w:space="0"/>
              <w:left w:val="single" w:color="auto" w:sz="8" w:space="0"/>
              <w:bottom w:val="single" w:color="auto" w:sz="4" w:space="0"/>
              <w:right w:val="single" w:color="auto" w:sz="8" w:space="0"/>
            </w:tcBorders>
            <w:vAlign w:val="center"/>
          </w:tcPr>
          <w:p w14:paraId="0E124D9D">
            <w:pPr>
              <w:widowControl/>
              <w:wordWrap w:val="0"/>
              <w:spacing w:line="400" w:lineRule="exact"/>
              <w:rPr>
                <w:rFonts w:ascii="宋体" w:hAnsi="宋体" w:cs="宋体"/>
                <w:kern w:val="0"/>
                <w:szCs w:val="21"/>
              </w:rPr>
            </w:pPr>
            <w:r>
              <w:rPr>
                <w:rFonts w:hint="eastAsia" w:ascii="宋体" w:hAnsi="宋体" w:cs="宋体"/>
                <w:kern w:val="0"/>
                <w:szCs w:val="21"/>
              </w:rPr>
              <w:t>能否提供及时上门服务，并列举可以提供远程服务方式和渠道，简要阐述。</w:t>
            </w:r>
          </w:p>
        </w:tc>
        <w:tc>
          <w:tcPr>
            <w:tcW w:w="866" w:type="dxa"/>
            <w:tcBorders>
              <w:top w:val="single" w:color="auto" w:sz="8" w:space="0"/>
              <w:left w:val="single" w:color="auto" w:sz="8" w:space="0"/>
              <w:bottom w:val="single" w:color="auto" w:sz="8" w:space="0"/>
              <w:right w:val="single" w:color="auto" w:sz="8" w:space="0"/>
            </w:tcBorders>
            <w:vAlign w:val="center"/>
          </w:tcPr>
          <w:p w14:paraId="5767B60D">
            <w:pPr>
              <w:widowControl/>
              <w:wordWrap w:val="0"/>
              <w:spacing w:line="400" w:lineRule="exact"/>
              <w:jc w:val="center"/>
              <w:rPr>
                <w:rFonts w:ascii="宋体" w:hAnsi="宋体" w:cs="宋体"/>
                <w:kern w:val="0"/>
                <w:szCs w:val="21"/>
              </w:rPr>
            </w:pPr>
            <w:r>
              <w:rPr>
                <w:rFonts w:ascii="宋体" w:hAnsi="宋体" w:cs="宋体"/>
                <w:kern w:val="0"/>
                <w:szCs w:val="21"/>
              </w:rPr>
              <w:t>6</w:t>
            </w:r>
            <w:r>
              <w:rPr>
                <w:rFonts w:hint="eastAsia" w:ascii="宋体" w:hAnsi="宋体" w:cs="宋体"/>
                <w:kern w:val="0"/>
                <w:szCs w:val="21"/>
              </w:rPr>
              <w:t>分</w:t>
            </w:r>
          </w:p>
        </w:tc>
        <w:tc>
          <w:tcPr>
            <w:tcW w:w="4682" w:type="dxa"/>
            <w:tcBorders>
              <w:top w:val="single" w:color="auto" w:sz="8" w:space="0"/>
              <w:left w:val="single" w:color="auto" w:sz="8" w:space="0"/>
              <w:bottom w:val="single" w:color="auto" w:sz="8" w:space="0"/>
              <w:right w:val="single" w:color="auto" w:sz="8" w:space="0"/>
            </w:tcBorders>
            <w:vAlign w:val="center"/>
          </w:tcPr>
          <w:p w14:paraId="3461B74D">
            <w:pPr>
              <w:widowControl/>
              <w:wordWrap w:val="0"/>
              <w:spacing w:line="400" w:lineRule="exact"/>
              <w:rPr>
                <w:rFonts w:ascii="宋体" w:hAnsi="宋体" w:cs="宋体"/>
                <w:kern w:val="0"/>
                <w:szCs w:val="21"/>
              </w:rPr>
            </w:pPr>
            <w:r>
              <w:rPr>
                <w:rFonts w:hint="eastAsia" w:ascii="宋体" w:hAnsi="宋体" w:cs="宋体"/>
                <w:kern w:val="0"/>
                <w:szCs w:val="21"/>
              </w:rPr>
              <w:t>①服务网点和渠道丰富和充分的得</w:t>
            </w:r>
            <w:r>
              <w:rPr>
                <w:rFonts w:ascii="宋体" w:hAnsi="宋体" w:cs="宋体"/>
                <w:kern w:val="0"/>
                <w:szCs w:val="21"/>
              </w:rPr>
              <w:t>6</w:t>
            </w:r>
            <w:r>
              <w:rPr>
                <w:rFonts w:hint="eastAsia" w:ascii="宋体" w:hAnsi="宋体" w:cs="宋体"/>
                <w:kern w:val="0"/>
                <w:szCs w:val="21"/>
              </w:rPr>
              <w:t>分；</w:t>
            </w:r>
          </w:p>
          <w:p w14:paraId="0489E503">
            <w:pPr>
              <w:widowControl/>
              <w:wordWrap w:val="0"/>
              <w:spacing w:line="400" w:lineRule="exact"/>
              <w:rPr>
                <w:rFonts w:ascii="宋体" w:hAnsi="宋体" w:cs="宋体"/>
                <w:kern w:val="0"/>
                <w:szCs w:val="21"/>
              </w:rPr>
            </w:pPr>
            <w:r>
              <w:rPr>
                <w:rFonts w:hint="eastAsia" w:ascii="宋体" w:hAnsi="宋体" w:cs="宋体"/>
                <w:kern w:val="0"/>
                <w:szCs w:val="21"/>
              </w:rPr>
              <w:t>②服务网点和渠道一般的得</w:t>
            </w:r>
            <w:r>
              <w:rPr>
                <w:rFonts w:ascii="宋体" w:hAnsi="宋体" w:cs="宋体"/>
                <w:kern w:val="0"/>
                <w:szCs w:val="21"/>
              </w:rPr>
              <w:t>3</w:t>
            </w:r>
            <w:r>
              <w:rPr>
                <w:rFonts w:hint="eastAsia" w:ascii="宋体" w:hAnsi="宋体" w:cs="宋体"/>
                <w:kern w:val="0"/>
                <w:szCs w:val="21"/>
              </w:rPr>
              <w:t>分；</w:t>
            </w:r>
          </w:p>
          <w:p w14:paraId="3A19FCF1">
            <w:pPr>
              <w:widowControl/>
              <w:wordWrap w:val="0"/>
              <w:spacing w:line="400" w:lineRule="exact"/>
              <w:rPr>
                <w:rFonts w:ascii="宋体" w:hAnsi="宋体" w:cs="宋体"/>
                <w:kern w:val="0"/>
                <w:szCs w:val="21"/>
              </w:rPr>
            </w:pPr>
            <w:r>
              <w:rPr>
                <w:rFonts w:hint="eastAsia" w:ascii="宋体" w:hAnsi="宋体" w:cs="宋体"/>
                <w:kern w:val="0"/>
                <w:szCs w:val="21"/>
              </w:rPr>
              <w:t>③服务网点和渠道不够充分的得0分。</w:t>
            </w:r>
          </w:p>
        </w:tc>
      </w:tr>
      <w:tr w14:paraId="2E0A3C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8" w:hRule="atLeast"/>
          <w:jc w:val="center"/>
        </w:trPr>
        <w:tc>
          <w:tcPr>
            <w:tcW w:w="1393" w:type="dxa"/>
            <w:vMerge w:val="continue"/>
            <w:tcBorders>
              <w:top w:val="single" w:color="auto" w:sz="8" w:space="0"/>
              <w:left w:val="single" w:color="auto" w:sz="8" w:space="0"/>
              <w:bottom w:val="single" w:color="auto" w:sz="8" w:space="0"/>
              <w:right w:val="single" w:color="auto" w:sz="8" w:space="0"/>
            </w:tcBorders>
            <w:vAlign w:val="center"/>
          </w:tcPr>
          <w:p w14:paraId="29398047">
            <w:pPr>
              <w:widowControl/>
              <w:wordWrap w:val="0"/>
              <w:spacing w:line="400" w:lineRule="exact"/>
              <w:jc w:val="left"/>
              <w:rPr>
                <w:rFonts w:ascii="宋体" w:hAnsi="宋体" w:cs="宋体"/>
                <w:kern w:val="0"/>
                <w:szCs w:val="21"/>
              </w:rPr>
            </w:pPr>
          </w:p>
        </w:tc>
        <w:tc>
          <w:tcPr>
            <w:tcW w:w="2233" w:type="dxa"/>
            <w:tcBorders>
              <w:top w:val="single" w:color="auto" w:sz="4" w:space="0"/>
              <w:left w:val="single" w:color="auto" w:sz="8" w:space="0"/>
              <w:bottom w:val="single" w:color="auto" w:sz="4" w:space="0"/>
              <w:right w:val="single" w:color="auto" w:sz="8" w:space="0"/>
            </w:tcBorders>
            <w:vAlign w:val="center"/>
          </w:tcPr>
          <w:p w14:paraId="7B8D9A1E">
            <w:pPr>
              <w:widowControl/>
              <w:wordWrap w:val="0"/>
              <w:spacing w:line="400" w:lineRule="exact"/>
              <w:rPr>
                <w:rFonts w:ascii="宋体" w:hAnsi="宋体" w:cs="宋体"/>
                <w:szCs w:val="21"/>
              </w:rPr>
            </w:pPr>
            <w:r>
              <w:rPr>
                <w:rFonts w:hint="eastAsia" w:ascii="宋体" w:hAnsi="宋体" w:cs="宋体"/>
                <w:kern w:val="0"/>
                <w:szCs w:val="21"/>
              </w:rPr>
              <w:t>截至</w:t>
            </w:r>
            <w:r>
              <w:rPr>
                <w:rFonts w:hint="eastAsia" w:ascii="宋体" w:hAnsi="宋体" w:cs="宋体"/>
                <w:kern w:val="0"/>
                <w:szCs w:val="21"/>
                <w:lang w:val="en-US" w:eastAsia="zh-CN"/>
              </w:rPr>
              <w:t>2024</w:t>
            </w:r>
            <w:r>
              <w:rPr>
                <w:rFonts w:hint="eastAsia" w:ascii="宋体" w:hAnsi="宋体" w:cs="宋体"/>
                <w:kern w:val="0"/>
                <w:szCs w:val="21"/>
              </w:rPr>
              <w:t>年，在全国31个省市区和中央国家机关、新疆生产建设兵团的职业年金招标结果中，进入第一档且取得评分第一或并列第一的次数</w:t>
            </w:r>
          </w:p>
        </w:tc>
        <w:tc>
          <w:tcPr>
            <w:tcW w:w="866" w:type="dxa"/>
            <w:tcBorders>
              <w:top w:val="single" w:color="auto" w:sz="8" w:space="0"/>
              <w:left w:val="single" w:color="auto" w:sz="8" w:space="0"/>
              <w:bottom w:val="single" w:color="auto" w:sz="8" w:space="0"/>
              <w:right w:val="single" w:color="auto" w:sz="8" w:space="0"/>
            </w:tcBorders>
            <w:vAlign w:val="center"/>
          </w:tcPr>
          <w:p w14:paraId="1AAE1CEC">
            <w:pPr>
              <w:widowControl/>
              <w:wordWrap w:val="0"/>
              <w:spacing w:line="400" w:lineRule="exact"/>
              <w:jc w:val="center"/>
              <w:rPr>
                <w:rFonts w:ascii="宋体" w:hAnsi="宋体" w:cs="宋体"/>
                <w:szCs w:val="21"/>
              </w:rPr>
            </w:pPr>
            <w:r>
              <w:rPr>
                <w:rFonts w:hint="eastAsia" w:ascii="宋体" w:hAnsi="宋体" w:cs="宋体"/>
                <w:szCs w:val="21"/>
              </w:rPr>
              <w:t>5</w:t>
            </w:r>
            <w:r>
              <w:rPr>
                <w:rFonts w:hint="eastAsia" w:ascii="宋体" w:hAnsi="宋体" w:cs="宋体"/>
                <w:kern w:val="0"/>
                <w:szCs w:val="21"/>
              </w:rPr>
              <w:t>分</w:t>
            </w:r>
          </w:p>
        </w:tc>
        <w:tc>
          <w:tcPr>
            <w:tcW w:w="4682" w:type="dxa"/>
            <w:tcBorders>
              <w:top w:val="single" w:color="auto" w:sz="8" w:space="0"/>
              <w:left w:val="single" w:color="auto" w:sz="8" w:space="0"/>
              <w:bottom w:val="single" w:color="auto" w:sz="8" w:space="0"/>
              <w:right w:val="single" w:color="auto" w:sz="8" w:space="0"/>
            </w:tcBorders>
            <w:vAlign w:val="center"/>
          </w:tcPr>
          <w:p w14:paraId="6F3AACC7">
            <w:pPr>
              <w:widowControl/>
              <w:wordWrap w:val="0"/>
              <w:spacing w:line="400" w:lineRule="exact"/>
              <w:rPr>
                <w:rFonts w:ascii="宋体" w:hAnsi="宋体" w:cs="宋体"/>
                <w:kern w:val="0"/>
                <w:szCs w:val="21"/>
              </w:rPr>
            </w:pPr>
            <w:r>
              <w:rPr>
                <w:rFonts w:hint="eastAsia" w:ascii="宋体" w:hAnsi="宋体" w:cs="宋体"/>
                <w:kern w:val="0"/>
                <w:szCs w:val="21"/>
              </w:rPr>
              <w:t>①次数最多的得5分；</w:t>
            </w:r>
          </w:p>
          <w:p w14:paraId="0583D1D6">
            <w:pPr>
              <w:widowControl/>
              <w:wordWrap w:val="0"/>
              <w:spacing w:line="400" w:lineRule="exact"/>
              <w:rPr>
                <w:rFonts w:ascii="宋体" w:hAnsi="宋体" w:cs="宋体"/>
                <w:kern w:val="0"/>
                <w:szCs w:val="21"/>
              </w:rPr>
            </w:pPr>
            <w:r>
              <w:rPr>
                <w:rFonts w:hint="eastAsia" w:ascii="宋体" w:hAnsi="宋体" w:cs="宋体"/>
                <w:kern w:val="0"/>
                <w:szCs w:val="21"/>
              </w:rPr>
              <w:t>②次数第二的得3分；</w:t>
            </w:r>
          </w:p>
          <w:p w14:paraId="70230A54">
            <w:pPr>
              <w:widowControl/>
              <w:wordWrap w:val="0"/>
              <w:spacing w:line="400" w:lineRule="exact"/>
              <w:rPr>
                <w:rFonts w:ascii="宋体" w:hAnsi="宋体" w:cs="宋体"/>
                <w:kern w:val="0"/>
                <w:szCs w:val="21"/>
              </w:rPr>
            </w:pPr>
            <w:r>
              <w:rPr>
                <w:rFonts w:hint="eastAsia" w:ascii="宋体" w:hAnsi="宋体" w:cs="宋体"/>
                <w:kern w:val="0"/>
                <w:szCs w:val="21"/>
              </w:rPr>
              <w:t>③次数第三的得1分；</w:t>
            </w:r>
          </w:p>
          <w:p w14:paraId="0ED4485E">
            <w:pPr>
              <w:widowControl/>
              <w:wordWrap w:val="0"/>
              <w:spacing w:line="400" w:lineRule="exact"/>
              <w:rPr>
                <w:rFonts w:ascii="宋体" w:hAnsi="宋体" w:cs="宋体"/>
                <w:kern w:val="0"/>
                <w:szCs w:val="21"/>
              </w:rPr>
            </w:pPr>
            <w:r>
              <w:rPr>
                <w:rFonts w:hint="eastAsia" w:ascii="宋体" w:hAnsi="宋体" w:cs="宋体"/>
                <w:kern w:val="0"/>
                <w:szCs w:val="21"/>
              </w:rPr>
              <w:t>④次数第四及以后的得0分。</w:t>
            </w:r>
          </w:p>
        </w:tc>
      </w:tr>
      <w:tr w14:paraId="2284A2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8" w:hRule="atLeast"/>
          <w:jc w:val="center"/>
        </w:trPr>
        <w:tc>
          <w:tcPr>
            <w:tcW w:w="1393" w:type="dxa"/>
            <w:vMerge w:val="continue"/>
            <w:tcBorders>
              <w:top w:val="single" w:color="auto" w:sz="8" w:space="0"/>
              <w:left w:val="single" w:color="auto" w:sz="8" w:space="0"/>
              <w:bottom w:val="single" w:color="auto" w:sz="8" w:space="0"/>
              <w:right w:val="single" w:color="auto" w:sz="8" w:space="0"/>
            </w:tcBorders>
            <w:vAlign w:val="center"/>
          </w:tcPr>
          <w:p w14:paraId="5C52215D">
            <w:pPr>
              <w:widowControl/>
              <w:wordWrap w:val="0"/>
              <w:spacing w:line="400" w:lineRule="exact"/>
              <w:jc w:val="left"/>
              <w:rPr>
                <w:rFonts w:ascii="宋体" w:hAnsi="宋体" w:cs="宋体"/>
                <w:kern w:val="0"/>
                <w:szCs w:val="21"/>
              </w:rPr>
            </w:pPr>
          </w:p>
        </w:tc>
        <w:tc>
          <w:tcPr>
            <w:tcW w:w="2233" w:type="dxa"/>
            <w:tcBorders>
              <w:top w:val="single" w:color="auto" w:sz="4" w:space="0"/>
              <w:left w:val="single" w:color="auto" w:sz="8" w:space="0"/>
              <w:bottom w:val="single" w:color="auto" w:sz="4" w:space="0"/>
              <w:right w:val="single" w:color="auto" w:sz="8" w:space="0"/>
            </w:tcBorders>
            <w:vAlign w:val="center"/>
          </w:tcPr>
          <w:p w14:paraId="7044321F">
            <w:pPr>
              <w:widowControl/>
              <w:wordWrap w:val="0"/>
              <w:spacing w:line="400" w:lineRule="exact"/>
              <w:jc w:val="left"/>
              <w:rPr>
                <w:rFonts w:ascii="宋体" w:hAnsi="宋体" w:cs="宋体"/>
                <w:szCs w:val="21"/>
              </w:rPr>
            </w:pPr>
            <w:r>
              <w:rPr>
                <w:rFonts w:hint="eastAsia" w:ascii="宋体" w:hAnsi="宋体" w:cs="宋体"/>
                <w:kern w:val="0"/>
                <w:szCs w:val="21"/>
              </w:rPr>
              <w:t>能根据企业年金计划运行管理各阶段实际需要提出相关工作方案或建议，完善管理办法，提高管理的效能等。</w:t>
            </w:r>
          </w:p>
        </w:tc>
        <w:tc>
          <w:tcPr>
            <w:tcW w:w="866" w:type="dxa"/>
            <w:tcBorders>
              <w:top w:val="single" w:color="auto" w:sz="8" w:space="0"/>
              <w:left w:val="single" w:color="auto" w:sz="8" w:space="0"/>
              <w:bottom w:val="single" w:color="auto" w:sz="8" w:space="0"/>
              <w:right w:val="single" w:color="auto" w:sz="8" w:space="0"/>
            </w:tcBorders>
            <w:vAlign w:val="center"/>
          </w:tcPr>
          <w:p w14:paraId="47175B64">
            <w:pPr>
              <w:widowControl/>
              <w:wordWrap w:val="0"/>
              <w:spacing w:line="400" w:lineRule="exact"/>
              <w:jc w:val="center"/>
              <w:rPr>
                <w:rFonts w:ascii="宋体" w:hAnsi="宋体" w:cs="宋体"/>
                <w:szCs w:val="21"/>
              </w:rPr>
            </w:pPr>
            <w:r>
              <w:rPr>
                <w:rFonts w:ascii="宋体" w:hAnsi="宋体" w:cs="宋体"/>
                <w:szCs w:val="21"/>
              </w:rPr>
              <w:t>4</w:t>
            </w:r>
            <w:r>
              <w:rPr>
                <w:rFonts w:hint="eastAsia" w:ascii="宋体" w:hAnsi="宋体" w:cs="宋体"/>
                <w:kern w:val="0"/>
                <w:szCs w:val="21"/>
              </w:rPr>
              <w:t>分</w:t>
            </w:r>
          </w:p>
        </w:tc>
        <w:tc>
          <w:tcPr>
            <w:tcW w:w="4682" w:type="dxa"/>
            <w:tcBorders>
              <w:top w:val="single" w:color="auto" w:sz="8" w:space="0"/>
              <w:left w:val="single" w:color="auto" w:sz="8" w:space="0"/>
              <w:bottom w:val="single" w:color="auto" w:sz="8" w:space="0"/>
              <w:right w:val="single" w:color="auto" w:sz="8" w:space="0"/>
            </w:tcBorders>
            <w:vAlign w:val="center"/>
          </w:tcPr>
          <w:p w14:paraId="64F11F99">
            <w:pPr>
              <w:widowControl/>
              <w:wordWrap w:val="0"/>
              <w:spacing w:line="400" w:lineRule="exact"/>
              <w:rPr>
                <w:rFonts w:ascii="宋体" w:hAnsi="宋体" w:cs="宋体"/>
                <w:kern w:val="0"/>
                <w:szCs w:val="21"/>
              </w:rPr>
            </w:pPr>
            <w:r>
              <w:rPr>
                <w:rFonts w:hint="eastAsia" w:ascii="宋体" w:hAnsi="宋体" w:cs="宋体"/>
                <w:kern w:val="0"/>
                <w:szCs w:val="21"/>
              </w:rPr>
              <w:t>评审因素：①管理目标明确；②管理思路清晰；③管理措施可行有效到位；④服务模式符合委托人需求；⑤服务内容丰富；</w:t>
            </w:r>
          </w:p>
          <w:p w14:paraId="6ED6E70C">
            <w:pPr>
              <w:widowControl/>
              <w:wordWrap w:val="0"/>
              <w:spacing w:line="400" w:lineRule="exact"/>
              <w:rPr>
                <w:rFonts w:ascii="宋体" w:hAnsi="宋体" w:cs="宋体"/>
                <w:kern w:val="0"/>
                <w:szCs w:val="21"/>
              </w:rPr>
            </w:pPr>
            <w:r>
              <w:rPr>
                <w:rFonts w:hint="eastAsia" w:ascii="宋体" w:hAnsi="宋体" w:cs="宋体"/>
                <w:kern w:val="0"/>
                <w:szCs w:val="21"/>
              </w:rPr>
              <w:t>1）上述各项表现较好的得</w:t>
            </w:r>
            <w:r>
              <w:rPr>
                <w:rFonts w:ascii="宋体" w:hAnsi="宋体" w:cs="宋体"/>
                <w:kern w:val="0"/>
                <w:szCs w:val="21"/>
              </w:rPr>
              <w:t>4</w:t>
            </w:r>
            <w:r>
              <w:rPr>
                <w:rFonts w:hint="eastAsia" w:ascii="宋体" w:hAnsi="宋体" w:cs="宋体"/>
                <w:kern w:val="0"/>
                <w:szCs w:val="21"/>
              </w:rPr>
              <w:t>分；</w:t>
            </w:r>
          </w:p>
          <w:p w14:paraId="7EF38F19">
            <w:pPr>
              <w:widowControl/>
              <w:wordWrap w:val="0"/>
              <w:spacing w:line="400" w:lineRule="exact"/>
              <w:rPr>
                <w:rFonts w:ascii="宋体" w:hAnsi="宋体" w:cs="宋体"/>
                <w:kern w:val="0"/>
                <w:szCs w:val="21"/>
              </w:rPr>
            </w:pPr>
            <w:r>
              <w:rPr>
                <w:rFonts w:hint="eastAsia" w:ascii="宋体" w:hAnsi="宋体" w:cs="宋体"/>
                <w:kern w:val="0"/>
                <w:szCs w:val="21"/>
              </w:rPr>
              <w:t>2）上述各项表现一般的得</w:t>
            </w:r>
            <w:r>
              <w:rPr>
                <w:rFonts w:ascii="宋体" w:hAnsi="宋体" w:cs="宋体"/>
                <w:kern w:val="0"/>
                <w:szCs w:val="21"/>
              </w:rPr>
              <w:t>2</w:t>
            </w:r>
            <w:r>
              <w:rPr>
                <w:rFonts w:hint="eastAsia" w:ascii="宋体" w:hAnsi="宋体" w:cs="宋体"/>
                <w:kern w:val="0"/>
                <w:szCs w:val="21"/>
              </w:rPr>
              <w:t>分；</w:t>
            </w:r>
          </w:p>
          <w:p w14:paraId="274D9078">
            <w:pPr>
              <w:widowControl/>
              <w:wordWrap w:val="0"/>
              <w:spacing w:line="400" w:lineRule="exact"/>
              <w:rPr>
                <w:rFonts w:ascii="宋体" w:hAnsi="宋体" w:cs="宋体"/>
                <w:szCs w:val="21"/>
              </w:rPr>
            </w:pPr>
            <w:r>
              <w:rPr>
                <w:rFonts w:hint="eastAsia" w:ascii="宋体" w:hAnsi="宋体" w:cs="宋体"/>
                <w:kern w:val="0"/>
                <w:szCs w:val="21"/>
              </w:rPr>
              <w:t>3）上述各项表现较差的得0分。</w:t>
            </w:r>
          </w:p>
        </w:tc>
      </w:tr>
      <w:tr w14:paraId="063B31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8" w:hRule="atLeast"/>
          <w:jc w:val="center"/>
        </w:trPr>
        <w:tc>
          <w:tcPr>
            <w:tcW w:w="1393" w:type="dxa"/>
            <w:vMerge w:val="continue"/>
            <w:tcBorders>
              <w:top w:val="single" w:color="auto" w:sz="8" w:space="0"/>
              <w:left w:val="single" w:color="auto" w:sz="8" w:space="0"/>
              <w:bottom w:val="single" w:color="auto" w:sz="8" w:space="0"/>
              <w:right w:val="single" w:color="auto" w:sz="8" w:space="0"/>
            </w:tcBorders>
            <w:vAlign w:val="center"/>
          </w:tcPr>
          <w:p w14:paraId="39078C93">
            <w:pPr>
              <w:widowControl/>
              <w:wordWrap w:val="0"/>
              <w:spacing w:line="400" w:lineRule="exact"/>
              <w:jc w:val="left"/>
              <w:rPr>
                <w:rFonts w:ascii="宋体" w:hAnsi="宋体" w:cs="宋体"/>
                <w:kern w:val="0"/>
                <w:szCs w:val="21"/>
              </w:rPr>
            </w:pPr>
          </w:p>
        </w:tc>
        <w:tc>
          <w:tcPr>
            <w:tcW w:w="2233" w:type="dxa"/>
            <w:tcBorders>
              <w:top w:val="single" w:color="auto" w:sz="4" w:space="0"/>
              <w:left w:val="single" w:color="auto" w:sz="8" w:space="0"/>
              <w:bottom w:val="single" w:color="auto" w:sz="4" w:space="0"/>
              <w:right w:val="single" w:color="auto" w:sz="8" w:space="0"/>
            </w:tcBorders>
            <w:vAlign w:val="center"/>
          </w:tcPr>
          <w:p w14:paraId="5C167CF2">
            <w:pPr>
              <w:widowControl/>
              <w:wordWrap w:val="0"/>
              <w:spacing w:line="400" w:lineRule="exact"/>
              <w:jc w:val="left"/>
              <w:rPr>
                <w:rFonts w:ascii="宋体" w:hAnsi="宋体" w:cs="宋体"/>
                <w:kern w:val="0"/>
                <w:szCs w:val="21"/>
              </w:rPr>
            </w:pPr>
            <w:r>
              <w:rPr>
                <w:rFonts w:hint="eastAsia" w:ascii="宋体" w:hAnsi="宋体" w:cs="宋体"/>
                <w:szCs w:val="21"/>
              </w:rPr>
              <w:t>免费的客户服务与增值服务</w:t>
            </w:r>
          </w:p>
        </w:tc>
        <w:tc>
          <w:tcPr>
            <w:tcW w:w="866" w:type="dxa"/>
            <w:tcBorders>
              <w:top w:val="single" w:color="auto" w:sz="8" w:space="0"/>
              <w:left w:val="single" w:color="auto" w:sz="8" w:space="0"/>
              <w:bottom w:val="single" w:color="auto" w:sz="8" w:space="0"/>
              <w:right w:val="single" w:color="auto" w:sz="8" w:space="0"/>
            </w:tcBorders>
            <w:vAlign w:val="center"/>
          </w:tcPr>
          <w:p w14:paraId="44AAE8CA">
            <w:pPr>
              <w:widowControl/>
              <w:wordWrap w:val="0"/>
              <w:spacing w:line="400" w:lineRule="exact"/>
              <w:jc w:val="center"/>
              <w:rPr>
                <w:rFonts w:ascii="宋体" w:hAnsi="宋体" w:cs="宋体"/>
                <w:szCs w:val="21"/>
              </w:rPr>
            </w:pPr>
            <w:r>
              <w:rPr>
                <w:rFonts w:ascii="宋体" w:hAnsi="宋体" w:cs="宋体"/>
                <w:szCs w:val="21"/>
              </w:rPr>
              <w:t>5</w:t>
            </w:r>
            <w:r>
              <w:rPr>
                <w:rFonts w:hint="eastAsia" w:ascii="宋体" w:hAnsi="宋体" w:cs="宋体"/>
                <w:kern w:val="0"/>
                <w:szCs w:val="21"/>
              </w:rPr>
              <w:t>分</w:t>
            </w:r>
          </w:p>
        </w:tc>
        <w:tc>
          <w:tcPr>
            <w:tcW w:w="4682" w:type="dxa"/>
            <w:tcBorders>
              <w:top w:val="single" w:color="auto" w:sz="8" w:space="0"/>
              <w:left w:val="single" w:color="auto" w:sz="8" w:space="0"/>
              <w:bottom w:val="single" w:color="auto" w:sz="8" w:space="0"/>
              <w:right w:val="single" w:color="auto" w:sz="8" w:space="0"/>
            </w:tcBorders>
            <w:vAlign w:val="center"/>
          </w:tcPr>
          <w:p w14:paraId="28938E48">
            <w:pPr>
              <w:wordWrap w:val="0"/>
              <w:spacing w:line="400" w:lineRule="exact"/>
              <w:jc w:val="left"/>
              <w:rPr>
                <w:rFonts w:ascii="宋体" w:hAnsi="宋体" w:cs="宋体"/>
                <w:szCs w:val="21"/>
              </w:rPr>
            </w:pPr>
            <w:r>
              <w:rPr>
                <w:rFonts w:hint="eastAsia" w:ascii="宋体" w:hAnsi="宋体" w:cs="宋体"/>
                <w:kern w:val="0"/>
                <w:szCs w:val="21"/>
              </w:rPr>
              <w:t>①</w:t>
            </w:r>
            <w:r>
              <w:rPr>
                <w:rFonts w:hint="eastAsia" w:ascii="宋体" w:hAnsi="宋体" w:cs="宋体"/>
                <w:szCs w:val="21"/>
              </w:rPr>
              <w:t>能免费提供量身定制的服务和各类增值服务，服务内容丰富</w:t>
            </w:r>
            <w:r>
              <w:rPr>
                <w:rFonts w:hint="eastAsia" w:ascii="宋体" w:hAnsi="宋体" w:cs="宋体"/>
                <w:kern w:val="0"/>
                <w:szCs w:val="21"/>
              </w:rPr>
              <w:t>的得</w:t>
            </w:r>
            <w:r>
              <w:rPr>
                <w:rFonts w:ascii="宋体" w:hAnsi="宋体" w:cs="宋体"/>
                <w:kern w:val="0"/>
                <w:szCs w:val="21"/>
              </w:rPr>
              <w:t>5</w:t>
            </w:r>
            <w:r>
              <w:rPr>
                <w:rFonts w:hint="eastAsia" w:ascii="宋体" w:hAnsi="宋体" w:cs="宋体"/>
                <w:kern w:val="0"/>
                <w:szCs w:val="21"/>
              </w:rPr>
              <w:t>分；</w:t>
            </w:r>
          </w:p>
          <w:p w14:paraId="429E4CA0">
            <w:pPr>
              <w:wordWrap w:val="0"/>
              <w:spacing w:line="400" w:lineRule="exact"/>
              <w:jc w:val="left"/>
              <w:rPr>
                <w:rFonts w:ascii="宋体" w:hAnsi="宋体" w:cs="宋体"/>
                <w:kern w:val="0"/>
                <w:szCs w:val="21"/>
              </w:rPr>
            </w:pPr>
            <w:r>
              <w:rPr>
                <w:rFonts w:hint="eastAsia" w:ascii="宋体" w:hAnsi="宋体" w:cs="宋体"/>
                <w:kern w:val="0"/>
                <w:szCs w:val="21"/>
              </w:rPr>
              <w:t>②</w:t>
            </w:r>
            <w:r>
              <w:rPr>
                <w:rFonts w:hint="eastAsia" w:ascii="宋体" w:hAnsi="宋体" w:cs="宋体"/>
                <w:szCs w:val="21"/>
              </w:rPr>
              <w:t>能免费提供有较强针对性的服务和各类增值服务，服务内容较丰富的得</w:t>
            </w:r>
            <w:r>
              <w:rPr>
                <w:rFonts w:ascii="宋体" w:hAnsi="宋体" w:cs="宋体"/>
                <w:szCs w:val="21"/>
              </w:rPr>
              <w:t>3</w:t>
            </w:r>
            <w:r>
              <w:rPr>
                <w:rFonts w:hint="eastAsia" w:ascii="宋体" w:hAnsi="宋体" w:cs="宋体"/>
                <w:szCs w:val="21"/>
              </w:rPr>
              <w:t>分；</w:t>
            </w:r>
          </w:p>
          <w:p w14:paraId="62CEAEED">
            <w:pPr>
              <w:wordWrap w:val="0"/>
              <w:spacing w:line="400" w:lineRule="exact"/>
              <w:jc w:val="left"/>
              <w:rPr>
                <w:rFonts w:ascii="宋体" w:hAnsi="宋体" w:cs="宋体"/>
                <w:kern w:val="0"/>
                <w:szCs w:val="21"/>
              </w:rPr>
            </w:pPr>
            <w:r>
              <w:rPr>
                <w:rFonts w:hint="eastAsia" w:ascii="宋体" w:hAnsi="宋体" w:cs="宋体"/>
                <w:kern w:val="0"/>
                <w:szCs w:val="21"/>
              </w:rPr>
              <w:t>③</w:t>
            </w:r>
            <w:r>
              <w:rPr>
                <w:rFonts w:hint="eastAsia" w:ascii="宋体" w:hAnsi="宋体" w:cs="宋体"/>
                <w:szCs w:val="21"/>
              </w:rPr>
              <w:t>能免费提供一定的专项服务和增值服务，但服务内容单一</w:t>
            </w:r>
            <w:r>
              <w:rPr>
                <w:rFonts w:hint="eastAsia" w:ascii="宋体" w:hAnsi="宋体" w:cs="宋体"/>
                <w:kern w:val="0"/>
                <w:szCs w:val="21"/>
              </w:rPr>
              <w:t>的得1分；</w:t>
            </w:r>
          </w:p>
          <w:p w14:paraId="50219A02">
            <w:pPr>
              <w:wordWrap w:val="0"/>
              <w:spacing w:line="400" w:lineRule="exact"/>
              <w:jc w:val="left"/>
              <w:rPr>
                <w:rFonts w:ascii="宋体" w:hAnsi="宋体" w:cs="宋体"/>
                <w:kern w:val="0"/>
                <w:szCs w:val="21"/>
              </w:rPr>
            </w:pPr>
            <w:r>
              <w:rPr>
                <w:rFonts w:hint="eastAsia" w:ascii="宋体" w:hAnsi="宋体" w:cs="宋体"/>
                <w:kern w:val="0"/>
                <w:szCs w:val="21"/>
              </w:rPr>
              <w:t>④</w:t>
            </w:r>
            <w:r>
              <w:rPr>
                <w:rFonts w:hint="eastAsia" w:ascii="宋体" w:hAnsi="宋体" w:cs="宋体"/>
                <w:szCs w:val="21"/>
              </w:rPr>
              <w:t>不能免费提供专项服务和增值服务的得0分。</w:t>
            </w:r>
          </w:p>
        </w:tc>
      </w:tr>
      <w:tr w14:paraId="577DFE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8" w:hRule="atLeast"/>
          <w:jc w:val="center"/>
        </w:trPr>
        <w:tc>
          <w:tcPr>
            <w:tcW w:w="9174" w:type="dxa"/>
            <w:gridSpan w:val="4"/>
            <w:tcBorders>
              <w:top w:val="single" w:color="auto" w:sz="8" w:space="0"/>
              <w:left w:val="single" w:color="auto" w:sz="8" w:space="0"/>
              <w:bottom w:val="single" w:color="auto" w:sz="8" w:space="0"/>
              <w:right w:val="single" w:color="auto" w:sz="8" w:space="0"/>
            </w:tcBorders>
            <w:vAlign w:val="center"/>
          </w:tcPr>
          <w:p w14:paraId="42F4E467">
            <w:pPr>
              <w:wordWrap w:val="0"/>
              <w:spacing w:line="400" w:lineRule="exact"/>
              <w:jc w:val="left"/>
              <w:rPr>
                <w:rFonts w:ascii="宋体" w:hAnsi="宋体" w:cs="宋体"/>
                <w:kern w:val="0"/>
                <w:szCs w:val="21"/>
              </w:rPr>
            </w:pPr>
            <w:r>
              <w:rPr>
                <w:rFonts w:hint="eastAsia" w:ascii="宋体" w:hAnsi="宋体"/>
                <w:b/>
                <w:color w:val="000000"/>
                <w:szCs w:val="21"/>
              </w:rPr>
              <w:t>综合得分=价格分+商务分+技术方案分</w:t>
            </w:r>
          </w:p>
        </w:tc>
      </w:tr>
    </w:tbl>
    <w:p w14:paraId="3449B2BB">
      <w:pPr>
        <w:pStyle w:val="57"/>
        <w:widowControl w:val="0"/>
        <w:shd w:val="clear" w:color="auto" w:fill="auto"/>
        <w:wordWrap/>
        <w:adjustRightInd/>
        <w:snapToGrid/>
        <w:spacing w:before="0" w:line="360" w:lineRule="auto"/>
        <w:ind w:firstLine="442"/>
        <w:textAlignment w:val="auto"/>
        <w:rPr>
          <w:rFonts w:hint="eastAsia" w:ascii="宋体" w:hAnsi="宋体" w:eastAsia="宋体" w:cs="宋体"/>
          <w:b w:val="0"/>
          <w:color w:val="auto"/>
          <w:kern w:val="2"/>
          <w:sz w:val="24"/>
          <w:szCs w:val="24"/>
          <w:highlight w:val="none"/>
          <w:lang w:bidi="zh-CN"/>
        </w:rPr>
      </w:pPr>
    </w:p>
    <w:p w14:paraId="7476C349">
      <w:pPr>
        <w:pStyle w:val="57"/>
        <w:widowControl w:val="0"/>
        <w:shd w:val="clear" w:color="auto" w:fill="auto"/>
        <w:wordWrap/>
        <w:adjustRightInd/>
        <w:snapToGrid/>
        <w:spacing w:before="0" w:line="360" w:lineRule="auto"/>
        <w:ind w:firstLine="442"/>
        <w:textAlignment w:val="auto"/>
        <w:rPr>
          <w:rFonts w:hint="eastAsia" w:ascii="宋体" w:hAnsi="宋体" w:eastAsia="宋体" w:cs="宋体"/>
          <w:b w:val="0"/>
          <w:color w:val="auto"/>
          <w:kern w:val="2"/>
          <w:sz w:val="24"/>
          <w:szCs w:val="24"/>
          <w:highlight w:val="none"/>
          <w:lang w:bidi="zh-CN"/>
        </w:rPr>
      </w:pPr>
      <w:r>
        <w:rPr>
          <w:rFonts w:hint="eastAsia" w:ascii="宋体" w:hAnsi="宋体" w:eastAsia="宋体" w:cs="宋体"/>
          <w:b w:val="0"/>
          <w:color w:val="auto"/>
          <w:kern w:val="2"/>
          <w:sz w:val="24"/>
          <w:szCs w:val="24"/>
          <w:highlight w:val="none"/>
          <w:lang w:bidi="zh-CN"/>
        </w:rPr>
        <w:t>注：</w:t>
      </w:r>
      <w:r>
        <w:rPr>
          <w:rFonts w:hint="eastAsia" w:ascii="宋体" w:hAnsi="宋体" w:eastAsia="宋体" w:cs="宋体"/>
          <w:b w:val="0"/>
          <w:color w:val="auto"/>
          <w:kern w:val="2"/>
          <w:sz w:val="24"/>
          <w:szCs w:val="24"/>
          <w:highlight w:val="none"/>
          <w:lang w:val="en-US" w:eastAsia="zh-CN" w:bidi="zh-CN"/>
        </w:rPr>
        <w:t>1、</w:t>
      </w:r>
      <w:r>
        <w:rPr>
          <w:rFonts w:hint="eastAsia" w:ascii="宋体" w:hAnsi="宋体" w:eastAsia="宋体" w:cs="宋体"/>
          <w:b w:val="0"/>
          <w:color w:val="auto"/>
          <w:kern w:val="2"/>
          <w:sz w:val="24"/>
          <w:szCs w:val="24"/>
          <w:highlight w:val="none"/>
          <w:lang w:bidi="zh-CN"/>
        </w:rPr>
        <w:t>投标人的投标资料如有造假，将取消其中标资格并列入我公司采购黑名单。</w:t>
      </w:r>
    </w:p>
    <w:p w14:paraId="1006F270">
      <w:pPr>
        <w:pStyle w:val="57"/>
        <w:widowControl w:val="0"/>
        <w:shd w:val="clear" w:color="auto" w:fill="auto"/>
        <w:wordWrap/>
        <w:adjustRightInd/>
        <w:snapToGrid/>
        <w:spacing w:before="0" w:line="360" w:lineRule="auto"/>
        <w:ind w:firstLine="442"/>
        <w:textAlignment w:val="auto"/>
        <w:rPr>
          <w:rFonts w:hint="eastAsia" w:ascii="宋体" w:hAnsi="宋体" w:eastAsia="宋体" w:cs="宋体"/>
          <w:b w:val="0"/>
          <w:color w:val="auto"/>
          <w:kern w:val="2"/>
          <w:sz w:val="24"/>
          <w:szCs w:val="24"/>
          <w:highlight w:val="none"/>
          <w:lang w:bidi="zh-CN"/>
        </w:rPr>
      </w:pPr>
      <w:r>
        <w:rPr>
          <w:rFonts w:hint="eastAsia" w:ascii="宋体" w:hAnsi="宋体" w:eastAsia="宋体" w:cs="宋体"/>
          <w:b w:val="0"/>
          <w:color w:val="auto"/>
          <w:kern w:val="2"/>
          <w:sz w:val="24"/>
          <w:szCs w:val="24"/>
          <w:highlight w:val="none"/>
          <w:lang w:bidi="zh-CN"/>
        </w:rPr>
        <w:t>2、本备注适用于评分细则：评分细则中要求的相关证明材料</w:t>
      </w:r>
      <w:r>
        <w:rPr>
          <w:rFonts w:hint="eastAsia" w:ascii="宋体" w:hAnsi="宋体" w:eastAsia="宋体" w:cs="宋体"/>
          <w:b w:val="0"/>
          <w:color w:val="auto"/>
          <w:kern w:val="2"/>
          <w:sz w:val="24"/>
          <w:szCs w:val="24"/>
          <w:highlight w:val="none"/>
          <w:lang w:eastAsia="zh-CN" w:bidi="zh-CN"/>
        </w:rPr>
        <w:t>的</w:t>
      </w:r>
      <w:r>
        <w:rPr>
          <w:rFonts w:hint="eastAsia" w:ascii="宋体" w:hAnsi="宋体" w:eastAsia="宋体" w:cs="宋体"/>
          <w:b w:val="0"/>
          <w:color w:val="auto"/>
          <w:kern w:val="2"/>
          <w:sz w:val="24"/>
          <w:szCs w:val="24"/>
          <w:highlight w:val="none"/>
          <w:lang w:bidi="zh-CN"/>
        </w:rPr>
        <w:t>复印件须装订入投标文件中</w:t>
      </w:r>
      <w:r>
        <w:rPr>
          <w:rFonts w:hint="eastAsia" w:ascii="宋体" w:hAnsi="宋体" w:eastAsia="宋体" w:cs="宋体"/>
          <w:b w:val="0"/>
          <w:color w:val="auto"/>
          <w:kern w:val="2"/>
          <w:sz w:val="24"/>
          <w:szCs w:val="24"/>
          <w:highlight w:val="none"/>
          <w:lang w:eastAsia="zh-CN" w:bidi="zh-CN"/>
        </w:rPr>
        <w:t>，</w:t>
      </w:r>
      <w:r>
        <w:rPr>
          <w:rFonts w:hint="eastAsia" w:ascii="宋体" w:hAnsi="宋体" w:eastAsia="宋体" w:cs="宋体"/>
          <w:b w:val="0"/>
          <w:color w:val="auto"/>
          <w:kern w:val="2"/>
          <w:sz w:val="24"/>
          <w:szCs w:val="24"/>
          <w:highlight w:val="none"/>
          <w:lang w:bidi="zh-CN"/>
        </w:rPr>
        <w:t>开标结束后，将会对中标候选人的证书原件进行核查，若复印件存在伪造欺瞒行为，将取消其中标资格。</w:t>
      </w:r>
    </w:p>
    <w:p w14:paraId="444CCC36">
      <w:pPr>
        <w:rPr>
          <w:color w:val="auto"/>
          <w:highlight w:val="none"/>
        </w:rPr>
      </w:pPr>
      <w:r>
        <w:rPr>
          <w:color w:val="auto"/>
          <w:highlight w:val="none"/>
        </w:rPr>
        <w:br w:type="page"/>
      </w:r>
    </w:p>
    <w:p w14:paraId="4A3EBB71">
      <w:pPr>
        <w:pStyle w:val="44"/>
        <w:spacing w:after="312"/>
        <w:rPr>
          <w:rFonts w:hint="default"/>
          <w:color w:val="auto"/>
          <w:highlight w:val="none"/>
        </w:rPr>
      </w:pPr>
      <w:r>
        <w:rPr>
          <w:color w:val="auto"/>
          <w:highlight w:val="none"/>
        </w:rPr>
        <w:t>第四章  响应文件格式</w:t>
      </w:r>
    </w:p>
    <w:p w14:paraId="6864B1B1">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（响应文件外层包装封面格式 ）</w:t>
      </w:r>
    </w:p>
    <w:p w14:paraId="7F33812F">
      <w:pPr>
        <w:rPr>
          <w:rFonts w:ascii="宋体" w:hAnsi="宋体" w:eastAsia="宋体" w:cs="宋体"/>
          <w:b/>
          <w:bCs/>
          <w:color w:val="auto"/>
          <w:sz w:val="32"/>
          <w:szCs w:val="32"/>
          <w:highlight w:val="none"/>
        </w:rPr>
      </w:pPr>
    </w:p>
    <w:p w14:paraId="682D6D72">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响应文件</w:t>
      </w:r>
    </w:p>
    <w:p w14:paraId="37AE31CA">
      <w:pPr>
        <w:rPr>
          <w:rFonts w:ascii="宋体" w:hAnsi="宋体" w:eastAsia="宋体" w:cs="宋体"/>
          <w:color w:val="auto"/>
          <w:sz w:val="32"/>
          <w:szCs w:val="32"/>
          <w:highlight w:val="none"/>
        </w:rPr>
      </w:pPr>
    </w:p>
    <w:p w14:paraId="39EFF897">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3C5C8302">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315E9326">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所竞分标：</w:t>
      </w:r>
    </w:p>
    <w:p w14:paraId="52614031">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服务商名称：</w:t>
      </w:r>
    </w:p>
    <w:p w14:paraId="7DC4416A">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u w:val="single"/>
        </w:rPr>
        <w:t xml:space="preserve">    年  月  日  时  分（北京时间）</w:t>
      </w:r>
      <w:r>
        <w:rPr>
          <w:rFonts w:hint="eastAsia" w:ascii="宋体" w:hAnsi="宋体" w:eastAsia="宋体" w:cs="宋体"/>
          <w:color w:val="auto"/>
          <w:sz w:val="30"/>
          <w:szCs w:val="30"/>
          <w:highlight w:val="none"/>
        </w:rPr>
        <w:t>前不得启封</w:t>
      </w:r>
    </w:p>
    <w:p w14:paraId="3567EA21">
      <w:pPr>
        <w:ind w:firstLine="1500" w:firstLineChars="50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1DB88E80">
      <w:pPr>
        <w:pStyle w:val="8"/>
        <w:rPr>
          <w:rFonts w:ascii="宋体" w:hAnsi="宋体" w:eastAsia="宋体" w:cs="宋体"/>
          <w:color w:val="auto"/>
          <w:sz w:val="30"/>
          <w:szCs w:val="30"/>
          <w:highlight w:val="none"/>
        </w:rPr>
      </w:pPr>
    </w:p>
    <w:p w14:paraId="4D519534">
      <w:pPr>
        <w:rPr>
          <w:rFonts w:ascii="宋体" w:hAnsi="宋体" w:eastAsia="宋体" w:cs="宋体"/>
          <w:color w:val="auto"/>
          <w:sz w:val="30"/>
          <w:szCs w:val="30"/>
          <w:highlight w:val="none"/>
        </w:rPr>
      </w:pPr>
    </w:p>
    <w:p w14:paraId="4D8CB9A0">
      <w:pPr>
        <w:pStyle w:val="8"/>
        <w:rPr>
          <w:rFonts w:ascii="宋体" w:hAnsi="宋体" w:eastAsia="宋体" w:cs="宋体"/>
          <w:color w:val="auto"/>
          <w:sz w:val="30"/>
          <w:szCs w:val="30"/>
          <w:highlight w:val="none"/>
        </w:rPr>
      </w:pPr>
    </w:p>
    <w:p w14:paraId="159F60B1">
      <w:pPr>
        <w:rPr>
          <w:rFonts w:ascii="宋体" w:hAnsi="宋体" w:eastAsia="宋体" w:cs="宋体"/>
          <w:color w:val="auto"/>
          <w:sz w:val="30"/>
          <w:szCs w:val="30"/>
          <w:highlight w:val="none"/>
        </w:rPr>
      </w:pPr>
    </w:p>
    <w:p w14:paraId="419AC7F2">
      <w:pPr>
        <w:pStyle w:val="8"/>
        <w:rPr>
          <w:color w:val="auto"/>
          <w:highlight w:val="none"/>
        </w:rPr>
      </w:pPr>
    </w:p>
    <w:p w14:paraId="1B8A500C">
      <w:pPr>
        <w:rPr>
          <w:color w:val="auto"/>
          <w:highlight w:val="none"/>
        </w:rPr>
      </w:pPr>
    </w:p>
    <w:p w14:paraId="4A15423F">
      <w:pPr>
        <w:rPr>
          <w:rFonts w:ascii="宋体" w:hAnsi="宋体" w:eastAsia="宋体" w:cs="宋体"/>
          <w:color w:val="auto"/>
          <w:sz w:val="32"/>
          <w:szCs w:val="32"/>
          <w:highlight w:val="none"/>
        </w:rPr>
      </w:pPr>
      <w:bookmarkStart w:id="5" w:name="_Toc31728084"/>
      <w:bookmarkStart w:id="6" w:name="_Toc31723070"/>
      <w:bookmarkStart w:id="7" w:name="_Toc35611516"/>
      <w:bookmarkStart w:id="8" w:name="_Toc30694"/>
      <w:bookmarkStart w:id="9" w:name="_Toc35611438"/>
      <w:bookmarkStart w:id="10" w:name="_Toc44229899"/>
      <w:r>
        <w:rPr>
          <w:rFonts w:hint="eastAsia" w:ascii="宋体" w:hAnsi="宋体" w:eastAsia="宋体" w:cs="宋体"/>
          <w:color w:val="auto"/>
          <w:sz w:val="32"/>
          <w:szCs w:val="32"/>
          <w:highlight w:val="none"/>
        </w:rPr>
        <w:br w:type="page"/>
      </w:r>
    </w:p>
    <w:p w14:paraId="5314710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一、资格证明文件格式</w:t>
      </w:r>
      <w:bookmarkEnd w:id="5"/>
      <w:bookmarkEnd w:id="6"/>
      <w:bookmarkEnd w:id="7"/>
      <w:bookmarkEnd w:id="8"/>
      <w:bookmarkEnd w:id="9"/>
      <w:bookmarkEnd w:id="10"/>
    </w:p>
    <w:p w14:paraId="142BC410">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.资格证明文件封面格式</w:t>
      </w:r>
    </w:p>
    <w:p w14:paraId="7D6525AD">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45C8D797">
      <w:pPr>
        <w:pStyle w:val="8"/>
        <w:rPr>
          <w:rFonts w:ascii="宋体" w:hAnsi="宋体" w:eastAsia="宋体" w:cs="宋体"/>
          <w:color w:val="auto"/>
          <w:sz w:val="32"/>
          <w:szCs w:val="32"/>
          <w:highlight w:val="none"/>
        </w:rPr>
      </w:pPr>
    </w:p>
    <w:p w14:paraId="63301024">
      <w:pPr>
        <w:rPr>
          <w:color w:val="auto"/>
          <w:highlight w:val="none"/>
        </w:rPr>
      </w:pPr>
    </w:p>
    <w:p w14:paraId="04F632AD">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2985D2BB">
      <w:pPr>
        <w:snapToGrid w:val="0"/>
        <w:spacing w:before="156" w:beforeLines="50" w:after="50" w:line="360" w:lineRule="auto"/>
        <w:rPr>
          <w:rFonts w:ascii="宋体" w:hAnsi="宋体" w:eastAsia="宋体" w:cs="宋体"/>
          <w:bCs/>
          <w:color w:val="auto"/>
          <w:sz w:val="32"/>
          <w:szCs w:val="32"/>
          <w:highlight w:val="none"/>
        </w:rPr>
      </w:pPr>
    </w:p>
    <w:p w14:paraId="1121A1EE">
      <w:pPr>
        <w:snapToGrid w:val="0"/>
        <w:spacing w:before="156" w:beforeLines="50" w:after="50" w:line="360" w:lineRule="auto"/>
        <w:rPr>
          <w:rFonts w:ascii="宋体" w:hAnsi="宋体" w:eastAsia="宋体" w:cs="宋体"/>
          <w:bCs/>
          <w:color w:val="auto"/>
          <w:sz w:val="32"/>
          <w:szCs w:val="32"/>
          <w:highlight w:val="none"/>
        </w:rPr>
      </w:pPr>
    </w:p>
    <w:p w14:paraId="358CF7BA">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4E91280">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0131E5B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4228570A">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6EB1F680">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411A8931">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3C91A96">
      <w:pPr>
        <w:pStyle w:val="8"/>
        <w:rPr>
          <w:rFonts w:ascii="宋体" w:hAnsi="宋体" w:eastAsia="宋体" w:cs="宋体"/>
          <w:color w:val="auto"/>
          <w:sz w:val="32"/>
          <w:szCs w:val="32"/>
          <w:highlight w:val="none"/>
        </w:rPr>
      </w:pPr>
    </w:p>
    <w:p w14:paraId="52D17F3C">
      <w:pPr>
        <w:rPr>
          <w:rFonts w:ascii="宋体" w:hAnsi="宋体" w:eastAsia="宋体" w:cs="宋体"/>
          <w:color w:val="auto"/>
          <w:sz w:val="32"/>
          <w:szCs w:val="32"/>
          <w:highlight w:val="none"/>
        </w:rPr>
      </w:pPr>
    </w:p>
    <w:p w14:paraId="1BB7357D">
      <w:pPr>
        <w:pStyle w:val="8"/>
        <w:rPr>
          <w:rFonts w:ascii="宋体" w:hAnsi="宋体" w:eastAsia="宋体" w:cs="宋体"/>
          <w:color w:val="auto"/>
          <w:sz w:val="32"/>
          <w:szCs w:val="32"/>
          <w:highlight w:val="none"/>
        </w:rPr>
      </w:pPr>
    </w:p>
    <w:p w14:paraId="1A0952CE">
      <w:pPr>
        <w:rPr>
          <w:rFonts w:ascii="宋体" w:hAnsi="宋体" w:eastAsia="宋体" w:cs="宋体"/>
          <w:color w:val="auto"/>
          <w:sz w:val="32"/>
          <w:szCs w:val="32"/>
          <w:highlight w:val="none"/>
        </w:rPr>
      </w:pPr>
    </w:p>
    <w:p w14:paraId="4529C469">
      <w:pPr>
        <w:pStyle w:val="8"/>
        <w:rPr>
          <w:rFonts w:ascii="宋体" w:hAnsi="宋体" w:eastAsia="宋体" w:cs="宋体"/>
          <w:color w:val="auto"/>
          <w:sz w:val="32"/>
          <w:szCs w:val="32"/>
          <w:highlight w:val="none"/>
        </w:rPr>
      </w:pPr>
    </w:p>
    <w:p w14:paraId="009E0F69">
      <w:pPr>
        <w:rPr>
          <w:color w:val="auto"/>
          <w:highlight w:val="none"/>
        </w:rPr>
      </w:pPr>
    </w:p>
    <w:p w14:paraId="368BC3EE">
      <w:pPr>
        <w:rPr>
          <w:color w:val="auto"/>
          <w:highlight w:val="none"/>
        </w:rPr>
      </w:pPr>
    </w:p>
    <w:p w14:paraId="12145177">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.资格证明文件目录</w:t>
      </w:r>
    </w:p>
    <w:p w14:paraId="72B3B57C">
      <w:pPr>
        <w:spacing w:line="360" w:lineRule="auto"/>
        <w:rPr>
          <w:color w:val="auto"/>
          <w:highlight w:val="none"/>
        </w:rPr>
      </w:pPr>
      <w:r>
        <w:rPr>
          <w:rFonts w:hint="eastAsia" w:ascii="宋体" w:hAnsi="宋体" w:eastAsia="宋体" w:cs="宋体"/>
          <w:color w:val="auto"/>
          <w:sz w:val="32"/>
          <w:szCs w:val="32"/>
          <w:highlight w:val="none"/>
        </w:rPr>
        <w:t>根据采购文件规定及服务商提供的材料自行编写目录（部分格式后附）</w:t>
      </w:r>
      <w:r>
        <w:rPr>
          <w:rFonts w:hint="eastAsia"/>
          <w:color w:val="auto"/>
          <w:highlight w:val="none"/>
        </w:rPr>
        <w:t>。</w:t>
      </w:r>
    </w:p>
    <w:p w14:paraId="6A66C72F">
      <w:pPr>
        <w:jc w:val="center"/>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b/>
          <w:bCs/>
          <w:color w:val="auto"/>
          <w:sz w:val="32"/>
          <w:szCs w:val="32"/>
          <w:highlight w:val="none"/>
        </w:rPr>
        <w:t>资格证明</w:t>
      </w:r>
    </w:p>
    <w:p w14:paraId="2D091EA1">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（如营业执照、事业单位法人证书、资质证书等）</w:t>
      </w:r>
    </w:p>
    <w:p w14:paraId="67DE7AE8">
      <w:pPr>
        <w:rPr>
          <w:rFonts w:ascii="宋体" w:hAnsi="宋体" w:eastAsia="宋体" w:cs="宋体"/>
          <w:color w:val="auto"/>
          <w:sz w:val="32"/>
          <w:szCs w:val="32"/>
          <w:highlight w:val="none"/>
        </w:rPr>
      </w:pPr>
    </w:p>
    <w:p w14:paraId="23BBE723">
      <w:pPr>
        <w:rPr>
          <w:rFonts w:ascii="宋体" w:hAnsi="宋体" w:eastAsia="宋体" w:cs="宋体"/>
          <w:color w:val="auto"/>
          <w:sz w:val="32"/>
          <w:szCs w:val="32"/>
          <w:highlight w:val="none"/>
        </w:rPr>
      </w:pPr>
    </w:p>
    <w:p w14:paraId="013512A4">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EDA4E24">
      <w:pPr>
        <w:spacing w:line="240" w:lineRule="atLeas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竞标声明</w:t>
      </w:r>
    </w:p>
    <w:p w14:paraId="6D0FB9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致：</w:t>
      </w:r>
      <w:r>
        <w:rPr>
          <w:rFonts w:hint="eastAsia" w:ascii="宋体" w:hAnsi="宋体" w:eastAsia="宋体" w:cs="宋体"/>
          <w:color w:val="auto"/>
          <w:sz w:val="24"/>
          <w:szCs w:val="24"/>
          <w:highlight w:val="none"/>
          <w:u w:val="single"/>
          <w:lang w:bidi="zh-CN"/>
        </w:rPr>
        <w:t xml:space="preserve">  （采购人）  </w:t>
      </w:r>
    </w:p>
    <w:p w14:paraId="12494A60">
      <w:pPr>
        <w:spacing w:line="240" w:lineRule="atLeast"/>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u w:val="single"/>
          <w:lang w:bidi="zh-CN"/>
        </w:rPr>
        <w:t xml:space="preserve">  （服务商名称） </w:t>
      </w:r>
      <w:r>
        <w:rPr>
          <w:rFonts w:hint="eastAsia" w:ascii="宋体" w:hAnsi="宋体" w:eastAsia="宋体" w:cs="宋体"/>
          <w:color w:val="auto"/>
          <w:sz w:val="24"/>
          <w:szCs w:val="24"/>
          <w:highlight w:val="none"/>
          <w:lang w:bidi="zh-CN"/>
        </w:rPr>
        <w:t>系中华人民共和国合法服务商，经营地址：</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w:t>
      </w:r>
    </w:p>
    <w:p w14:paraId="150A443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我方愿意参加贵方组织的</w:t>
      </w:r>
      <w:r>
        <w:rPr>
          <w:rFonts w:hint="eastAsia" w:ascii="宋体" w:hAnsi="宋体" w:eastAsia="宋体" w:cs="宋体"/>
          <w:color w:val="auto"/>
          <w:sz w:val="24"/>
          <w:szCs w:val="24"/>
          <w:highlight w:val="none"/>
          <w:u w:val="single"/>
          <w:lang w:bidi="zh-CN"/>
        </w:rPr>
        <w:t xml:space="preserve">  （项目名称）   </w:t>
      </w:r>
      <w:r>
        <w:rPr>
          <w:rFonts w:hint="eastAsia" w:ascii="宋体" w:hAnsi="宋体" w:eastAsia="宋体" w:cs="宋体"/>
          <w:color w:val="auto"/>
          <w:sz w:val="24"/>
          <w:szCs w:val="24"/>
          <w:highlight w:val="none"/>
          <w:lang w:bidi="zh-CN"/>
        </w:rPr>
        <w:t>项目的竞标，为便于贵方公正、择优地确定成交服务商及其竞标产品和服务，我方就本次竞标有关事项郑重声明如下：</w:t>
      </w:r>
    </w:p>
    <w:p w14:paraId="019640B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.我方向贵方提交的所有响应文件、资料都是准确的和真实的。</w:t>
      </w:r>
    </w:p>
    <w:p w14:paraId="011B1EC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.在此，我方宣布同意如下：</w:t>
      </w:r>
    </w:p>
    <w:p w14:paraId="2BE8C1DF">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）将按采购文件的约定履行合同责任和义务；</w:t>
      </w:r>
    </w:p>
    <w:p w14:paraId="7028E2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）已详细审查全部采购文件，包括询价文件、澄清或者更正公告（如有）等；</w:t>
      </w:r>
    </w:p>
    <w:p w14:paraId="4D74738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）同意提供按照贵方可能要求的与采购有关的一切数据或者资料；</w:t>
      </w:r>
    </w:p>
    <w:p w14:paraId="4F42A301">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）响应采购文件规定的竞标有效期。</w:t>
      </w:r>
    </w:p>
    <w:p w14:paraId="464A202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.我方承诺</w:t>
      </w:r>
      <w:r>
        <w:rPr>
          <w:rFonts w:ascii="宋体" w:hAnsi="宋体" w:eastAsia="宋体" w:cs="宋体"/>
          <w:color w:val="auto"/>
          <w:sz w:val="24"/>
          <w:szCs w:val="24"/>
          <w:highlight w:val="none"/>
        </w:rPr>
        <w:t>就采购文件的实际性要求进行响应</w:t>
      </w:r>
      <w:r>
        <w:rPr>
          <w:rFonts w:hint="eastAsia" w:ascii="宋体" w:hAnsi="宋体" w:eastAsia="宋体" w:cs="宋体"/>
          <w:color w:val="auto"/>
          <w:sz w:val="24"/>
          <w:szCs w:val="24"/>
          <w:highlight w:val="none"/>
          <w:lang w:bidi="zh-CN"/>
        </w:rPr>
        <w:t>：</w:t>
      </w:r>
    </w:p>
    <w:p w14:paraId="4EE8056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）服务商有效的企业营业执照副本复印件或事业单位法人（或负责人）证书副本复印件；</w:t>
      </w:r>
    </w:p>
    <w:p w14:paraId="7EA1B77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）法定代表人身份证明书及身份证复印件；</w:t>
      </w:r>
    </w:p>
    <w:p w14:paraId="114F3AE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）法定代表人授权委托书和委托代理人身份证复印件（委托代理时提供，格式见后）；</w:t>
      </w:r>
    </w:p>
    <w:p w14:paraId="792B5E9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）服务商参加采购活动前</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年内在经营活动中没有重大违法记录的书面声明；</w:t>
      </w:r>
    </w:p>
    <w:p w14:paraId="140CB6D9">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（5）拟投入本项目的项目负责人有效的执业资格证书复印件及工程师及以上职称证书复印件；</w:t>
      </w:r>
    </w:p>
    <w:p w14:paraId="6D8DE43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hint="eastAsia"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）其他材料：服务商认为有必要提供的声明及证明材料</w:t>
      </w:r>
    </w:p>
    <w:p w14:paraId="3FF929A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0F675A3C">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.我方就对本次响应文件进行注明如下：（两项内容中必须选择一项）</w:t>
      </w:r>
    </w:p>
    <w:p w14:paraId="7E65171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我方本次响应文件内容中未涉及商业秘密；</w:t>
      </w:r>
    </w:p>
    <w:p w14:paraId="47FF1FC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我方本次响应文件涉及商业秘密的内容有：</w:t>
      </w:r>
      <w:r>
        <w:rPr>
          <w:rFonts w:hint="eastAsia" w:ascii="宋体" w:hAnsi="宋体" w:eastAsia="宋体" w:cs="宋体"/>
          <w:color w:val="auto"/>
          <w:sz w:val="24"/>
          <w:szCs w:val="24"/>
          <w:highlight w:val="none"/>
          <w:u w:val="single"/>
          <w:lang w:bidi="zh-CN"/>
        </w:rPr>
        <w:t xml:space="preserve">                         。</w:t>
      </w:r>
    </w:p>
    <w:p w14:paraId="3C2458E9">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.与本采购有关的一切正式往来信函请寄：</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邮政编号：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6C07587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电话/传真：</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电子函件：</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717AE5A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开户银行：</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账号：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43272DAD">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.以上事项如有虚假或者隐瞒，我方愿意承担一切后果，并不再寻求任何旨在减轻或者免除法律责任的辩解。</w:t>
      </w:r>
    </w:p>
    <w:p w14:paraId="7FE46976">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特此承诺。</w:t>
      </w:r>
    </w:p>
    <w:p w14:paraId="57CBA41C">
      <w:pPr>
        <w:spacing w:line="240" w:lineRule="atLeast"/>
        <w:ind w:left="4830" w:leftChars="2300" w:firstLine="480" w:firstLineChars="200"/>
        <w:rPr>
          <w:rFonts w:ascii="宋体" w:hAnsi="宋体" w:eastAsia="宋体" w:cs="宋体"/>
          <w:color w:val="auto"/>
          <w:sz w:val="24"/>
          <w:szCs w:val="24"/>
          <w:highlight w:val="none"/>
          <w:lang w:bidi="zh-CN"/>
        </w:rPr>
      </w:pPr>
    </w:p>
    <w:p w14:paraId="579A003F">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法定代表人（签字）：   </w:t>
      </w:r>
    </w:p>
    <w:p w14:paraId="1776184F">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服务商（盖公章）：                                 </w:t>
      </w:r>
    </w:p>
    <w:p w14:paraId="015D606D">
      <w:pPr>
        <w:spacing w:line="240" w:lineRule="atLeast"/>
        <w:ind w:firstLine="480" w:firstLineChars="200"/>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zh-CN"/>
        </w:rPr>
        <w:t xml:space="preserve">                                                   年    月    日</w:t>
      </w:r>
    </w:p>
    <w:p w14:paraId="3D8D1578">
      <w:pPr>
        <w:spacing w:line="240" w:lineRule="atLeas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043D414">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73469227">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服务商名称：</w:t>
      </w:r>
      <w:r>
        <w:rPr>
          <w:rFonts w:hint="eastAsia" w:ascii="宋体" w:hAnsi="宋体" w:eastAsia="宋体" w:cs="宋体"/>
          <w:color w:val="auto"/>
          <w:sz w:val="28"/>
          <w:szCs w:val="28"/>
          <w:highlight w:val="none"/>
          <w:u w:val="single"/>
        </w:rPr>
        <w:t xml:space="preserve">                                               </w:t>
      </w:r>
    </w:p>
    <w:p w14:paraId="536A124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26977915">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5B80464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343F7D6">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（服务商名称）的法定代表人。</w:t>
      </w:r>
    </w:p>
    <w:p w14:paraId="13B5C38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78B864D1">
      <w:pPr>
        <w:spacing w:line="360" w:lineRule="auto"/>
        <w:ind w:firstLine="560" w:firstLineChars="200"/>
        <w:rPr>
          <w:rFonts w:ascii="宋体" w:hAnsi="宋体" w:eastAsia="宋体" w:cs="宋体"/>
          <w:color w:val="auto"/>
          <w:sz w:val="28"/>
          <w:szCs w:val="28"/>
          <w:highlight w:val="none"/>
        </w:rPr>
      </w:pPr>
    </w:p>
    <w:p w14:paraId="657FA5A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附件：法定代表人有效身份证正反面复印件</w:t>
      </w:r>
    </w:p>
    <w:p w14:paraId="0D87D0CE">
      <w:pPr>
        <w:pStyle w:val="5"/>
        <w:rPr>
          <w:color w:val="auto"/>
          <w:szCs w:val="28"/>
          <w:highlight w:val="none"/>
        </w:rPr>
      </w:pPr>
    </w:p>
    <w:p w14:paraId="0D450C82">
      <w:pPr>
        <w:pStyle w:val="2"/>
        <w:numPr>
          <w:ilvl w:val="0"/>
          <w:numId w:val="0"/>
        </w:numPr>
        <w:jc w:val="both"/>
        <w:rPr>
          <w:color w:val="auto"/>
          <w:highlight w:val="none"/>
        </w:rPr>
      </w:pPr>
    </w:p>
    <w:p w14:paraId="0865470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2A16136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14E8D8E2">
      <w:pPr>
        <w:pStyle w:val="5"/>
        <w:rPr>
          <w:color w:val="auto"/>
          <w:highlight w:val="none"/>
        </w:rPr>
      </w:pPr>
    </w:p>
    <w:p w14:paraId="3BF5500F">
      <w:pPr>
        <w:pStyle w:val="5"/>
        <w:rPr>
          <w:color w:val="auto"/>
          <w:highlight w:val="none"/>
        </w:rPr>
      </w:pPr>
    </w:p>
    <w:p w14:paraId="23F35A8C">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ascii="Times New Roman" w:hAnsi="Times New Roman" w:eastAsia="宋体" w:cs="Times New Roman"/>
          <w:color w:val="auto"/>
          <w:sz w:val="24"/>
          <w:szCs w:val="24"/>
          <w:highlight w:val="none"/>
        </w:rPr>
        <w:t>1</w:t>
      </w:r>
      <w:r>
        <w:rPr>
          <w:rFonts w:hint="eastAsia" w:ascii="宋体" w:hAnsi="宋体" w:eastAsia="宋体" w:cs="宋体"/>
          <w:color w:val="auto"/>
          <w:sz w:val="24"/>
          <w:szCs w:val="24"/>
          <w:highlight w:val="none"/>
        </w:rPr>
        <w:t>.自然人竞标的无需提供，联合体竞标的只需牵头人出具。</w:t>
      </w:r>
    </w:p>
    <w:p w14:paraId="55A6CD63">
      <w:pPr>
        <w:spacing w:line="360" w:lineRule="auto"/>
        <w:ind w:firstLine="480" w:firstLineChars="200"/>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w:t>
      </w:r>
      <w:r>
        <w:rPr>
          <w:rFonts w:hint="eastAsia" w:ascii="宋体" w:hAnsi="宋体" w:eastAsia="宋体" w:cs="宋体"/>
          <w:color w:val="auto"/>
          <w:sz w:val="24"/>
          <w:szCs w:val="24"/>
          <w:highlight w:val="none"/>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5F13670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4B40E5C">
      <w:pPr>
        <w:spacing w:after="312" w:afterLines="100"/>
        <w:jc w:val="center"/>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法定代表人授权委托书</w:t>
      </w:r>
      <w:r>
        <w:rPr>
          <w:rFonts w:hint="eastAsia" w:ascii="宋体" w:hAnsi="宋体" w:eastAsia="宋体" w:cs="宋体"/>
          <w:color w:val="auto"/>
          <w:sz w:val="32"/>
          <w:szCs w:val="32"/>
          <w:highlight w:val="none"/>
        </w:rPr>
        <w:t>（如有委托时）</w:t>
      </w:r>
    </w:p>
    <w:p w14:paraId="44E8B57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43A9711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（服务商名称）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rPr>
        <w:t>法定代表人/□负责人/□自然人本人）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以我方的名义参加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项目的竞标活动，并代表我方全权办理针对上述项目的所有采购程序和环节的具体事务和签署相关文件。</w:t>
      </w:r>
    </w:p>
    <w:p w14:paraId="6F45289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我方对委托代理人的签字事项负全部责任。</w:t>
      </w:r>
    </w:p>
    <w:p w14:paraId="723CFDB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本授权书自签署之日起生效，在撤销授权的书面通知以前，本授权书一直有效。委托代理人在授权书有效期内签署的所有文件不因授权的撤销而失效。</w:t>
      </w:r>
    </w:p>
    <w:p w14:paraId="7342564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2B20B95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附：委托代理人有效身份证正反面复印件</w:t>
      </w:r>
    </w:p>
    <w:p w14:paraId="06D2BDB2">
      <w:pPr>
        <w:spacing w:line="360" w:lineRule="auto"/>
        <w:ind w:firstLine="560" w:firstLineChars="200"/>
        <w:rPr>
          <w:rFonts w:ascii="宋体" w:hAnsi="宋体" w:eastAsia="宋体" w:cs="宋体"/>
          <w:color w:val="auto"/>
          <w:sz w:val="28"/>
          <w:szCs w:val="28"/>
          <w:highlight w:val="none"/>
        </w:rPr>
      </w:pPr>
    </w:p>
    <w:p w14:paraId="5D7C781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委托代理人（签字）：             法定代表人（签字）：                    </w:t>
      </w:r>
    </w:p>
    <w:p w14:paraId="3B309AF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委托代理人身份证号码：                              </w:t>
      </w:r>
    </w:p>
    <w:p w14:paraId="181D222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5E1042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43273EF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服务商（盖公章）：                      </w:t>
      </w:r>
    </w:p>
    <w:p w14:paraId="4F50476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41D317AC">
      <w:pPr>
        <w:spacing w:line="360" w:lineRule="auto"/>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color w:val="auto"/>
          <w:sz w:val="32"/>
          <w:szCs w:val="32"/>
          <w:highlight w:val="none"/>
        </w:rPr>
        <w:t>二、报价商务技术文件格式</w:t>
      </w:r>
    </w:p>
    <w:p w14:paraId="494808E1">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.报价商务技术文件封面格式</w:t>
      </w:r>
    </w:p>
    <w:p w14:paraId="4B6CCC41">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6235537F">
      <w:pPr>
        <w:snapToGrid w:val="0"/>
        <w:spacing w:before="156" w:beforeLines="50" w:after="50" w:line="360" w:lineRule="auto"/>
        <w:rPr>
          <w:rFonts w:ascii="宋体" w:hAnsi="宋体" w:eastAsia="宋体" w:cs="宋体"/>
          <w:color w:val="auto"/>
          <w:sz w:val="32"/>
          <w:szCs w:val="32"/>
          <w:highlight w:val="none"/>
        </w:rPr>
      </w:pPr>
    </w:p>
    <w:p w14:paraId="743D80DD">
      <w:pPr>
        <w:snapToGrid w:val="0"/>
        <w:spacing w:before="156" w:beforeLines="50" w:after="50" w:line="360" w:lineRule="auto"/>
        <w:rPr>
          <w:rFonts w:ascii="宋体" w:hAnsi="宋体" w:eastAsia="宋体" w:cs="宋体"/>
          <w:color w:val="auto"/>
          <w:sz w:val="32"/>
          <w:szCs w:val="32"/>
          <w:highlight w:val="none"/>
        </w:rPr>
      </w:pPr>
    </w:p>
    <w:p w14:paraId="21AB6A53">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08B85F08">
      <w:pPr>
        <w:snapToGrid w:val="0"/>
        <w:spacing w:before="156" w:beforeLines="50" w:after="50" w:line="360" w:lineRule="auto"/>
        <w:rPr>
          <w:rFonts w:ascii="宋体" w:hAnsi="宋体" w:eastAsia="宋体" w:cs="宋体"/>
          <w:bCs/>
          <w:color w:val="auto"/>
          <w:sz w:val="32"/>
          <w:szCs w:val="32"/>
          <w:highlight w:val="none"/>
        </w:rPr>
      </w:pPr>
    </w:p>
    <w:p w14:paraId="743A0CAA">
      <w:pPr>
        <w:snapToGrid w:val="0"/>
        <w:spacing w:before="156" w:beforeLines="50" w:after="50" w:line="360" w:lineRule="auto"/>
        <w:rPr>
          <w:rFonts w:ascii="宋体" w:hAnsi="宋体" w:eastAsia="宋体" w:cs="宋体"/>
          <w:bCs/>
          <w:color w:val="auto"/>
          <w:sz w:val="32"/>
          <w:szCs w:val="32"/>
          <w:highlight w:val="none"/>
        </w:rPr>
      </w:pPr>
    </w:p>
    <w:p w14:paraId="7751D22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C8FBB1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49D0275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778C5C72">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54F2E5FA">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69CADE12">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09845DA">
      <w:pPr>
        <w:rPr>
          <w:color w:val="auto"/>
          <w:highlight w:val="none"/>
        </w:rPr>
      </w:pPr>
    </w:p>
    <w:p w14:paraId="3727E4DD">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.报价商务技术文件目录</w:t>
      </w:r>
    </w:p>
    <w:p w14:paraId="147CA69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根据采购文件规定及服务商提供的材料自行编写目录。</w:t>
      </w:r>
    </w:p>
    <w:p w14:paraId="44A47515">
      <w:pPr>
        <w:rPr>
          <w:color w:val="auto"/>
          <w:highlight w:val="none"/>
        </w:rPr>
      </w:pPr>
      <w:r>
        <w:rPr>
          <w:rFonts w:hint="eastAsia" w:ascii="宋体" w:hAnsi="宋体" w:eastAsia="宋体" w:cs="宋体"/>
          <w:color w:val="auto"/>
          <w:sz w:val="32"/>
          <w:szCs w:val="32"/>
          <w:highlight w:val="none"/>
        </w:rPr>
        <w:br w:type="page"/>
      </w:r>
    </w:p>
    <w:p w14:paraId="1F8E6865">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竞标报价表</w:t>
      </w:r>
    </w:p>
    <w:p w14:paraId="7C22FF3C">
      <w:pPr>
        <w:pStyle w:val="21"/>
        <w:widowControl/>
        <w:spacing w:beforeAutospacing="0" w:afterAutospacing="0"/>
        <w:rPr>
          <w:rFonts w:ascii="宋体" w:hAnsi="宋体" w:eastAsia="宋体" w:cs="宋体"/>
          <w:bCs/>
          <w:color w:val="auto"/>
          <w:kern w:val="2"/>
          <w:highlight w:val="none"/>
        </w:rPr>
      </w:pPr>
    </w:p>
    <w:p w14:paraId="02BFCF7C">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bCs/>
          <w:color w:val="auto"/>
          <w:sz w:val="22"/>
          <w:szCs w:val="22"/>
          <w:highlight w:val="none"/>
          <w:u w:val="single"/>
          <w:lang w:val="en-US" w:eastAsia="zh-CN"/>
        </w:rPr>
      </w:pPr>
      <w:r>
        <w:rPr>
          <w:rFonts w:hint="eastAsia" w:ascii="宋体" w:hAnsi="宋体" w:eastAsia="宋体" w:cs="宋体"/>
          <w:b w:val="0"/>
          <w:bCs w:val="0"/>
          <w:color w:val="auto"/>
          <w:sz w:val="24"/>
          <w:szCs w:val="24"/>
          <w:highlight w:val="none"/>
          <w:lang w:val="en-US" w:eastAsia="zh-CN"/>
        </w:rPr>
        <w:t>项目名称：</w:t>
      </w:r>
      <w:r>
        <w:rPr>
          <w:rFonts w:hint="eastAsia" w:ascii="宋体" w:hAnsi="宋体" w:eastAsia="宋体" w:cs="宋体"/>
          <w:b/>
          <w:bCs/>
          <w:color w:val="auto"/>
          <w:sz w:val="22"/>
          <w:szCs w:val="22"/>
          <w:highlight w:val="none"/>
          <w:u w:val="single"/>
        </w:rPr>
        <w:t>广西自贸区钦州港片区开发投资集团有限责任公司</w:t>
      </w:r>
      <w:r>
        <w:rPr>
          <w:rFonts w:hint="eastAsia" w:ascii="宋体" w:hAnsi="宋体" w:eastAsia="宋体" w:cs="宋体"/>
          <w:b/>
          <w:bCs/>
          <w:color w:val="auto"/>
          <w:sz w:val="22"/>
          <w:szCs w:val="22"/>
          <w:highlight w:val="none"/>
          <w:u w:val="single"/>
          <w:lang w:val="en-US" w:eastAsia="zh-CN"/>
        </w:rPr>
        <w:t>企业年金基金受托管理服务采购项目</w:t>
      </w:r>
    </w:p>
    <w:p w14:paraId="79D0B897">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4"/>
          <w:szCs w:val="24"/>
          <w:highlight w:val="none"/>
          <w:lang w:val="en-US" w:eastAsia="zh-CN"/>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008"/>
        <w:gridCol w:w="2475"/>
        <w:gridCol w:w="2207"/>
      </w:tblGrid>
      <w:tr w14:paraId="53EA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809"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1C2D6D4">
            <w:pPr>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拟推荐的集合计划模式管理费(费率折扣）报价</w:t>
            </w:r>
          </w:p>
        </w:tc>
        <w:tc>
          <w:tcPr>
            <w:tcW w:w="2008" w:type="dxa"/>
            <w:tcBorders>
              <w:top w:val="single" w:color="auto" w:sz="4" w:space="0"/>
              <w:left w:val="single" w:color="auto" w:sz="4" w:space="0"/>
              <w:bottom w:val="single" w:color="auto" w:sz="4" w:space="0"/>
              <w:right w:val="single" w:color="auto" w:sz="4" w:space="0"/>
              <w:tl2br w:val="nil"/>
              <w:tr2bl w:val="nil"/>
            </w:tcBorders>
            <w:vAlign w:val="center"/>
          </w:tcPr>
          <w:p w14:paraId="1578C832">
            <w:pPr>
              <w:spacing w:line="360" w:lineRule="auto"/>
              <w:ind w:firstLine="482" w:firstLineChars="200"/>
              <w:jc w:val="both"/>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服务内容</w:t>
            </w:r>
          </w:p>
        </w:tc>
        <w:tc>
          <w:tcPr>
            <w:tcW w:w="2475" w:type="dxa"/>
            <w:tcBorders>
              <w:top w:val="single" w:color="auto" w:sz="4" w:space="0"/>
              <w:left w:val="single" w:color="auto" w:sz="4" w:space="0"/>
              <w:bottom w:val="single" w:color="auto" w:sz="4" w:space="0"/>
              <w:right w:val="single" w:color="auto" w:sz="4" w:space="0"/>
              <w:tl2br w:val="nil"/>
              <w:tr2bl w:val="nil"/>
            </w:tcBorders>
            <w:vAlign w:val="center"/>
          </w:tcPr>
          <w:p w14:paraId="79430F9D">
            <w:pPr>
              <w:spacing w:line="360" w:lineRule="auto"/>
              <w:ind w:firstLine="0"/>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eastAsia="zh-CN"/>
              </w:rPr>
              <w:t>费率</w:t>
            </w:r>
            <w:r>
              <w:rPr>
                <w:rFonts w:hint="eastAsia" w:ascii="仿宋" w:hAnsi="仿宋" w:eastAsia="仿宋" w:cs="仿宋"/>
                <w:b/>
                <w:color w:val="auto"/>
                <w:sz w:val="24"/>
                <w:szCs w:val="24"/>
                <w:lang w:val="en-US" w:eastAsia="zh-CN"/>
              </w:rPr>
              <w:t>报价上限</w:t>
            </w: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14:paraId="47991B1F">
            <w:pPr>
              <w:spacing w:line="360" w:lineRule="auto"/>
              <w:ind w:firstLine="0"/>
              <w:jc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eastAsia="zh-CN"/>
              </w:rPr>
              <w:t>费率</w:t>
            </w:r>
            <w:r>
              <w:rPr>
                <w:rFonts w:hint="eastAsia" w:ascii="仿宋" w:hAnsi="仿宋" w:eastAsia="仿宋" w:cs="仿宋"/>
                <w:b/>
                <w:color w:val="auto"/>
                <w:sz w:val="24"/>
                <w:szCs w:val="24"/>
                <w:lang w:val="en-US" w:eastAsia="zh-CN"/>
              </w:rPr>
              <w:t>报价</w:t>
            </w:r>
          </w:p>
        </w:tc>
      </w:tr>
      <w:tr w14:paraId="05C8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8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1B0BB57">
            <w:pPr>
              <w:spacing w:line="360" w:lineRule="auto"/>
              <w:ind w:firstLine="600"/>
              <w:jc w:val="center"/>
              <w:rPr>
                <w:rFonts w:hint="eastAsia" w:ascii="仿宋" w:hAnsi="仿宋" w:eastAsia="仿宋" w:cs="仿宋"/>
                <w:color w:val="auto"/>
                <w:sz w:val="24"/>
                <w:szCs w:val="24"/>
              </w:rPr>
            </w:pPr>
          </w:p>
        </w:tc>
        <w:tc>
          <w:tcPr>
            <w:tcW w:w="2008" w:type="dxa"/>
            <w:tcBorders>
              <w:top w:val="single" w:color="auto" w:sz="4" w:space="0"/>
              <w:left w:val="single" w:color="auto" w:sz="4" w:space="0"/>
              <w:bottom w:val="single" w:color="auto" w:sz="4" w:space="0"/>
              <w:right w:val="single" w:color="auto" w:sz="4" w:space="0"/>
              <w:tl2br w:val="nil"/>
              <w:tr2bl w:val="nil"/>
            </w:tcBorders>
            <w:vAlign w:val="center"/>
          </w:tcPr>
          <w:p w14:paraId="43BFF326">
            <w:pPr>
              <w:spacing w:line="360" w:lineRule="auto"/>
              <w:ind w:left="0" w:leftChars="0" w:right="0" w:rightChars="0" w:firstLine="240" w:firstLineChars="10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受托</w:t>
            </w:r>
            <w:r>
              <w:rPr>
                <w:rFonts w:hint="eastAsia" w:ascii="仿宋" w:hAnsi="仿宋" w:eastAsia="仿宋" w:cs="仿宋"/>
                <w:color w:val="auto"/>
                <w:sz w:val="24"/>
                <w:szCs w:val="24"/>
                <w:lang w:eastAsia="zh-CN"/>
              </w:rPr>
              <w:t>人管理费</w:t>
            </w:r>
          </w:p>
        </w:tc>
        <w:tc>
          <w:tcPr>
            <w:tcW w:w="2475" w:type="dxa"/>
            <w:tcBorders>
              <w:top w:val="single" w:color="auto" w:sz="4" w:space="0"/>
              <w:left w:val="single" w:color="auto" w:sz="4" w:space="0"/>
              <w:bottom w:val="single" w:color="auto" w:sz="4" w:space="0"/>
              <w:right w:val="single" w:color="auto" w:sz="4" w:space="0"/>
              <w:tl2br w:val="nil"/>
              <w:tr2bl w:val="nil"/>
            </w:tcBorders>
            <w:vAlign w:val="center"/>
          </w:tcPr>
          <w:p w14:paraId="7EDD53AC">
            <w:pPr>
              <w:spacing w:line="3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企业年金基金财产净值的千分之一点一</w:t>
            </w:r>
          </w:p>
        </w:tc>
        <w:tc>
          <w:tcPr>
            <w:tcW w:w="2207" w:type="dxa"/>
            <w:tcBorders>
              <w:top w:val="single" w:color="auto" w:sz="4" w:space="0"/>
              <w:left w:val="single" w:color="auto" w:sz="4" w:space="0"/>
              <w:right w:val="single" w:color="auto" w:sz="4" w:space="0"/>
              <w:tl2br w:val="nil"/>
              <w:tr2bl w:val="nil"/>
            </w:tcBorders>
            <w:vAlign w:val="center"/>
          </w:tcPr>
          <w:p w14:paraId="787F63B7">
            <w:pPr>
              <w:spacing w:line="360" w:lineRule="auto"/>
              <w:ind w:firstLine="240" w:firstLineChars="100"/>
              <w:jc w:val="center"/>
              <w:rPr>
                <w:rFonts w:hint="eastAsia" w:ascii="仿宋" w:hAnsi="仿宋" w:eastAsia="仿宋" w:cs="仿宋"/>
                <w:color w:val="000000"/>
                <w:sz w:val="24"/>
                <w:szCs w:val="24"/>
                <w:lang w:val="en-US" w:eastAsia="zh-CN"/>
              </w:rPr>
            </w:pPr>
          </w:p>
        </w:tc>
      </w:tr>
      <w:tr w14:paraId="7AA1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8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56E1132">
            <w:pPr>
              <w:spacing w:line="360" w:lineRule="auto"/>
              <w:ind w:firstLine="240" w:firstLineChars="100"/>
              <w:rPr>
                <w:rFonts w:hint="eastAsia" w:ascii="仿宋" w:hAnsi="仿宋" w:eastAsia="仿宋" w:cs="仿宋"/>
                <w:color w:val="auto"/>
                <w:sz w:val="24"/>
                <w:szCs w:val="24"/>
              </w:rPr>
            </w:pPr>
          </w:p>
        </w:tc>
        <w:tc>
          <w:tcPr>
            <w:tcW w:w="2008" w:type="dxa"/>
            <w:tcBorders>
              <w:top w:val="single" w:color="auto" w:sz="4" w:space="0"/>
              <w:left w:val="single" w:color="auto" w:sz="4" w:space="0"/>
              <w:bottom w:val="single" w:color="auto" w:sz="4" w:space="0"/>
              <w:right w:val="single" w:color="auto" w:sz="4" w:space="0"/>
              <w:tl2br w:val="nil"/>
              <w:tr2bl w:val="nil"/>
            </w:tcBorders>
            <w:vAlign w:val="center"/>
          </w:tcPr>
          <w:p w14:paraId="1B135A09">
            <w:pPr>
              <w:spacing w:line="360" w:lineRule="auto"/>
              <w:ind w:left="0" w:leftChars="0" w:right="0" w:rightChars="0"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rPr>
              <w:t>投管</w:t>
            </w:r>
            <w:r>
              <w:rPr>
                <w:rFonts w:hint="eastAsia" w:ascii="仿宋" w:hAnsi="仿宋" w:eastAsia="仿宋" w:cs="仿宋"/>
                <w:color w:val="auto"/>
                <w:sz w:val="24"/>
                <w:szCs w:val="24"/>
                <w:lang w:eastAsia="zh-CN"/>
              </w:rPr>
              <w:t>人管理</w:t>
            </w:r>
            <w:r>
              <w:rPr>
                <w:rFonts w:hint="eastAsia" w:ascii="仿宋" w:hAnsi="仿宋" w:eastAsia="仿宋" w:cs="仿宋"/>
                <w:color w:val="auto"/>
                <w:sz w:val="24"/>
                <w:szCs w:val="24"/>
              </w:rPr>
              <w:t>费</w:t>
            </w:r>
          </w:p>
        </w:tc>
        <w:tc>
          <w:tcPr>
            <w:tcW w:w="2475" w:type="dxa"/>
            <w:tcBorders>
              <w:top w:val="single" w:color="auto" w:sz="4" w:space="0"/>
              <w:left w:val="single" w:color="auto" w:sz="4" w:space="0"/>
              <w:bottom w:val="single" w:color="auto" w:sz="4" w:space="0"/>
              <w:right w:val="single" w:color="auto" w:sz="4" w:space="0"/>
              <w:tl2br w:val="nil"/>
              <w:tr2bl w:val="nil"/>
            </w:tcBorders>
            <w:vAlign w:val="center"/>
          </w:tcPr>
          <w:p w14:paraId="6376F37A">
            <w:pPr>
              <w:spacing w:line="3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企业年金基金财产净值的千分之五</w:t>
            </w:r>
          </w:p>
        </w:tc>
        <w:tc>
          <w:tcPr>
            <w:tcW w:w="2207" w:type="dxa"/>
            <w:tcBorders>
              <w:left w:val="single" w:color="auto" w:sz="4" w:space="0"/>
              <w:right w:val="single" w:color="auto" w:sz="4" w:space="0"/>
              <w:tl2br w:val="nil"/>
              <w:tr2bl w:val="nil"/>
            </w:tcBorders>
            <w:vAlign w:val="center"/>
          </w:tcPr>
          <w:p w14:paraId="7F843332">
            <w:pPr>
              <w:spacing w:line="360" w:lineRule="auto"/>
              <w:ind w:firstLine="240" w:firstLineChars="100"/>
              <w:jc w:val="center"/>
              <w:rPr>
                <w:rFonts w:hint="eastAsia" w:ascii="仿宋" w:hAnsi="仿宋" w:eastAsia="仿宋" w:cs="仿宋"/>
                <w:color w:val="000000"/>
                <w:sz w:val="24"/>
                <w:szCs w:val="24"/>
                <w:lang w:val="en-US" w:eastAsia="zh-CN"/>
              </w:rPr>
            </w:pPr>
          </w:p>
        </w:tc>
      </w:tr>
      <w:tr w14:paraId="0413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8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0CD651A">
            <w:pPr>
              <w:spacing w:line="360" w:lineRule="auto"/>
              <w:ind w:firstLine="240" w:firstLineChars="100"/>
              <w:rPr>
                <w:rFonts w:hint="eastAsia" w:ascii="仿宋" w:hAnsi="仿宋" w:eastAsia="仿宋" w:cs="仿宋"/>
                <w:color w:val="auto"/>
                <w:sz w:val="24"/>
                <w:szCs w:val="24"/>
              </w:rPr>
            </w:pPr>
          </w:p>
        </w:tc>
        <w:tc>
          <w:tcPr>
            <w:tcW w:w="2008" w:type="dxa"/>
            <w:tcBorders>
              <w:top w:val="single" w:color="auto" w:sz="4" w:space="0"/>
              <w:left w:val="single" w:color="auto" w:sz="4" w:space="0"/>
              <w:bottom w:val="single" w:color="auto" w:sz="4" w:space="0"/>
              <w:right w:val="single" w:color="auto" w:sz="4" w:space="0"/>
              <w:tl2br w:val="nil"/>
              <w:tr2bl w:val="nil"/>
            </w:tcBorders>
            <w:vAlign w:val="center"/>
          </w:tcPr>
          <w:p w14:paraId="118F4CE4">
            <w:pPr>
              <w:spacing w:line="360" w:lineRule="auto"/>
              <w:ind w:left="0" w:leftChars="0" w:right="0" w:rightChars="0"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rPr>
              <w:t>托管</w:t>
            </w:r>
            <w:r>
              <w:rPr>
                <w:rFonts w:hint="eastAsia" w:ascii="仿宋" w:hAnsi="仿宋" w:eastAsia="仿宋" w:cs="仿宋"/>
                <w:color w:val="auto"/>
                <w:sz w:val="24"/>
                <w:szCs w:val="24"/>
                <w:lang w:eastAsia="zh-CN"/>
              </w:rPr>
              <w:t>人管理</w:t>
            </w:r>
            <w:r>
              <w:rPr>
                <w:rFonts w:hint="eastAsia" w:ascii="仿宋" w:hAnsi="仿宋" w:eastAsia="仿宋" w:cs="仿宋"/>
                <w:color w:val="auto"/>
                <w:sz w:val="24"/>
                <w:szCs w:val="24"/>
              </w:rPr>
              <w:t>费</w:t>
            </w:r>
          </w:p>
        </w:tc>
        <w:tc>
          <w:tcPr>
            <w:tcW w:w="2475" w:type="dxa"/>
            <w:tcBorders>
              <w:top w:val="single" w:color="auto" w:sz="4" w:space="0"/>
              <w:left w:val="single" w:color="auto" w:sz="4" w:space="0"/>
              <w:bottom w:val="single" w:color="auto" w:sz="4" w:space="0"/>
              <w:right w:val="single" w:color="auto" w:sz="4" w:space="0"/>
              <w:tl2br w:val="nil"/>
              <w:tr2bl w:val="nil"/>
            </w:tcBorders>
            <w:vAlign w:val="center"/>
          </w:tcPr>
          <w:p w14:paraId="3F62A277">
            <w:pPr>
              <w:spacing w:line="3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企业年金基金财产净值的千分之零点七</w:t>
            </w:r>
          </w:p>
        </w:tc>
        <w:tc>
          <w:tcPr>
            <w:tcW w:w="2207" w:type="dxa"/>
            <w:tcBorders>
              <w:left w:val="single" w:color="auto" w:sz="4" w:space="0"/>
              <w:right w:val="single" w:color="auto" w:sz="4" w:space="0"/>
              <w:tl2br w:val="nil"/>
              <w:tr2bl w:val="nil"/>
            </w:tcBorders>
            <w:vAlign w:val="center"/>
          </w:tcPr>
          <w:p w14:paraId="4BBB7CB6">
            <w:pPr>
              <w:shd w:val="clear" w:color="auto" w:fill="FFFFFF"/>
              <w:spacing w:line="360" w:lineRule="auto"/>
              <w:ind w:firstLine="240" w:firstLineChars="100"/>
              <w:jc w:val="center"/>
              <w:rPr>
                <w:rFonts w:hint="eastAsia" w:ascii="仿宋" w:hAnsi="仿宋" w:eastAsia="仿宋" w:cs="仿宋"/>
                <w:color w:val="000000"/>
                <w:sz w:val="24"/>
                <w:szCs w:val="24"/>
                <w:lang w:val="en-US" w:eastAsia="zh-CN"/>
              </w:rPr>
            </w:pPr>
          </w:p>
        </w:tc>
      </w:tr>
      <w:tr w14:paraId="7EDE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8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4298512">
            <w:pPr>
              <w:spacing w:line="360" w:lineRule="auto"/>
              <w:ind w:firstLine="240" w:firstLineChars="100"/>
              <w:rPr>
                <w:rFonts w:hint="eastAsia" w:ascii="仿宋" w:hAnsi="仿宋" w:eastAsia="仿宋" w:cs="仿宋"/>
                <w:color w:val="auto"/>
                <w:sz w:val="24"/>
                <w:szCs w:val="24"/>
              </w:rPr>
            </w:pPr>
          </w:p>
        </w:tc>
        <w:tc>
          <w:tcPr>
            <w:tcW w:w="2008" w:type="dxa"/>
            <w:tcBorders>
              <w:top w:val="single" w:color="auto" w:sz="4" w:space="0"/>
              <w:left w:val="single" w:color="auto" w:sz="4" w:space="0"/>
              <w:bottom w:val="single" w:color="auto" w:sz="4" w:space="0"/>
              <w:right w:val="single" w:color="auto" w:sz="4" w:space="0"/>
              <w:tl2br w:val="nil"/>
              <w:tr2bl w:val="nil"/>
            </w:tcBorders>
            <w:vAlign w:val="center"/>
          </w:tcPr>
          <w:p w14:paraId="7AF30303">
            <w:pPr>
              <w:spacing w:line="360" w:lineRule="auto"/>
              <w:ind w:left="0" w:leftChars="0" w:right="0" w:rightChars="0"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highlight w:val="none"/>
              </w:rPr>
              <w:t>账管</w:t>
            </w:r>
            <w:r>
              <w:rPr>
                <w:rFonts w:hint="eastAsia" w:ascii="仿宋" w:hAnsi="仿宋" w:eastAsia="仿宋" w:cs="仿宋"/>
                <w:color w:val="auto"/>
                <w:sz w:val="24"/>
                <w:szCs w:val="24"/>
                <w:lang w:eastAsia="zh-CN"/>
              </w:rPr>
              <w:t>人管理</w:t>
            </w:r>
            <w:r>
              <w:rPr>
                <w:rFonts w:hint="eastAsia" w:ascii="仿宋" w:hAnsi="仿宋" w:eastAsia="仿宋" w:cs="仿宋"/>
                <w:color w:val="auto"/>
                <w:sz w:val="24"/>
                <w:szCs w:val="24"/>
              </w:rPr>
              <w:t>费</w:t>
            </w:r>
          </w:p>
        </w:tc>
        <w:tc>
          <w:tcPr>
            <w:tcW w:w="2475" w:type="dxa"/>
            <w:tcBorders>
              <w:top w:val="single" w:color="auto" w:sz="4" w:space="0"/>
              <w:left w:val="single" w:color="auto" w:sz="4" w:space="0"/>
              <w:bottom w:val="single" w:color="auto" w:sz="4" w:space="0"/>
              <w:right w:val="single" w:color="auto" w:sz="4" w:space="0"/>
              <w:tl2br w:val="nil"/>
              <w:tr2bl w:val="nil"/>
            </w:tcBorders>
            <w:vAlign w:val="center"/>
          </w:tcPr>
          <w:p w14:paraId="4AD39F94">
            <w:pPr>
              <w:spacing w:line="3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每户每月人民币1元</w:t>
            </w:r>
          </w:p>
        </w:tc>
        <w:tc>
          <w:tcPr>
            <w:tcW w:w="2207" w:type="dxa"/>
            <w:tcBorders>
              <w:left w:val="single" w:color="auto" w:sz="4" w:space="0"/>
              <w:bottom w:val="single" w:color="auto" w:sz="4" w:space="0"/>
              <w:right w:val="single" w:color="auto" w:sz="4" w:space="0"/>
              <w:tl2br w:val="nil"/>
              <w:tr2bl w:val="nil"/>
            </w:tcBorders>
            <w:vAlign w:val="center"/>
          </w:tcPr>
          <w:p w14:paraId="6A5724E0">
            <w:pPr>
              <w:shd w:val="clear" w:color="auto" w:fill="FFFFFF"/>
              <w:spacing w:line="360" w:lineRule="auto"/>
              <w:ind w:firstLine="240" w:firstLineChars="100"/>
              <w:jc w:val="center"/>
              <w:rPr>
                <w:rFonts w:hint="eastAsia" w:ascii="仿宋" w:hAnsi="仿宋" w:eastAsia="仿宋" w:cs="仿宋"/>
                <w:color w:val="000000"/>
                <w:sz w:val="24"/>
                <w:szCs w:val="24"/>
                <w:lang w:val="en-US" w:eastAsia="zh-CN"/>
              </w:rPr>
            </w:pPr>
          </w:p>
        </w:tc>
      </w:tr>
    </w:tbl>
    <w:p w14:paraId="2C7211D7">
      <w:pPr>
        <w:widowControl/>
        <w:wordWrap w:val="0"/>
        <w:spacing w:line="40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eastAsia="zh-CN"/>
        </w:rPr>
        <w:t>注：</w:t>
      </w:r>
      <w:r>
        <w:rPr>
          <w:rFonts w:hint="eastAsia" w:ascii="仿宋" w:hAnsi="仿宋" w:eastAsia="仿宋" w:cs="仿宋"/>
          <w:color w:val="auto"/>
          <w:sz w:val="24"/>
          <w:szCs w:val="24"/>
          <w:lang w:val="en-US" w:eastAsia="zh-CN"/>
        </w:rPr>
        <w:t>1</w:t>
      </w:r>
      <w:r>
        <w:rPr>
          <w:rFonts w:hint="eastAsia" w:ascii="仿宋" w:hAnsi="仿宋" w:eastAsia="仿宋" w:cs="仿宋"/>
          <w:color w:val="auto"/>
          <w:kern w:val="0"/>
          <w:sz w:val="24"/>
          <w:szCs w:val="24"/>
          <w:lang w:val="en-US" w:eastAsia="zh-CN" w:bidi="ar-SA"/>
        </w:rPr>
        <w:t>.以各有效投标人中的最低费率报价为基准价，价格得满分，其他投标人报价按其与基准价的占比计分，计算公式：（基准价/投标人报价）×各项总分。</w:t>
      </w:r>
    </w:p>
    <w:p w14:paraId="6795B131">
      <w:pPr>
        <w:pStyle w:val="21"/>
        <w:widowControl/>
        <w:spacing w:beforeAutospacing="0" w:afterAutospacing="0"/>
        <w:ind w:firstLine="480" w:firstLineChars="200"/>
        <w:rPr>
          <w:rFonts w:ascii="宋体" w:hAnsi="宋体" w:eastAsia="宋体" w:cs="宋体"/>
          <w:color w:val="auto"/>
          <w:sz w:val="28"/>
          <w:szCs w:val="28"/>
          <w:highlight w:val="none"/>
        </w:rPr>
      </w:pPr>
      <w:r>
        <w:rPr>
          <w:rFonts w:hint="eastAsia" w:ascii="仿宋" w:hAnsi="仿宋" w:eastAsia="仿宋" w:cs="仿宋"/>
          <w:color w:val="auto"/>
          <w:sz w:val="24"/>
          <w:szCs w:val="24"/>
          <w:lang w:val="en-US" w:eastAsia="zh-CN"/>
        </w:rPr>
        <w:t>2.中标后报价需经人社部报备通过并写入合同。</w:t>
      </w:r>
    </w:p>
    <w:p w14:paraId="2535B556">
      <w:pPr>
        <w:pStyle w:val="8"/>
        <w:rPr>
          <w:color w:val="auto"/>
          <w:highlight w:val="none"/>
        </w:rPr>
      </w:pPr>
    </w:p>
    <w:p w14:paraId="3399A453">
      <w:pPr>
        <w:rPr>
          <w:color w:val="auto"/>
          <w:highlight w:val="none"/>
        </w:rPr>
      </w:pPr>
    </w:p>
    <w:p w14:paraId="6CF675E0">
      <w:pPr>
        <w:pStyle w:val="8"/>
        <w:rPr>
          <w:color w:val="auto"/>
          <w:highlight w:val="none"/>
        </w:rPr>
      </w:pPr>
    </w:p>
    <w:p w14:paraId="6199F81C">
      <w:pPr>
        <w:rPr>
          <w:color w:val="auto"/>
          <w:highlight w:val="none"/>
        </w:rPr>
      </w:pPr>
    </w:p>
    <w:p w14:paraId="34F6ECEB">
      <w:pPr>
        <w:pStyle w:val="8"/>
        <w:rPr>
          <w:color w:val="auto"/>
          <w:highlight w:val="none"/>
        </w:rPr>
      </w:pPr>
    </w:p>
    <w:p w14:paraId="2D988C70">
      <w:pPr>
        <w:rPr>
          <w:color w:val="auto"/>
          <w:highlight w:val="none"/>
        </w:rPr>
      </w:pPr>
    </w:p>
    <w:p w14:paraId="725F507B">
      <w:pPr>
        <w:pStyle w:val="8"/>
        <w:rPr>
          <w:color w:val="auto"/>
          <w:highlight w:val="none"/>
        </w:rPr>
      </w:pPr>
    </w:p>
    <w:p w14:paraId="0A1816A5">
      <w:pPr>
        <w:spacing w:line="360" w:lineRule="auto"/>
        <w:ind w:firstLine="3080" w:firstLineChars="11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法定代表人或者委托代理人（签字）： </w:t>
      </w:r>
    </w:p>
    <w:p w14:paraId="4B8BDB28">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6D073AF9">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77ECD17F">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6BB5360">
      <w:pPr>
        <w:spacing w:after="312" w:afterLines="1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资信、技术服务响应表</w:t>
      </w:r>
    </w:p>
    <w:tbl>
      <w:tblPr>
        <w:tblStyle w:val="25"/>
        <w:tblW w:w="91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0"/>
        <w:gridCol w:w="3245"/>
        <w:gridCol w:w="4543"/>
      </w:tblGrid>
      <w:tr w14:paraId="15381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7A1074">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响应内容</w:t>
            </w:r>
          </w:p>
        </w:tc>
        <w:tc>
          <w:tcPr>
            <w:tcW w:w="3245" w:type="dxa"/>
            <w:tcBorders>
              <w:top w:val="single" w:color="000000" w:sz="8" w:space="0"/>
              <w:left w:val="single" w:color="000000" w:sz="8" w:space="0"/>
              <w:bottom w:val="nil"/>
              <w:right w:val="single" w:color="000000" w:sz="8" w:space="0"/>
            </w:tcBorders>
            <w:shd w:val="clear" w:color="auto" w:fill="auto"/>
            <w:vAlign w:val="center"/>
          </w:tcPr>
          <w:p w14:paraId="12C2E2FD">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响应参数</w:t>
            </w:r>
          </w:p>
        </w:tc>
        <w:tc>
          <w:tcPr>
            <w:tcW w:w="4543" w:type="dxa"/>
            <w:tcBorders>
              <w:top w:val="single" w:color="000000" w:sz="8" w:space="0"/>
              <w:left w:val="nil"/>
              <w:bottom w:val="nil"/>
              <w:right w:val="single" w:color="000000" w:sz="8" w:space="0"/>
            </w:tcBorders>
            <w:shd w:val="clear" w:color="auto" w:fill="auto"/>
            <w:vAlign w:val="center"/>
          </w:tcPr>
          <w:p w14:paraId="07406D2F">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响应值</w:t>
            </w:r>
          </w:p>
        </w:tc>
      </w:tr>
      <w:tr w14:paraId="04ECC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410" w:type="dxa"/>
            <w:vMerge w:val="restart"/>
            <w:tcBorders>
              <w:top w:val="nil"/>
              <w:left w:val="single" w:color="000000" w:sz="8" w:space="0"/>
              <w:bottom w:val="single" w:color="000000" w:sz="8" w:space="0"/>
              <w:right w:val="single" w:color="000000" w:sz="8" w:space="0"/>
            </w:tcBorders>
            <w:shd w:val="clear" w:color="auto" w:fill="auto"/>
            <w:vAlign w:val="center"/>
          </w:tcPr>
          <w:p w14:paraId="6940C070">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价格</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F4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受托管理费费率</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7C87">
            <w:pPr>
              <w:jc w:val="center"/>
              <w:rPr>
                <w:rFonts w:hint="eastAsia" w:ascii="方正仿宋_GBK" w:hAnsi="方正仿宋_GBK" w:eastAsia="方正仿宋_GBK" w:cs="方正仿宋_GBK"/>
                <w:i w:val="0"/>
                <w:iCs w:val="0"/>
                <w:color w:val="000000"/>
                <w:sz w:val="21"/>
                <w:szCs w:val="21"/>
                <w:u w:val="none"/>
              </w:rPr>
            </w:pPr>
          </w:p>
        </w:tc>
      </w:tr>
      <w:tr w14:paraId="17714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410" w:type="dxa"/>
            <w:vMerge w:val="continue"/>
            <w:tcBorders>
              <w:top w:val="nil"/>
              <w:left w:val="single" w:color="000000" w:sz="8" w:space="0"/>
              <w:bottom w:val="single" w:color="000000" w:sz="8" w:space="0"/>
              <w:right w:val="single" w:color="000000" w:sz="8" w:space="0"/>
            </w:tcBorders>
            <w:shd w:val="clear" w:color="auto" w:fill="auto"/>
            <w:vAlign w:val="center"/>
          </w:tcPr>
          <w:p w14:paraId="650DB068">
            <w:pPr>
              <w:jc w:val="center"/>
              <w:rPr>
                <w:rFonts w:hint="eastAsia" w:ascii="方正仿宋_GBK" w:hAnsi="方正仿宋_GBK" w:eastAsia="方正仿宋_GBK" w:cs="方正仿宋_GBK"/>
                <w:b/>
                <w:bCs/>
                <w:i w:val="0"/>
                <w:iCs w:val="0"/>
                <w:color w:val="000000"/>
                <w:sz w:val="21"/>
                <w:szCs w:val="21"/>
                <w:u w:val="none"/>
              </w:rPr>
            </w:pP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F39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投资管理费费率</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8D22">
            <w:pPr>
              <w:jc w:val="center"/>
              <w:rPr>
                <w:rFonts w:hint="eastAsia" w:ascii="方正仿宋_GBK" w:hAnsi="方正仿宋_GBK" w:eastAsia="方正仿宋_GBK" w:cs="方正仿宋_GBK"/>
                <w:i w:val="0"/>
                <w:iCs w:val="0"/>
                <w:color w:val="000000"/>
                <w:sz w:val="21"/>
                <w:szCs w:val="21"/>
                <w:u w:val="none"/>
              </w:rPr>
            </w:pPr>
          </w:p>
        </w:tc>
      </w:tr>
      <w:tr w14:paraId="1DC79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410" w:type="dxa"/>
            <w:vMerge w:val="continue"/>
            <w:tcBorders>
              <w:top w:val="nil"/>
              <w:left w:val="single" w:color="000000" w:sz="8" w:space="0"/>
              <w:bottom w:val="single" w:color="000000" w:sz="8" w:space="0"/>
              <w:right w:val="single" w:color="000000" w:sz="8" w:space="0"/>
            </w:tcBorders>
            <w:shd w:val="clear" w:color="auto" w:fill="auto"/>
            <w:vAlign w:val="center"/>
          </w:tcPr>
          <w:p w14:paraId="54CA176D">
            <w:pPr>
              <w:jc w:val="center"/>
              <w:rPr>
                <w:rFonts w:hint="eastAsia" w:ascii="方正仿宋_GBK" w:hAnsi="方正仿宋_GBK" w:eastAsia="方正仿宋_GBK" w:cs="方正仿宋_GBK"/>
                <w:b/>
                <w:bCs/>
                <w:i w:val="0"/>
                <w:iCs w:val="0"/>
                <w:color w:val="000000"/>
                <w:sz w:val="21"/>
                <w:szCs w:val="21"/>
                <w:u w:val="none"/>
              </w:rPr>
            </w:pP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29D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托管费费率</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9196">
            <w:pPr>
              <w:jc w:val="center"/>
              <w:rPr>
                <w:rFonts w:hint="eastAsia" w:ascii="方正仿宋_GBK" w:hAnsi="方正仿宋_GBK" w:eastAsia="方正仿宋_GBK" w:cs="方正仿宋_GBK"/>
                <w:i w:val="0"/>
                <w:iCs w:val="0"/>
                <w:color w:val="000000"/>
                <w:sz w:val="21"/>
                <w:szCs w:val="21"/>
                <w:u w:val="none"/>
              </w:rPr>
            </w:pPr>
          </w:p>
        </w:tc>
      </w:tr>
      <w:tr w14:paraId="51ACC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410" w:type="dxa"/>
            <w:vMerge w:val="continue"/>
            <w:tcBorders>
              <w:top w:val="nil"/>
              <w:left w:val="single" w:color="000000" w:sz="8" w:space="0"/>
              <w:bottom w:val="single" w:color="000000" w:sz="8" w:space="0"/>
              <w:right w:val="single" w:color="000000" w:sz="8" w:space="0"/>
            </w:tcBorders>
            <w:shd w:val="clear" w:color="auto" w:fill="auto"/>
            <w:vAlign w:val="center"/>
          </w:tcPr>
          <w:p w14:paraId="3FDCD3D1">
            <w:pPr>
              <w:jc w:val="center"/>
              <w:rPr>
                <w:rFonts w:hint="eastAsia" w:ascii="方正仿宋_GBK" w:hAnsi="方正仿宋_GBK" w:eastAsia="方正仿宋_GBK" w:cs="方正仿宋_GBK"/>
                <w:b/>
                <w:bCs/>
                <w:i w:val="0"/>
                <w:iCs w:val="0"/>
                <w:color w:val="000000"/>
                <w:sz w:val="21"/>
                <w:szCs w:val="21"/>
                <w:u w:val="none"/>
              </w:rPr>
            </w:pPr>
          </w:p>
        </w:tc>
        <w:tc>
          <w:tcPr>
            <w:tcW w:w="3245" w:type="dxa"/>
            <w:tcBorders>
              <w:top w:val="nil"/>
              <w:left w:val="nil"/>
              <w:bottom w:val="single" w:color="000000" w:sz="8" w:space="0"/>
              <w:right w:val="single" w:color="000000" w:sz="8" w:space="0"/>
            </w:tcBorders>
            <w:shd w:val="clear" w:color="auto" w:fill="auto"/>
            <w:vAlign w:val="center"/>
          </w:tcPr>
          <w:p w14:paraId="1FBF83D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账户管理费</w:t>
            </w:r>
          </w:p>
        </w:tc>
        <w:tc>
          <w:tcPr>
            <w:tcW w:w="4543" w:type="dxa"/>
            <w:tcBorders>
              <w:top w:val="nil"/>
              <w:left w:val="nil"/>
              <w:bottom w:val="single" w:color="000000" w:sz="8" w:space="0"/>
              <w:right w:val="single" w:color="000000" w:sz="8" w:space="0"/>
            </w:tcBorders>
            <w:shd w:val="clear" w:color="auto" w:fill="auto"/>
            <w:vAlign w:val="center"/>
          </w:tcPr>
          <w:p w14:paraId="01ADFA01">
            <w:pPr>
              <w:jc w:val="center"/>
              <w:rPr>
                <w:rFonts w:hint="eastAsia" w:ascii="方正仿宋_GBK" w:hAnsi="方正仿宋_GBK" w:eastAsia="方正仿宋_GBK" w:cs="方正仿宋_GBK"/>
                <w:i w:val="0"/>
                <w:iCs w:val="0"/>
                <w:color w:val="000000"/>
                <w:sz w:val="21"/>
                <w:szCs w:val="21"/>
                <w:u w:val="none"/>
              </w:rPr>
            </w:pPr>
          </w:p>
        </w:tc>
      </w:tr>
      <w:tr w14:paraId="1A0A3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1410" w:type="dxa"/>
            <w:vMerge w:val="restart"/>
            <w:tcBorders>
              <w:top w:val="nil"/>
              <w:left w:val="single" w:color="000000" w:sz="8" w:space="0"/>
              <w:bottom w:val="nil"/>
              <w:right w:val="single" w:color="000000" w:sz="8" w:space="0"/>
            </w:tcBorders>
            <w:shd w:val="clear" w:color="auto" w:fill="auto"/>
            <w:vAlign w:val="center"/>
          </w:tcPr>
          <w:p w14:paraId="367841C5">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商务</w:t>
            </w:r>
          </w:p>
        </w:tc>
        <w:tc>
          <w:tcPr>
            <w:tcW w:w="3245" w:type="dxa"/>
            <w:tcBorders>
              <w:top w:val="nil"/>
              <w:left w:val="nil"/>
              <w:bottom w:val="single" w:color="000000" w:sz="8" w:space="0"/>
              <w:right w:val="single" w:color="000000" w:sz="8" w:space="0"/>
            </w:tcBorders>
            <w:shd w:val="clear" w:color="auto" w:fill="auto"/>
            <w:vAlign w:val="center"/>
          </w:tcPr>
          <w:p w14:paraId="302D61E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2022年至2024年平均年金管理费占公司全部业务营业收入的比例（量化评估专营程度）（需投标人在投标文件中提供经会计师事务所审计的财务报表的相关页面的复印件）</w:t>
            </w:r>
          </w:p>
        </w:tc>
        <w:tc>
          <w:tcPr>
            <w:tcW w:w="4543" w:type="dxa"/>
            <w:tcBorders>
              <w:top w:val="nil"/>
              <w:left w:val="nil"/>
              <w:bottom w:val="single" w:color="000000" w:sz="8" w:space="0"/>
              <w:right w:val="single" w:color="000000" w:sz="8" w:space="0"/>
            </w:tcBorders>
            <w:shd w:val="clear" w:color="auto" w:fill="auto"/>
            <w:vAlign w:val="center"/>
          </w:tcPr>
          <w:p w14:paraId="190A2B8C">
            <w:pPr>
              <w:jc w:val="center"/>
              <w:rPr>
                <w:rFonts w:hint="eastAsia" w:ascii="方正仿宋_GBK" w:hAnsi="方正仿宋_GBK" w:eastAsia="方正仿宋_GBK" w:cs="方正仿宋_GBK"/>
                <w:i w:val="0"/>
                <w:iCs w:val="0"/>
                <w:color w:val="000000"/>
                <w:sz w:val="21"/>
                <w:szCs w:val="21"/>
                <w:u w:val="none"/>
              </w:rPr>
            </w:pPr>
          </w:p>
        </w:tc>
      </w:tr>
      <w:tr w14:paraId="5C582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410" w:type="dxa"/>
            <w:vMerge w:val="continue"/>
            <w:tcBorders>
              <w:top w:val="nil"/>
              <w:left w:val="single" w:color="000000" w:sz="8" w:space="0"/>
              <w:bottom w:val="nil"/>
              <w:right w:val="single" w:color="000000" w:sz="8" w:space="0"/>
            </w:tcBorders>
            <w:shd w:val="clear" w:color="auto" w:fill="auto"/>
            <w:vAlign w:val="center"/>
          </w:tcPr>
          <w:p w14:paraId="44EEB98E">
            <w:pPr>
              <w:jc w:val="center"/>
              <w:rPr>
                <w:rFonts w:hint="eastAsia" w:ascii="方正仿宋_GBK" w:hAnsi="方正仿宋_GBK" w:eastAsia="方正仿宋_GBK" w:cs="方正仿宋_GBK"/>
                <w:b/>
                <w:bCs/>
                <w:i w:val="0"/>
                <w:iCs w:val="0"/>
                <w:color w:val="000000"/>
                <w:sz w:val="21"/>
                <w:szCs w:val="21"/>
                <w:u w:val="none"/>
              </w:rPr>
            </w:pPr>
          </w:p>
        </w:tc>
        <w:tc>
          <w:tcPr>
            <w:tcW w:w="3245" w:type="dxa"/>
            <w:tcBorders>
              <w:top w:val="nil"/>
              <w:left w:val="nil"/>
              <w:bottom w:val="single" w:color="000000" w:sz="8" w:space="0"/>
              <w:right w:val="single" w:color="000000" w:sz="8" w:space="0"/>
            </w:tcBorders>
            <w:shd w:val="clear" w:color="auto" w:fill="auto"/>
            <w:vAlign w:val="center"/>
          </w:tcPr>
          <w:p w14:paraId="634A81A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截至2024年受托管理企业年金规模（以人社部公布数据为准）</w:t>
            </w:r>
          </w:p>
        </w:tc>
        <w:tc>
          <w:tcPr>
            <w:tcW w:w="4543" w:type="dxa"/>
            <w:tcBorders>
              <w:top w:val="nil"/>
              <w:left w:val="nil"/>
              <w:bottom w:val="single" w:color="000000" w:sz="8" w:space="0"/>
              <w:right w:val="single" w:color="000000" w:sz="8" w:space="0"/>
            </w:tcBorders>
            <w:shd w:val="clear" w:color="auto" w:fill="auto"/>
            <w:vAlign w:val="center"/>
          </w:tcPr>
          <w:p w14:paraId="3B600191">
            <w:pPr>
              <w:jc w:val="center"/>
              <w:rPr>
                <w:rFonts w:hint="eastAsia" w:ascii="方正仿宋_GBK" w:hAnsi="方正仿宋_GBK" w:eastAsia="方正仿宋_GBK" w:cs="方正仿宋_GBK"/>
                <w:i w:val="0"/>
                <w:iCs w:val="0"/>
                <w:color w:val="000000"/>
                <w:sz w:val="21"/>
                <w:szCs w:val="21"/>
                <w:u w:val="none"/>
              </w:rPr>
            </w:pPr>
          </w:p>
        </w:tc>
      </w:tr>
      <w:tr w14:paraId="7A4A4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410" w:type="dxa"/>
            <w:vMerge w:val="continue"/>
            <w:tcBorders>
              <w:top w:val="nil"/>
              <w:left w:val="single" w:color="000000" w:sz="8" w:space="0"/>
              <w:bottom w:val="nil"/>
              <w:right w:val="single" w:color="000000" w:sz="8" w:space="0"/>
            </w:tcBorders>
            <w:shd w:val="clear" w:color="auto" w:fill="auto"/>
            <w:vAlign w:val="center"/>
          </w:tcPr>
          <w:p w14:paraId="3213E03F">
            <w:pPr>
              <w:jc w:val="center"/>
              <w:rPr>
                <w:rFonts w:hint="eastAsia" w:ascii="方正仿宋_GBK" w:hAnsi="方正仿宋_GBK" w:eastAsia="方正仿宋_GBK" w:cs="方正仿宋_GBK"/>
                <w:b/>
                <w:bCs/>
                <w:i w:val="0"/>
                <w:iCs w:val="0"/>
                <w:color w:val="000000"/>
                <w:sz w:val="21"/>
                <w:szCs w:val="21"/>
                <w:u w:val="none"/>
              </w:rPr>
            </w:pPr>
          </w:p>
        </w:tc>
        <w:tc>
          <w:tcPr>
            <w:tcW w:w="3245" w:type="dxa"/>
            <w:tcBorders>
              <w:top w:val="nil"/>
              <w:left w:val="nil"/>
              <w:bottom w:val="single" w:color="000000" w:sz="8" w:space="0"/>
              <w:right w:val="single" w:color="000000" w:sz="8" w:space="0"/>
            </w:tcBorders>
            <w:shd w:val="clear" w:color="auto" w:fill="auto"/>
            <w:vAlign w:val="center"/>
          </w:tcPr>
          <w:p w14:paraId="48FB36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截至2024年受托管理企业年金计划的职工数量（以人社部公布数据为准）</w:t>
            </w:r>
          </w:p>
        </w:tc>
        <w:tc>
          <w:tcPr>
            <w:tcW w:w="4543" w:type="dxa"/>
            <w:tcBorders>
              <w:top w:val="nil"/>
              <w:left w:val="nil"/>
              <w:bottom w:val="single" w:color="000000" w:sz="8" w:space="0"/>
              <w:right w:val="single" w:color="000000" w:sz="8" w:space="0"/>
            </w:tcBorders>
            <w:shd w:val="clear" w:color="auto" w:fill="auto"/>
            <w:vAlign w:val="center"/>
          </w:tcPr>
          <w:p w14:paraId="086170F4">
            <w:pPr>
              <w:jc w:val="center"/>
              <w:rPr>
                <w:rFonts w:hint="eastAsia" w:ascii="方正仿宋_GBK" w:hAnsi="方正仿宋_GBK" w:eastAsia="方正仿宋_GBK" w:cs="方正仿宋_GBK"/>
                <w:i w:val="0"/>
                <w:iCs w:val="0"/>
                <w:color w:val="000000"/>
                <w:sz w:val="21"/>
                <w:szCs w:val="21"/>
                <w:u w:val="none"/>
              </w:rPr>
            </w:pPr>
          </w:p>
        </w:tc>
      </w:tr>
      <w:tr w14:paraId="66FF1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1410" w:type="dxa"/>
            <w:vMerge w:val="continue"/>
            <w:tcBorders>
              <w:top w:val="nil"/>
              <w:left w:val="single" w:color="000000" w:sz="8" w:space="0"/>
              <w:bottom w:val="nil"/>
              <w:right w:val="single" w:color="000000" w:sz="8" w:space="0"/>
            </w:tcBorders>
            <w:shd w:val="clear" w:color="auto" w:fill="auto"/>
            <w:vAlign w:val="center"/>
          </w:tcPr>
          <w:p w14:paraId="2A3EDEE6">
            <w:pPr>
              <w:jc w:val="center"/>
              <w:rPr>
                <w:rFonts w:hint="eastAsia" w:ascii="方正仿宋_GBK" w:hAnsi="方正仿宋_GBK" w:eastAsia="方正仿宋_GBK" w:cs="方正仿宋_GBK"/>
                <w:b/>
                <w:bCs/>
                <w:i w:val="0"/>
                <w:iCs w:val="0"/>
                <w:color w:val="000000"/>
                <w:sz w:val="21"/>
                <w:szCs w:val="21"/>
                <w:u w:val="none"/>
              </w:rPr>
            </w:pPr>
          </w:p>
        </w:tc>
        <w:tc>
          <w:tcPr>
            <w:tcW w:w="3245" w:type="dxa"/>
            <w:tcBorders>
              <w:top w:val="nil"/>
              <w:left w:val="nil"/>
              <w:bottom w:val="single" w:color="000000" w:sz="8" w:space="0"/>
              <w:right w:val="single" w:color="000000" w:sz="8" w:space="0"/>
            </w:tcBorders>
            <w:shd w:val="clear" w:color="auto" w:fill="auto"/>
            <w:vAlign w:val="center"/>
          </w:tcPr>
          <w:p w14:paraId="4183F3F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2024年企业年金受托管理的年均增长规模（以人社部公布数据为准）</w:t>
            </w:r>
          </w:p>
        </w:tc>
        <w:tc>
          <w:tcPr>
            <w:tcW w:w="4543" w:type="dxa"/>
            <w:tcBorders>
              <w:top w:val="nil"/>
              <w:left w:val="nil"/>
              <w:bottom w:val="single" w:color="000000" w:sz="8" w:space="0"/>
              <w:right w:val="single" w:color="000000" w:sz="8" w:space="0"/>
            </w:tcBorders>
            <w:shd w:val="clear" w:color="auto" w:fill="auto"/>
            <w:vAlign w:val="center"/>
          </w:tcPr>
          <w:p w14:paraId="03EA4E13">
            <w:pPr>
              <w:jc w:val="center"/>
              <w:rPr>
                <w:rFonts w:hint="eastAsia" w:ascii="方正仿宋_GBK" w:hAnsi="方正仿宋_GBK" w:eastAsia="方正仿宋_GBK" w:cs="方正仿宋_GBK"/>
                <w:i w:val="0"/>
                <w:iCs w:val="0"/>
                <w:color w:val="000000"/>
                <w:sz w:val="21"/>
                <w:szCs w:val="21"/>
                <w:u w:val="none"/>
              </w:rPr>
            </w:pPr>
          </w:p>
        </w:tc>
      </w:tr>
      <w:tr w14:paraId="34384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410" w:type="dxa"/>
            <w:vMerge w:val="continue"/>
            <w:tcBorders>
              <w:top w:val="nil"/>
              <w:left w:val="single" w:color="000000" w:sz="8" w:space="0"/>
              <w:bottom w:val="nil"/>
              <w:right w:val="single" w:color="000000" w:sz="8" w:space="0"/>
            </w:tcBorders>
            <w:shd w:val="clear" w:color="auto" w:fill="auto"/>
            <w:vAlign w:val="center"/>
          </w:tcPr>
          <w:p w14:paraId="6C3EABB3">
            <w:pPr>
              <w:jc w:val="center"/>
              <w:rPr>
                <w:rFonts w:hint="eastAsia" w:ascii="方正仿宋_GBK" w:hAnsi="方正仿宋_GBK" w:eastAsia="方正仿宋_GBK" w:cs="方正仿宋_GBK"/>
                <w:b/>
                <w:bCs/>
                <w:i w:val="0"/>
                <w:iCs w:val="0"/>
                <w:color w:val="000000"/>
                <w:sz w:val="21"/>
                <w:szCs w:val="21"/>
                <w:u w:val="none"/>
              </w:rPr>
            </w:pPr>
          </w:p>
        </w:tc>
        <w:tc>
          <w:tcPr>
            <w:tcW w:w="3245" w:type="dxa"/>
            <w:tcBorders>
              <w:top w:val="nil"/>
              <w:left w:val="nil"/>
              <w:bottom w:val="single" w:color="000000" w:sz="8" w:space="0"/>
              <w:right w:val="single" w:color="000000" w:sz="8" w:space="0"/>
            </w:tcBorders>
            <w:shd w:val="clear" w:color="auto" w:fill="auto"/>
            <w:vAlign w:val="center"/>
          </w:tcPr>
          <w:p w14:paraId="22AAD35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运营管理能力</w:t>
            </w:r>
          </w:p>
        </w:tc>
        <w:tc>
          <w:tcPr>
            <w:tcW w:w="4543" w:type="dxa"/>
            <w:tcBorders>
              <w:top w:val="nil"/>
              <w:left w:val="nil"/>
              <w:bottom w:val="single" w:color="000000" w:sz="8" w:space="0"/>
              <w:right w:val="single" w:color="000000" w:sz="8" w:space="0"/>
            </w:tcBorders>
            <w:shd w:val="clear" w:color="auto" w:fill="auto"/>
            <w:vAlign w:val="center"/>
          </w:tcPr>
          <w:p w14:paraId="22C5390E">
            <w:pPr>
              <w:jc w:val="center"/>
              <w:rPr>
                <w:rFonts w:hint="eastAsia" w:ascii="方正仿宋_GBK" w:hAnsi="方正仿宋_GBK" w:eastAsia="方正仿宋_GBK" w:cs="方正仿宋_GBK"/>
                <w:i w:val="0"/>
                <w:iCs w:val="0"/>
                <w:color w:val="000000"/>
                <w:sz w:val="21"/>
                <w:szCs w:val="21"/>
                <w:u w:val="none"/>
              </w:rPr>
            </w:pPr>
          </w:p>
        </w:tc>
      </w:tr>
      <w:tr w14:paraId="7B97D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410" w:type="dxa"/>
            <w:vMerge w:val="continue"/>
            <w:tcBorders>
              <w:top w:val="nil"/>
              <w:left w:val="single" w:color="000000" w:sz="8" w:space="0"/>
              <w:bottom w:val="nil"/>
              <w:right w:val="single" w:color="000000" w:sz="8" w:space="0"/>
            </w:tcBorders>
            <w:shd w:val="clear" w:color="auto" w:fill="auto"/>
            <w:vAlign w:val="center"/>
          </w:tcPr>
          <w:p w14:paraId="49502A16">
            <w:pPr>
              <w:jc w:val="center"/>
              <w:rPr>
                <w:rFonts w:hint="eastAsia" w:ascii="方正仿宋_GBK" w:hAnsi="方正仿宋_GBK" w:eastAsia="方正仿宋_GBK" w:cs="方正仿宋_GBK"/>
                <w:b/>
                <w:bCs/>
                <w:i w:val="0"/>
                <w:iCs w:val="0"/>
                <w:color w:val="000000"/>
                <w:sz w:val="21"/>
                <w:szCs w:val="21"/>
                <w:u w:val="none"/>
              </w:rPr>
            </w:pPr>
          </w:p>
        </w:tc>
        <w:tc>
          <w:tcPr>
            <w:tcW w:w="3245" w:type="dxa"/>
            <w:tcBorders>
              <w:top w:val="nil"/>
              <w:left w:val="nil"/>
              <w:bottom w:val="single" w:color="000000" w:sz="8" w:space="0"/>
              <w:right w:val="single" w:color="000000" w:sz="8" w:space="0"/>
            </w:tcBorders>
            <w:shd w:val="clear" w:color="auto" w:fill="auto"/>
            <w:vAlign w:val="center"/>
          </w:tcPr>
          <w:p w14:paraId="7E03E53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选择、更换、监督和评估托管人、账户管理人、投资管理人的指标体系及经验等。</w:t>
            </w:r>
          </w:p>
        </w:tc>
        <w:tc>
          <w:tcPr>
            <w:tcW w:w="4543" w:type="dxa"/>
            <w:tcBorders>
              <w:top w:val="nil"/>
              <w:left w:val="nil"/>
              <w:bottom w:val="single" w:color="000000" w:sz="8" w:space="0"/>
              <w:right w:val="single" w:color="000000" w:sz="8" w:space="0"/>
            </w:tcBorders>
            <w:shd w:val="clear" w:color="auto" w:fill="auto"/>
            <w:vAlign w:val="center"/>
          </w:tcPr>
          <w:p w14:paraId="6DEEB2AF">
            <w:pPr>
              <w:jc w:val="center"/>
              <w:rPr>
                <w:rFonts w:hint="eastAsia" w:ascii="方正仿宋_GBK" w:hAnsi="方正仿宋_GBK" w:eastAsia="方正仿宋_GBK" w:cs="方正仿宋_GBK"/>
                <w:i w:val="0"/>
                <w:iCs w:val="0"/>
                <w:color w:val="000000"/>
                <w:sz w:val="21"/>
                <w:szCs w:val="21"/>
                <w:u w:val="none"/>
              </w:rPr>
            </w:pPr>
          </w:p>
        </w:tc>
      </w:tr>
      <w:tr w14:paraId="5E979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410" w:type="dxa"/>
            <w:vMerge w:val="continue"/>
            <w:tcBorders>
              <w:top w:val="nil"/>
              <w:left w:val="single" w:color="000000" w:sz="8" w:space="0"/>
              <w:bottom w:val="nil"/>
              <w:right w:val="single" w:color="000000" w:sz="8" w:space="0"/>
            </w:tcBorders>
            <w:shd w:val="clear" w:color="auto" w:fill="auto"/>
            <w:vAlign w:val="center"/>
          </w:tcPr>
          <w:p w14:paraId="35F2D7D7">
            <w:pPr>
              <w:jc w:val="center"/>
              <w:rPr>
                <w:rFonts w:hint="eastAsia" w:ascii="方正仿宋_GBK" w:hAnsi="方正仿宋_GBK" w:eastAsia="方正仿宋_GBK" w:cs="方正仿宋_GBK"/>
                <w:b/>
                <w:bCs/>
                <w:i w:val="0"/>
                <w:iCs w:val="0"/>
                <w:color w:val="000000"/>
                <w:sz w:val="21"/>
                <w:szCs w:val="21"/>
                <w:u w:val="none"/>
              </w:rPr>
            </w:pPr>
          </w:p>
        </w:tc>
        <w:tc>
          <w:tcPr>
            <w:tcW w:w="3245" w:type="dxa"/>
            <w:tcBorders>
              <w:top w:val="nil"/>
              <w:left w:val="nil"/>
              <w:bottom w:val="single" w:color="000000" w:sz="8" w:space="0"/>
              <w:right w:val="single" w:color="000000" w:sz="8" w:space="0"/>
            </w:tcBorders>
            <w:shd w:val="clear" w:color="auto" w:fill="auto"/>
            <w:vAlign w:val="center"/>
          </w:tcPr>
          <w:p w14:paraId="64B800C8">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是否可以提供对投资管理人的指数化的评价工具</w:t>
            </w:r>
          </w:p>
        </w:tc>
        <w:tc>
          <w:tcPr>
            <w:tcW w:w="4543" w:type="dxa"/>
            <w:tcBorders>
              <w:top w:val="nil"/>
              <w:left w:val="nil"/>
              <w:bottom w:val="single" w:color="000000" w:sz="8" w:space="0"/>
              <w:right w:val="single" w:color="000000" w:sz="8" w:space="0"/>
            </w:tcBorders>
            <w:shd w:val="clear" w:color="auto" w:fill="auto"/>
            <w:vAlign w:val="center"/>
          </w:tcPr>
          <w:p w14:paraId="7E0C06CB">
            <w:pPr>
              <w:jc w:val="center"/>
              <w:rPr>
                <w:rFonts w:hint="eastAsia" w:ascii="方正仿宋_GBK" w:hAnsi="方正仿宋_GBK" w:eastAsia="方正仿宋_GBK" w:cs="方正仿宋_GBK"/>
                <w:i w:val="0"/>
                <w:iCs w:val="0"/>
                <w:color w:val="000000"/>
                <w:sz w:val="21"/>
                <w:szCs w:val="21"/>
                <w:u w:val="none"/>
              </w:rPr>
            </w:pPr>
          </w:p>
        </w:tc>
      </w:tr>
      <w:tr w14:paraId="69886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1410" w:type="dxa"/>
            <w:vMerge w:val="continue"/>
            <w:tcBorders>
              <w:top w:val="nil"/>
              <w:left w:val="single" w:color="000000" w:sz="8" w:space="0"/>
              <w:bottom w:val="nil"/>
              <w:right w:val="single" w:color="000000" w:sz="8" w:space="0"/>
            </w:tcBorders>
            <w:shd w:val="clear" w:color="auto" w:fill="auto"/>
            <w:vAlign w:val="center"/>
          </w:tcPr>
          <w:p w14:paraId="0AD6FAEB">
            <w:pPr>
              <w:jc w:val="center"/>
              <w:rPr>
                <w:rFonts w:hint="eastAsia" w:ascii="方正仿宋_GBK" w:hAnsi="方正仿宋_GBK" w:eastAsia="方正仿宋_GBK" w:cs="方正仿宋_GBK"/>
                <w:b/>
                <w:bCs/>
                <w:i w:val="0"/>
                <w:iCs w:val="0"/>
                <w:color w:val="000000"/>
                <w:sz w:val="21"/>
                <w:szCs w:val="21"/>
                <w:u w:val="none"/>
              </w:rPr>
            </w:pPr>
          </w:p>
        </w:tc>
        <w:tc>
          <w:tcPr>
            <w:tcW w:w="3245" w:type="dxa"/>
            <w:tcBorders>
              <w:top w:val="nil"/>
              <w:left w:val="nil"/>
              <w:bottom w:val="single" w:color="000000" w:sz="8" w:space="0"/>
              <w:right w:val="single" w:color="000000" w:sz="8" w:space="0"/>
            </w:tcBorders>
            <w:shd w:val="clear" w:color="auto" w:fill="auto"/>
            <w:vAlign w:val="center"/>
          </w:tcPr>
          <w:p w14:paraId="17831AA4">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受托信息技术系统建设</w:t>
            </w:r>
          </w:p>
        </w:tc>
        <w:tc>
          <w:tcPr>
            <w:tcW w:w="4543" w:type="dxa"/>
            <w:tcBorders>
              <w:top w:val="nil"/>
              <w:left w:val="nil"/>
              <w:bottom w:val="single" w:color="000000" w:sz="8" w:space="0"/>
              <w:right w:val="single" w:color="000000" w:sz="8" w:space="0"/>
            </w:tcBorders>
            <w:shd w:val="clear" w:color="auto" w:fill="auto"/>
            <w:vAlign w:val="center"/>
          </w:tcPr>
          <w:p w14:paraId="7BDA4752">
            <w:pPr>
              <w:jc w:val="center"/>
              <w:rPr>
                <w:rFonts w:hint="eastAsia" w:ascii="方正仿宋_GBK" w:hAnsi="方正仿宋_GBK" w:eastAsia="方正仿宋_GBK" w:cs="方正仿宋_GBK"/>
                <w:i w:val="0"/>
                <w:iCs w:val="0"/>
                <w:color w:val="000000"/>
                <w:sz w:val="21"/>
                <w:szCs w:val="21"/>
                <w:u w:val="none"/>
              </w:rPr>
            </w:pPr>
          </w:p>
        </w:tc>
      </w:tr>
      <w:tr w14:paraId="793C3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410" w:type="dxa"/>
            <w:vMerge w:val="continue"/>
            <w:tcBorders>
              <w:top w:val="nil"/>
              <w:left w:val="single" w:color="000000" w:sz="8" w:space="0"/>
              <w:bottom w:val="nil"/>
              <w:right w:val="single" w:color="000000" w:sz="8" w:space="0"/>
            </w:tcBorders>
            <w:shd w:val="clear" w:color="auto" w:fill="auto"/>
            <w:vAlign w:val="center"/>
          </w:tcPr>
          <w:p w14:paraId="696D4BD6">
            <w:pPr>
              <w:jc w:val="center"/>
              <w:rPr>
                <w:rFonts w:hint="eastAsia" w:ascii="方正仿宋_GBK" w:hAnsi="方正仿宋_GBK" w:eastAsia="方正仿宋_GBK" w:cs="方正仿宋_GBK"/>
                <w:b/>
                <w:bCs/>
                <w:i w:val="0"/>
                <w:iCs w:val="0"/>
                <w:color w:val="000000"/>
                <w:sz w:val="21"/>
                <w:szCs w:val="21"/>
                <w:u w:val="none"/>
              </w:rPr>
            </w:pPr>
          </w:p>
        </w:tc>
        <w:tc>
          <w:tcPr>
            <w:tcW w:w="3245" w:type="dxa"/>
            <w:tcBorders>
              <w:top w:val="nil"/>
              <w:left w:val="nil"/>
              <w:bottom w:val="single" w:color="000000" w:sz="8" w:space="0"/>
              <w:right w:val="single" w:color="000000" w:sz="8" w:space="0"/>
            </w:tcBorders>
            <w:shd w:val="clear" w:color="auto" w:fill="auto"/>
            <w:vAlign w:val="center"/>
          </w:tcPr>
          <w:p w14:paraId="35FD307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数据灾备</w:t>
            </w:r>
          </w:p>
        </w:tc>
        <w:tc>
          <w:tcPr>
            <w:tcW w:w="4543" w:type="dxa"/>
            <w:tcBorders>
              <w:top w:val="nil"/>
              <w:left w:val="nil"/>
              <w:bottom w:val="single" w:color="000000" w:sz="8" w:space="0"/>
              <w:right w:val="single" w:color="000000" w:sz="8" w:space="0"/>
            </w:tcBorders>
            <w:shd w:val="clear" w:color="auto" w:fill="auto"/>
            <w:vAlign w:val="center"/>
          </w:tcPr>
          <w:p w14:paraId="3532FC22">
            <w:pPr>
              <w:jc w:val="center"/>
              <w:rPr>
                <w:rFonts w:hint="eastAsia" w:ascii="方正仿宋_GBK" w:hAnsi="方正仿宋_GBK" w:eastAsia="方正仿宋_GBK" w:cs="方正仿宋_GBK"/>
                <w:i w:val="0"/>
                <w:iCs w:val="0"/>
                <w:color w:val="000000"/>
                <w:sz w:val="21"/>
                <w:szCs w:val="21"/>
                <w:u w:val="none"/>
              </w:rPr>
            </w:pPr>
          </w:p>
        </w:tc>
      </w:tr>
      <w:tr w14:paraId="4FAB5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410" w:type="dxa"/>
            <w:vMerge w:val="restart"/>
            <w:tcBorders>
              <w:top w:val="nil"/>
              <w:left w:val="single" w:color="000000" w:sz="8" w:space="0"/>
              <w:bottom w:val="nil"/>
              <w:right w:val="single" w:color="000000" w:sz="8" w:space="0"/>
            </w:tcBorders>
            <w:shd w:val="clear" w:color="auto" w:fill="auto"/>
            <w:vAlign w:val="center"/>
          </w:tcPr>
          <w:p w14:paraId="4D28DEF9">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技术方案</w:t>
            </w:r>
          </w:p>
        </w:tc>
        <w:tc>
          <w:tcPr>
            <w:tcW w:w="3245" w:type="dxa"/>
            <w:tcBorders>
              <w:top w:val="nil"/>
              <w:left w:val="nil"/>
              <w:bottom w:val="single" w:color="000000" w:sz="8" w:space="0"/>
              <w:right w:val="single" w:color="000000" w:sz="8" w:space="0"/>
            </w:tcBorders>
            <w:shd w:val="clear" w:color="auto" w:fill="auto"/>
            <w:vAlign w:val="center"/>
          </w:tcPr>
          <w:p w14:paraId="685D61C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风险控制体系</w:t>
            </w:r>
          </w:p>
        </w:tc>
        <w:tc>
          <w:tcPr>
            <w:tcW w:w="4543" w:type="dxa"/>
            <w:tcBorders>
              <w:top w:val="nil"/>
              <w:left w:val="nil"/>
              <w:bottom w:val="single" w:color="000000" w:sz="8" w:space="0"/>
              <w:right w:val="single" w:color="000000" w:sz="8" w:space="0"/>
            </w:tcBorders>
            <w:shd w:val="clear" w:color="auto" w:fill="auto"/>
            <w:vAlign w:val="center"/>
          </w:tcPr>
          <w:p w14:paraId="129B0DD1">
            <w:pPr>
              <w:jc w:val="center"/>
              <w:rPr>
                <w:rFonts w:hint="eastAsia" w:ascii="方正仿宋_GBK" w:hAnsi="方正仿宋_GBK" w:eastAsia="方正仿宋_GBK" w:cs="方正仿宋_GBK"/>
                <w:i w:val="0"/>
                <w:iCs w:val="0"/>
                <w:color w:val="000000"/>
                <w:sz w:val="21"/>
                <w:szCs w:val="21"/>
                <w:u w:val="none"/>
              </w:rPr>
            </w:pPr>
          </w:p>
        </w:tc>
      </w:tr>
      <w:tr w14:paraId="67219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1410" w:type="dxa"/>
            <w:vMerge w:val="continue"/>
            <w:tcBorders>
              <w:top w:val="nil"/>
              <w:left w:val="single" w:color="000000" w:sz="8" w:space="0"/>
              <w:bottom w:val="nil"/>
              <w:right w:val="single" w:color="000000" w:sz="8" w:space="0"/>
            </w:tcBorders>
            <w:shd w:val="clear" w:color="auto" w:fill="auto"/>
            <w:vAlign w:val="center"/>
          </w:tcPr>
          <w:p w14:paraId="44CD5A5F">
            <w:pPr>
              <w:jc w:val="center"/>
              <w:rPr>
                <w:rFonts w:hint="eastAsia" w:ascii="方正仿宋_GBK" w:hAnsi="方正仿宋_GBK" w:eastAsia="方正仿宋_GBK" w:cs="方正仿宋_GBK"/>
                <w:b/>
                <w:bCs/>
                <w:i w:val="0"/>
                <w:iCs w:val="0"/>
                <w:color w:val="000000"/>
                <w:sz w:val="21"/>
                <w:szCs w:val="21"/>
                <w:u w:val="none"/>
              </w:rPr>
            </w:pPr>
          </w:p>
        </w:tc>
        <w:tc>
          <w:tcPr>
            <w:tcW w:w="3245" w:type="dxa"/>
            <w:tcBorders>
              <w:top w:val="nil"/>
              <w:left w:val="nil"/>
              <w:bottom w:val="single" w:color="000000" w:sz="8" w:space="0"/>
              <w:right w:val="single" w:color="000000" w:sz="8" w:space="0"/>
            </w:tcBorders>
            <w:shd w:val="clear" w:color="auto" w:fill="auto"/>
            <w:vAlign w:val="center"/>
          </w:tcPr>
          <w:p w14:paraId="6083D5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信息安全情况</w:t>
            </w:r>
          </w:p>
        </w:tc>
        <w:tc>
          <w:tcPr>
            <w:tcW w:w="4543" w:type="dxa"/>
            <w:tcBorders>
              <w:top w:val="nil"/>
              <w:left w:val="nil"/>
              <w:bottom w:val="single" w:color="000000" w:sz="8" w:space="0"/>
              <w:right w:val="single" w:color="000000" w:sz="8" w:space="0"/>
            </w:tcBorders>
            <w:shd w:val="clear" w:color="auto" w:fill="auto"/>
            <w:vAlign w:val="center"/>
          </w:tcPr>
          <w:p w14:paraId="6F6A59C3">
            <w:pPr>
              <w:jc w:val="center"/>
              <w:rPr>
                <w:rFonts w:hint="eastAsia" w:ascii="方正仿宋_GBK" w:hAnsi="方正仿宋_GBK" w:eastAsia="方正仿宋_GBK" w:cs="方正仿宋_GBK"/>
                <w:i w:val="0"/>
                <w:iCs w:val="0"/>
                <w:color w:val="000000"/>
                <w:sz w:val="21"/>
                <w:szCs w:val="21"/>
                <w:u w:val="none"/>
              </w:rPr>
            </w:pPr>
          </w:p>
        </w:tc>
      </w:tr>
      <w:tr w14:paraId="66A7A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410" w:type="dxa"/>
            <w:vMerge w:val="continue"/>
            <w:tcBorders>
              <w:top w:val="nil"/>
              <w:left w:val="single" w:color="000000" w:sz="8" w:space="0"/>
              <w:bottom w:val="nil"/>
              <w:right w:val="single" w:color="000000" w:sz="8" w:space="0"/>
            </w:tcBorders>
            <w:shd w:val="clear" w:color="auto" w:fill="auto"/>
            <w:vAlign w:val="center"/>
          </w:tcPr>
          <w:p w14:paraId="22EF498A">
            <w:pPr>
              <w:jc w:val="center"/>
              <w:rPr>
                <w:rFonts w:hint="eastAsia" w:ascii="方正仿宋_GBK" w:hAnsi="方正仿宋_GBK" w:eastAsia="方正仿宋_GBK" w:cs="方正仿宋_GBK"/>
                <w:b/>
                <w:bCs/>
                <w:i w:val="0"/>
                <w:iCs w:val="0"/>
                <w:color w:val="000000"/>
                <w:sz w:val="21"/>
                <w:szCs w:val="21"/>
                <w:u w:val="none"/>
              </w:rPr>
            </w:pPr>
          </w:p>
        </w:tc>
        <w:tc>
          <w:tcPr>
            <w:tcW w:w="3245" w:type="dxa"/>
            <w:tcBorders>
              <w:top w:val="nil"/>
              <w:left w:val="nil"/>
              <w:bottom w:val="single" w:color="000000" w:sz="8" w:space="0"/>
              <w:right w:val="single" w:color="000000" w:sz="8" w:space="0"/>
            </w:tcBorders>
            <w:shd w:val="clear" w:color="auto" w:fill="auto"/>
            <w:vAlign w:val="center"/>
          </w:tcPr>
          <w:p w14:paraId="17613073">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2020年至今在开展受托业务时受监管部门处罚情况</w:t>
            </w:r>
          </w:p>
        </w:tc>
        <w:tc>
          <w:tcPr>
            <w:tcW w:w="4543" w:type="dxa"/>
            <w:tcBorders>
              <w:top w:val="nil"/>
              <w:left w:val="nil"/>
              <w:bottom w:val="single" w:color="000000" w:sz="8" w:space="0"/>
              <w:right w:val="single" w:color="000000" w:sz="8" w:space="0"/>
            </w:tcBorders>
            <w:shd w:val="clear" w:color="auto" w:fill="auto"/>
            <w:vAlign w:val="center"/>
          </w:tcPr>
          <w:p w14:paraId="7424A6FF">
            <w:pPr>
              <w:jc w:val="center"/>
              <w:rPr>
                <w:rFonts w:hint="eastAsia" w:ascii="方正仿宋_GBK" w:hAnsi="方正仿宋_GBK" w:eastAsia="方正仿宋_GBK" w:cs="方正仿宋_GBK"/>
                <w:i w:val="0"/>
                <w:iCs w:val="0"/>
                <w:color w:val="000000"/>
                <w:sz w:val="21"/>
                <w:szCs w:val="21"/>
                <w:u w:val="none"/>
              </w:rPr>
            </w:pPr>
          </w:p>
        </w:tc>
      </w:tr>
      <w:tr w14:paraId="30953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410" w:type="dxa"/>
            <w:vMerge w:val="continue"/>
            <w:tcBorders>
              <w:top w:val="nil"/>
              <w:left w:val="single" w:color="000000" w:sz="8" w:space="0"/>
              <w:bottom w:val="nil"/>
              <w:right w:val="single" w:color="000000" w:sz="8" w:space="0"/>
            </w:tcBorders>
            <w:shd w:val="clear" w:color="auto" w:fill="auto"/>
            <w:vAlign w:val="center"/>
          </w:tcPr>
          <w:p w14:paraId="75F62C93">
            <w:pPr>
              <w:jc w:val="center"/>
              <w:rPr>
                <w:rFonts w:hint="eastAsia" w:ascii="方正仿宋_GBK" w:hAnsi="方正仿宋_GBK" w:eastAsia="方正仿宋_GBK" w:cs="方正仿宋_GBK"/>
                <w:b/>
                <w:bCs/>
                <w:i w:val="0"/>
                <w:iCs w:val="0"/>
                <w:color w:val="000000"/>
                <w:sz w:val="21"/>
                <w:szCs w:val="21"/>
                <w:u w:val="none"/>
              </w:rPr>
            </w:pPr>
          </w:p>
        </w:tc>
        <w:tc>
          <w:tcPr>
            <w:tcW w:w="3245" w:type="dxa"/>
            <w:tcBorders>
              <w:top w:val="nil"/>
              <w:left w:val="nil"/>
              <w:bottom w:val="single" w:color="000000" w:sz="8" w:space="0"/>
              <w:right w:val="single" w:color="000000" w:sz="8" w:space="0"/>
            </w:tcBorders>
            <w:shd w:val="clear" w:color="auto" w:fill="auto"/>
            <w:vAlign w:val="center"/>
          </w:tcPr>
          <w:p w14:paraId="40C2E7A5">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受托机构为广西企业或者在广西有分支机构</w:t>
            </w:r>
          </w:p>
        </w:tc>
        <w:tc>
          <w:tcPr>
            <w:tcW w:w="4543" w:type="dxa"/>
            <w:tcBorders>
              <w:top w:val="nil"/>
              <w:left w:val="nil"/>
              <w:bottom w:val="single" w:color="000000" w:sz="8" w:space="0"/>
              <w:right w:val="single" w:color="000000" w:sz="8" w:space="0"/>
            </w:tcBorders>
            <w:shd w:val="clear" w:color="auto" w:fill="auto"/>
            <w:vAlign w:val="center"/>
          </w:tcPr>
          <w:p w14:paraId="5B4A86FE">
            <w:pPr>
              <w:jc w:val="center"/>
              <w:rPr>
                <w:rFonts w:hint="eastAsia" w:ascii="方正仿宋_GBK" w:hAnsi="方正仿宋_GBK" w:eastAsia="方正仿宋_GBK" w:cs="方正仿宋_GBK"/>
                <w:i w:val="0"/>
                <w:iCs w:val="0"/>
                <w:color w:val="000000"/>
                <w:sz w:val="21"/>
                <w:szCs w:val="21"/>
                <w:u w:val="none"/>
              </w:rPr>
            </w:pPr>
          </w:p>
        </w:tc>
      </w:tr>
      <w:tr w14:paraId="2D1D9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1410" w:type="dxa"/>
            <w:vMerge w:val="continue"/>
            <w:tcBorders>
              <w:top w:val="nil"/>
              <w:left w:val="single" w:color="000000" w:sz="8" w:space="0"/>
              <w:bottom w:val="nil"/>
              <w:right w:val="single" w:color="000000" w:sz="8" w:space="0"/>
            </w:tcBorders>
            <w:shd w:val="clear" w:color="auto" w:fill="auto"/>
            <w:vAlign w:val="center"/>
          </w:tcPr>
          <w:p w14:paraId="1771C09B">
            <w:pPr>
              <w:jc w:val="center"/>
              <w:rPr>
                <w:rFonts w:hint="eastAsia" w:ascii="方正仿宋_GBK" w:hAnsi="方正仿宋_GBK" w:eastAsia="方正仿宋_GBK" w:cs="方正仿宋_GBK"/>
                <w:b/>
                <w:bCs/>
                <w:i w:val="0"/>
                <w:iCs w:val="0"/>
                <w:color w:val="000000"/>
                <w:sz w:val="21"/>
                <w:szCs w:val="21"/>
                <w:u w:val="none"/>
              </w:rPr>
            </w:pPr>
          </w:p>
        </w:tc>
        <w:tc>
          <w:tcPr>
            <w:tcW w:w="3245" w:type="dxa"/>
            <w:tcBorders>
              <w:top w:val="single" w:color="000000" w:sz="8" w:space="0"/>
              <w:left w:val="nil"/>
              <w:bottom w:val="single" w:color="000000" w:sz="8" w:space="0"/>
              <w:right w:val="single" w:color="000000" w:sz="8" w:space="0"/>
            </w:tcBorders>
            <w:shd w:val="clear" w:color="auto" w:fill="auto"/>
            <w:vAlign w:val="center"/>
          </w:tcPr>
          <w:p w14:paraId="2CA30019">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能否提供及时上门服务，并列举可以提供远程服务方式和渠道，简要阐述。</w:t>
            </w:r>
          </w:p>
        </w:tc>
        <w:tc>
          <w:tcPr>
            <w:tcW w:w="4543" w:type="dxa"/>
            <w:tcBorders>
              <w:top w:val="nil"/>
              <w:left w:val="nil"/>
              <w:bottom w:val="single" w:color="000000" w:sz="8" w:space="0"/>
              <w:right w:val="single" w:color="000000" w:sz="8" w:space="0"/>
            </w:tcBorders>
            <w:shd w:val="clear" w:color="auto" w:fill="auto"/>
            <w:vAlign w:val="center"/>
          </w:tcPr>
          <w:p w14:paraId="396B14F8">
            <w:pPr>
              <w:jc w:val="center"/>
              <w:rPr>
                <w:rFonts w:hint="eastAsia" w:ascii="方正仿宋_GBK" w:hAnsi="方正仿宋_GBK" w:eastAsia="方正仿宋_GBK" w:cs="方正仿宋_GBK"/>
                <w:i w:val="0"/>
                <w:iCs w:val="0"/>
                <w:color w:val="000000"/>
                <w:sz w:val="21"/>
                <w:szCs w:val="21"/>
                <w:u w:val="none"/>
              </w:rPr>
            </w:pPr>
          </w:p>
        </w:tc>
      </w:tr>
      <w:tr w14:paraId="0E47B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4" w:hRule="atLeast"/>
        </w:trPr>
        <w:tc>
          <w:tcPr>
            <w:tcW w:w="1410" w:type="dxa"/>
            <w:vMerge w:val="continue"/>
            <w:tcBorders>
              <w:top w:val="nil"/>
              <w:left w:val="single" w:color="000000" w:sz="8" w:space="0"/>
              <w:bottom w:val="nil"/>
              <w:right w:val="single" w:color="000000" w:sz="8" w:space="0"/>
            </w:tcBorders>
            <w:shd w:val="clear" w:color="auto" w:fill="auto"/>
            <w:vAlign w:val="center"/>
          </w:tcPr>
          <w:p w14:paraId="385F7E75">
            <w:pPr>
              <w:jc w:val="center"/>
              <w:rPr>
                <w:rFonts w:hint="eastAsia" w:ascii="方正仿宋_GBK" w:hAnsi="方正仿宋_GBK" w:eastAsia="方正仿宋_GBK" w:cs="方正仿宋_GBK"/>
                <w:b/>
                <w:bCs/>
                <w:i w:val="0"/>
                <w:iCs w:val="0"/>
                <w:color w:val="000000"/>
                <w:sz w:val="21"/>
                <w:szCs w:val="21"/>
                <w:u w:val="none"/>
              </w:rPr>
            </w:pPr>
          </w:p>
        </w:tc>
        <w:tc>
          <w:tcPr>
            <w:tcW w:w="3245" w:type="dxa"/>
            <w:tcBorders>
              <w:top w:val="nil"/>
              <w:left w:val="nil"/>
              <w:bottom w:val="single" w:color="000000" w:sz="8" w:space="0"/>
              <w:right w:val="single" w:color="000000" w:sz="8" w:space="0"/>
            </w:tcBorders>
            <w:shd w:val="clear" w:color="auto" w:fill="auto"/>
            <w:vAlign w:val="center"/>
          </w:tcPr>
          <w:p w14:paraId="0B270A58">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截至2024年，在全国31个省市区和中央国家机关、新疆生产建设兵团的职业年金招标结果中，进入第一档且取得评分第一或并列第一的次数</w:t>
            </w:r>
          </w:p>
        </w:tc>
        <w:tc>
          <w:tcPr>
            <w:tcW w:w="4543" w:type="dxa"/>
            <w:tcBorders>
              <w:top w:val="nil"/>
              <w:left w:val="nil"/>
              <w:bottom w:val="single" w:color="000000" w:sz="8" w:space="0"/>
              <w:right w:val="single" w:color="000000" w:sz="8" w:space="0"/>
            </w:tcBorders>
            <w:shd w:val="clear" w:color="auto" w:fill="auto"/>
            <w:vAlign w:val="center"/>
          </w:tcPr>
          <w:p w14:paraId="30413F9A">
            <w:pPr>
              <w:jc w:val="center"/>
              <w:rPr>
                <w:rFonts w:hint="eastAsia" w:ascii="方正仿宋_GBK" w:hAnsi="方正仿宋_GBK" w:eastAsia="方正仿宋_GBK" w:cs="方正仿宋_GBK"/>
                <w:i w:val="0"/>
                <w:iCs w:val="0"/>
                <w:color w:val="000000"/>
                <w:sz w:val="21"/>
                <w:szCs w:val="21"/>
                <w:u w:val="none"/>
              </w:rPr>
            </w:pPr>
          </w:p>
        </w:tc>
      </w:tr>
      <w:tr w14:paraId="49F3F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410" w:type="dxa"/>
            <w:vMerge w:val="continue"/>
            <w:tcBorders>
              <w:top w:val="nil"/>
              <w:left w:val="single" w:color="000000" w:sz="8" w:space="0"/>
              <w:bottom w:val="nil"/>
              <w:right w:val="single" w:color="000000" w:sz="8" w:space="0"/>
            </w:tcBorders>
            <w:shd w:val="clear" w:color="auto" w:fill="auto"/>
            <w:vAlign w:val="center"/>
          </w:tcPr>
          <w:p w14:paraId="129D612F">
            <w:pPr>
              <w:jc w:val="center"/>
              <w:rPr>
                <w:rFonts w:hint="eastAsia" w:ascii="方正仿宋_GBK" w:hAnsi="方正仿宋_GBK" w:eastAsia="方正仿宋_GBK" w:cs="方正仿宋_GBK"/>
                <w:b/>
                <w:bCs/>
                <w:i w:val="0"/>
                <w:iCs w:val="0"/>
                <w:color w:val="000000"/>
                <w:sz w:val="21"/>
                <w:szCs w:val="21"/>
                <w:u w:val="none"/>
              </w:rPr>
            </w:pPr>
          </w:p>
        </w:tc>
        <w:tc>
          <w:tcPr>
            <w:tcW w:w="3245" w:type="dxa"/>
            <w:tcBorders>
              <w:top w:val="nil"/>
              <w:left w:val="nil"/>
              <w:bottom w:val="single" w:color="000000" w:sz="8" w:space="0"/>
              <w:right w:val="single" w:color="000000" w:sz="8" w:space="0"/>
            </w:tcBorders>
            <w:shd w:val="clear" w:color="auto" w:fill="auto"/>
            <w:vAlign w:val="center"/>
          </w:tcPr>
          <w:p w14:paraId="2BB5F04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能根据企业年金计划运行管理各阶段实际需要提出相关工作方案或建议，完善管理办法，提高管理的效能等。</w:t>
            </w:r>
          </w:p>
        </w:tc>
        <w:tc>
          <w:tcPr>
            <w:tcW w:w="4543" w:type="dxa"/>
            <w:tcBorders>
              <w:top w:val="nil"/>
              <w:left w:val="nil"/>
              <w:bottom w:val="single" w:color="000000" w:sz="8" w:space="0"/>
              <w:right w:val="single" w:color="000000" w:sz="8" w:space="0"/>
            </w:tcBorders>
            <w:shd w:val="clear" w:color="auto" w:fill="auto"/>
            <w:vAlign w:val="center"/>
          </w:tcPr>
          <w:p w14:paraId="125DB267">
            <w:pPr>
              <w:jc w:val="center"/>
              <w:rPr>
                <w:rFonts w:hint="eastAsia" w:ascii="方正仿宋_GBK" w:hAnsi="方正仿宋_GBK" w:eastAsia="方正仿宋_GBK" w:cs="方正仿宋_GBK"/>
                <w:i w:val="0"/>
                <w:iCs w:val="0"/>
                <w:color w:val="000000"/>
                <w:sz w:val="21"/>
                <w:szCs w:val="21"/>
                <w:u w:val="none"/>
              </w:rPr>
            </w:pPr>
          </w:p>
        </w:tc>
      </w:tr>
      <w:tr w14:paraId="77CA7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410" w:type="dxa"/>
            <w:vMerge w:val="continue"/>
            <w:tcBorders>
              <w:top w:val="nil"/>
              <w:left w:val="single" w:color="000000" w:sz="8" w:space="0"/>
              <w:bottom w:val="nil"/>
              <w:right w:val="single" w:color="000000" w:sz="8" w:space="0"/>
            </w:tcBorders>
            <w:shd w:val="clear" w:color="auto" w:fill="auto"/>
            <w:vAlign w:val="center"/>
          </w:tcPr>
          <w:p w14:paraId="780CCACD">
            <w:pPr>
              <w:jc w:val="center"/>
              <w:rPr>
                <w:rFonts w:hint="eastAsia" w:ascii="方正仿宋_GBK" w:hAnsi="方正仿宋_GBK" w:eastAsia="方正仿宋_GBK" w:cs="方正仿宋_GBK"/>
                <w:b/>
                <w:bCs/>
                <w:i w:val="0"/>
                <w:iCs w:val="0"/>
                <w:color w:val="000000"/>
                <w:sz w:val="21"/>
                <w:szCs w:val="21"/>
                <w:u w:val="none"/>
              </w:rPr>
            </w:pPr>
          </w:p>
        </w:tc>
        <w:tc>
          <w:tcPr>
            <w:tcW w:w="3245" w:type="dxa"/>
            <w:tcBorders>
              <w:top w:val="nil"/>
              <w:left w:val="nil"/>
              <w:bottom w:val="single" w:color="000000" w:sz="8" w:space="0"/>
              <w:right w:val="single" w:color="000000" w:sz="8" w:space="0"/>
            </w:tcBorders>
            <w:shd w:val="clear" w:color="auto" w:fill="auto"/>
            <w:vAlign w:val="center"/>
          </w:tcPr>
          <w:p w14:paraId="5F27F60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免费的客户服务与增值服务</w:t>
            </w:r>
          </w:p>
        </w:tc>
        <w:tc>
          <w:tcPr>
            <w:tcW w:w="4543" w:type="dxa"/>
            <w:tcBorders>
              <w:top w:val="nil"/>
              <w:left w:val="nil"/>
              <w:bottom w:val="single" w:color="000000" w:sz="8" w:space="0"/>
              <w:right w:val="single" w:color="000000" w:sz="8" w:space="0"/>
            </w:tcBorders>
            <w:shd w:val="clear" w:color="auto" w:fill="auto"/>
            <w:vAlign w:val="center"/>
          </w:tcPr>
          <w:p w14:paraId="45DEA1D2">
            <w:pPr>
              <w:jc w:val="center"/>
              <w:rPr>
                <w:rFonts w:hint="eastAsia" w:ascii="方正仿宋_GBK" w:hAnsi="方正仿宋_GBK" w:eastAsia="方正仿宋_GBK" w:cs="方正仿宋_GBK"/>
                <w:i w:val="0"/>
                <w:iCs w:val="0"/>
                <w:color w:val="000000"/>
                <w:sz w:val="21"/>
                <w:szCs w:val="21"/>
                <w:u w:val="none"/>
              </w:rPr>
            </w:pPr>
          </w:p>
        </w:tc>
      </w:tr>
    </w:tbl>
    <w:p w14:paraId="2C1F045D">
      <w:pPr>
        <w:pStyle w:val="3"/>
      </w:pPr>
    </w:p>
    <w:p w14:paraId="7BAB00D2">
      <w:pPr>
        <w:rPr>
          <w:color w:val="auto"/>
          <w:highlight w:val="none"/>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93D6567A-14CC-4C3D-B49C-C26697CF9BB2}"/>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2" w:fontKey="{28B5D44E-4820-4FA6-B525-8927F8D8C35A}"/>
  </w:font>
  <w:font w:name="仿宋">
    <w:panose1 w:val="02010609060101010101"/>
    <w:charset w:val="86"/>
    <w:family w:val="auto"/>
    <w:pitch w:val="default"/>
    <w:sig w:usb0="800002BF" w:usb1="38CF7CFA" w:usb2="00000016" w:usb3="00000000" w:csb0="00040001" w:csb1="00000000"/>
    <w:embedRegular r:id="rId3" w:fontKey="{8627B307-E7B9-4A38-9466-A72BF449C87C}"/>
  </w:font>
  <w:font w:name="方正仿宋_GBK">
    <w:panose1 w:val="03000509000000000000"/>
    <w:charset w:val="86"/>
    <w:family w:val="auto"/>
    <w:pitch w:val="default"/>
    <w:sig w:usb0="00000001" w:usb1="080E0000" w:usb2="00000000" w:usb3="00000000" w:csb0="00040000" w:csb1="00000000"/>
    <w:embedRegular r:id="rId4" w:fontKey="{725664C6-01FE-4DB5-A806-1B254A4252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CF64A">
    <w:pPr>
      <w:pStyle w:val="1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098EF1C1">
                          <w:pPr>
                            <w:pStyle w:val="1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098EF1C1">
                    <w:pPr>
                      <w:pStyle w:val="1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151E3"/>
    <w:rsid w:val="1B0C4929"/>
    <w:rsid w:val="349F4F3D"/>
    <w:rsid w:val="3B8A594D"/>
    <w:rsid w:val="44986F84"/>
    <w:rsid w:val="47A85730"/>
    <w:rsid w:val="4EA36C51"/>
    <w:rsid w:val="528B079D"/>
    <w:rsid w:val="5C157F47"/>
    <w:rsid w:val="5DED0C7B"/>
    <w:rsid w:val="6417755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1"/>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Normal Indent"/>
    <w:basedOn w:val="1"/>
    <w:qFormat/>
    <w:uiPriority w:val="0"/>
    <w:pPr>
      <w:ind w:firstLine="420"/>
    </w:pPr>
    <w:rPr>
      <w:szCs w:val="20"/>
    </w:rPr>
  </w:style>
  <w:style w:type="paragraph" w:styleId="8">
    <w:name w:val="toa heading"/>
    <w:basedOn w:val="1"/>
    <w:next w:val="1"/>
    <w:unhideWhenUsed/>
    <w:qFormat/>
    <w:uiPriority w:val="99"/>
    <w:pPr>
      <w:spacing w:before="120"/>
    </w:pPr>
    <w:rPr>
      <w:rFonts w:ascii="Arial" w:hAnsi="Arial"/>
      <w:sz w:val="24"/>
    </w:rPr>
  </w:style>
  <w:style w:type="paragraph" w:styleId="9">
    <w:name w:val="annotation text"/>
    <w:basedOn w:val="1"/>
    <w:link w:val="55"/>
    <w:qFormat/>
    <w:uiPriority w:val="0"/>
    <w:pPr>
      <w:jc w:val="left"/>
    </w:pPr>
  </w:style>
  <w:style w:type="paragraph" w:styleId="10">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qFormat/>
    <w:uiPriority w:val="0"/>
  </w:style>
  <w:style w:type="paragraph" w:styleId="12">
    <w:name w:val="toc 3"/>
    <w:basedOn w:val="1"/>
    <w:next w:val="1"/>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57" w:afterAutospacing="0" w:line="240" w:lineRule="auto"/>
      <w:ind w:left="567" w:right="0" w:firstLine="0"/>
      <w:jc w:val="left"/>
    </w:pPr>
    <w:rPr>
      <w:rFonts w:ascii="Times New Roman" w:hAnsi="Times New Roman" w:eastAsia="宋体" w:cs="Times New Roman"/>
      <w:color w:val="auto"/>
      <w:spacing w:val="0"/>
      <w:position w:val="0"/>
      <w:sz w:val="20"/>
      <w:szCs w:val="22"/>
      <w:lang w:val="en-US" w:eastAsia="en-US" w:bidi="en-US"/>
    </w:rPr>
  </w:style>
  <w:style w:type="paragraph" w:styleId="13">
    <w:name w:val="Plain Text"/>
    <w:basedOn w:val="1"/>
    <w:qFormat/>
    <w:uiPriority w:val="0"/>
    <w:rPr>
      <w:rFonts w:ascii="宋体" w:eastAsia="宋体" w:cs="Courier New"/>
      <w:szCs w:val="21"/>
    </w:rPr>
  </w:style>
  <w:style w:type="paragraph" w:styleId="14">
    <w:name w:val="Date"/>
    <w:basedOn w:val="1"/>
    <w:next w:val="1"/>
    <w:qFormat/>
    <w:uiPriority w:val="0"/>
    <w:pPr>
      <w:ind w:left="100" w:leftChars="2500"/>
    </w:pPr>
  </w:style>
  <w:style w:type="paragraph" w:styleId="15">
    <w:name w:val="Balloon Text"/>
    <w:basedOn w:val="1"/>
    <w:link w:val="54"/>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next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9">
    <w:name w:val="toc 6"/>
    <w:basedOn w:val="1"/>
    <w:next w:val="1"/>
    <w:qFormat/>
    <w:uiPriority w:val="0"/>
    <w:pPr>
      <w:ind w:left="1000" w:leftChars="1000"/>
    </w:pPr>
  </w:style>
  <w:style w:type="paragraph" w:styleId="20">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1">
    <w:name w:val="Normal (Web)"/>
    <w:basedOn w:val="1"/>
    <w:qFormat/>
    <w:uiPriority w:val="0"/>
    <w:pPr>
      <w:spacing w:beforeAutospacing="1" w:afterAutospacing="1"/>
      <w:jc w:val="left"/>
    </w:pPr>
    <w:rPr>
      <w:rFonts w:cs="Times New Roman"/>
      <w:kern w:val="0"/>
      <w:sz w:val="24"/>
    </w:rPr>
  </w:style>
  <w:style w:type="paragraph" w:styleId="22">
    <w:name w:val="Title"/>
    <w:basedOn w:val="1"/>
    <w:next w:val="1"/>
    <w:qFormat/>
    <w:uiPriority w:val="10"/>
    <w:pPr>
      <w:spacing w:before="240" w:after="60"/>
      <w:jc w:val="center"/>
      <w:outlineLvl w:val="0"/>
    </w:pPr>
    <w:rPr>
      <w:rFonts w:ascii="Cambria" w:hAnsi="Cambria"/>
      <w:b/>
      <w:bCs/>
      <w:sz w:val="32"/>
      <w:szCs w:val="32"/>
    </w:rPr>
  </w:style>
  <w:style w:type="paragraph" w:styleId="23">
    <w:name w:val="annotation subject"/>
    <w:basedOn w:val="9"/>
    <w:next w:val="9"/>
    <w:link w:val="56"/>
    <w:unhideWhenUsed/>
    <w:qFormat/>
    <w:uiPriority w:val="99"/>
    <w:rPr>
      <w:b/>
      <w:bCs/>
    </w:rPr>
  </w:style>
  <w:style w:type="paragraph" w:styleId="24">
    <w:name w:val="Body Text First Indent"/>
    <w:basedOn w:val="11"/>
    <w:next w:val="19"/>
    <w:qFormat/>
    <w:uiPriority w:val="0"/>
    <w:pPr>
      <w:ind w:firstLine="420" w:firstLineChars="100"/>
    </w:pPr>
  </w:style>
  <w:style w:type="table" w:styleId="26">
    <w:name w:val="Table Grid"/>
    <w:basedOn w:val="25"/>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FollowedHyperlink"/>
    <w:basedOn w:val="27"/>
    <w:unhideWhenUsed/>
    <w:qFormat/>
    <w:uiPriority w:val="99"/>
    <w:rPr>
      <w:color w:val="800080"/>
      <w:u w:val="single"/>
    </w:rPr>
  </w:style>
  <w:style w:type="character" w:styleId="29">
    <w:name w:val="Hyperlink"/>
    <w:basedOn w:val="27"/>
    <w:unhideWhenUsed/>
    <w:qFormat/>
    <w:uiPriority w:val="99"/>
    <w:rPr>
      <w:color w:val="0000FF"/>
      <w:u w:val="single"/>
    </w:rPr>
  </w:style>
  <w:style w:type="character" w:styleId="30">
    <w:name w:val="annotation reference"/>
    <w:basedOn w:val="27"/>
    <w:unhideWhenUsed/>
    <w:qFormat/>
    <w:uiPriority w:val="99"/>
    <w:rPr>
      <w:sz w:val="21"/>
      <w:szCs w:val="21"/>
    </w:rPr>
  </w:style>
  <w:style w:type="paragraph" w:customStyle="1" w:styleId="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2">
    <w:name w:val="页眉 Char"/>
    <w:basedOn w:val="27"/>
    <w:link w:val="17"/>
    <w:qFormat/>
    <w:uiPriority w:val="99"/>
    <w:rPr>
      <w:sz w:val="18"/>
      <w:szCs w:val="18"/>
    </w:rPr>
  </w:style>
  <w:style w:type="character" w:customStyle="1" w:styleId="33">
    <w:name w:val="页脚 Char"/>
    <w:basedOn w:val="27"/>
    <w:link w:val="16"/>
    <w:qFormat/>
    <w:uiPriority w:val="99"/>
    <w:rPr>
      <w:sz w:val="18"/>
      <w:szCs w:val="18"/>
    </w:rPr>
  </w:style>
  <w:style w:type="paragraph" w:customStyle="1" w:styleId="34">
    <w:name w:val="List Paragraph"/>
    <w:basedOn w:val="1"/>
    <w:qFormat/>
    <w:uiPriority w:val="34"/>
    <w:pPr>
      <w:ind w:firstLine="420" w:firstLineChars="200"/>
    </w:pPr>
    <w:rPr>
      <w:rFonts w:ascii="Calibri" w:hAnsi="Calibri" w:eastAsia="宋体" w:cs="Times New Roman"/>
    </w:rPr>
  </w:style>
  <w:style w:type="paragraph" w:customStyle="1" w:styleId="35">
    <w:name w:val="p16"/>
    <w:qFormat/>
    <w:uiPriority w:val="0"/>
    <w:pPr>
      <w:jc w:val="both"/>
    </w:pPr>
    <w:rPr>
      <w:rFonts w:ascii="宋体" w:hAnsi="宋体" w:eastAsia="宋体" w:cs="宋体"/>
      <w:color w:val="000000"/>
      <w:lang w:val="en-US" w:eastAsia="zh-CN" w:bidi="ar-SA"/>
    </w:rPr>
  </w:style>
  <w:style w:type="paragraph" w:customStyle="1" w:styleId="36">
    <w:name w:val="Table Paragraph"/>
    <w:basedOn w:val="1"/>
    <w:qFormat/>
    <w:uiPriority w:val="1"/>
  </w:style>
  <w:style w:type="paragraph" w:customStyle="1" w:styleId="37">
    <w:name w:val="正文_0"/>
    <w:qFormat/>
    <w:uiPriority w:val="0"/>
    <w:rPr>
      <w:rFonts w:ascii="Times New Roman" w:hAnsi="Times New Roman" w:eastAsiaTheme="minorEastAsia" w:cstheme="minorBidi"/>
      <w:sz w:val="21"/>
      <w:szCs w:val="22"/>
      <w:lang w:val="en-US" w:eastAsia="zh-CN" w:bidi="ar-SA"/>
    </w:rPr>
  </w:style>
  <w:style w:type="paragraph" w:customStyle="1" w:styleId="38">
    <w:name w:val="表格文字115"/>
    <w:basedOn w:val="1"/>
    <w:qFormat/>
    <w:uiPriority w:val="0"/>
    <w:rPr>
      <w:bCs/>
      <w:spacing w:val="10"/>
      <w:kern w:val="0"/>
      <w:sz w:val="24"/>
    </w:rPr>
  </w:style>
  <w:style w:type="paragraph" w:customStyle="1" w:styleId="39">
    <w:name w:val="p0"/>
    <w:basedOn w:val="1"/>
    <w:qFormat/>
    <w:uiPriority w:val="0"/>
    <w:pPr>
      <w:widowControl/>
    </w:pPr>
    <w:rPr>
      <w:kern w:val="0"/>
      <w:szCs w:val="21"/>
    </w:rPr>
  </w:style>
  <w:style w:type="character" w:customStyle="1" w:styleId="40">
    <w:name w:val="apple-converted-space"/>
    <w:basedOn w:val="27"/>
    <w:qFormat/>
    <w:uiPriority w:val="0"/>
  </w:style>
  <w:style w:type="paragraph" w:customStyle="1" w:styleId="41">
    <w:name w:val="默认段落字体 Para Char Char Char Char Char Char Char"/>
    <w:basedOn w:val="1"/>
    <w:qFormat/>
    <w:uiPriority w:val="0"/>
    <w:pPr>
      <w:adjustRightInd w:val="0"/>
      <w:spacing w:line="360" w:lineRule="auto"/>
    </w:pPr>
  </w:style>
  <w:style w:type="paragraph" w:customStyle="1" w:styleId="42">
    <w:name w:val="首行缩进"/>
    <w:basedOn w:val="1"/>
    <w:qFormat/>
    <w:uiPriority w:val="0"/>
    <w:pPr>
      <w:ind w:firstLine="480" w:firstLineChars="200"/>
    </w:pPr>
    <w:rPr>
      <w:szCs w:val="20"/>
    </w:rPr>
  </w:style>
  <w:style w:type="paragraph" w:customStyle="1" w:styleId="43">
    <w:name w:val="No Spacing"/>
    <w:qFormat/>
    <w:uiPriority w:val="1"/>
    <w:pPr>
      <w:jc w:val="both"/>
    </w:pPr>
    <w:rPr>
      <w:rFonts w:ascii="Times New Roman" w:hAnsi="Times New Roman" w:eastAsia="宋体" w:cs="Times New Roman"/>
      <w:kern w:val="2"/>
      <w:sz w:val="21"/>
      <w:lang w:val="en-US" w:eastAsia="zh-CN" w:bidi="ar-SA"/>
    </w:rPr>
  </w:style>
  <w:style w:type="paragraph" w:customStyle="1" w:styleId="44">
    <w:name w:val="采购一"/>
    <w:basedOn w:val="1"/>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5">
    <w:name w:val="采购二"/>
    <w:basedOn w:val="44"/>
    <w:qFormat/>
    <w:uiPriority w:val="0"/>
    <w:pPr>
      <w:spacing w:beforeLines="50" w:afterLines="0"/>
    </w:pPr>
    <w:rPr>
      <w:sz w:val="28"/>
      <w:szCs w:val="28"/>
    </w:rPr>
  </w:style>
  <w:style w:type="paragraph" w:customStyle="1" w:styleId="46">
    <w:name w:val="采购三"/>
    <w:basedOn w:val="45"/>
    <w:qFormat/>
    <w:uiPriority w:val="0"/>
    <w:pPr>
      <w:spacing w:afterLines="50" w:line="240" w:lineRule="auto"/>
      <w:jc w:val="left"/>
    </w:pPr>
    <w:rPr>
      <w:sz w:val="24"/>
      <w:lang w:bidi="zh-CN"/>
    </w:rPr>
  </w:style>
  <w:style w:type="character" w:customStyle="1" w:styleId="47">
    <w:name w:val="font51"/>
    <w:basedOn w:val="27"/>
    <w:qFormat/>
    <w:uiPriority w:val="0"/>
    <w:rPr>
      <w:rFonts w:hint="eastAsia" w:ascii="宋体" w:hAnsi="宋体" w:eastAsia="宋体" w:cs="宋体"/>
      <w:color w:val="000000"/>
      <w:sz w:val="32"/>
      <w:szCs w:val="32"/>
      <w:u w:val="none"/>
    </w:rPr>
  </w:style>
  <w:style w:type="character" w:customStyle="1" w:styleId="48">
    <w:name w:val="font31"/>
    <w:basedOn w:val="27"/>
    <w:qFormat/>
    <w:uiPriority w:val="0"/>
    <w:rPr>
      <w:rFonts w:ascii="宋体" w:hAnsi="宋体" w:eastAsia="宋体" w:cs="宋体"/>
      <w:color w:val="000000"/>
      <w:sz w:val="32"/>
      <w:szCs w:val="32"/>
      <w:u w:val="single"/>
    </w:rPr>
  </w:style>
  <w:style w:type="character" w:customStyle="1" w:styleId="49">
    <w:name w:val="font21"/>
    <w:basedOn w:val="27"/>
    <w:qFormat/>
    <w:uiPriority w:val="0"/>
    <w:rPr>
      <w:rFonts w:ascii="宋体" w:hAnsi="宋体" w:eastAsia="宋体" w:cs="宋体"/>
      <w:color w:val="000000"/>
      <w:sz w:val="32"/>
      <w:szCs w:val="32"/>
      <w:u w:val="none"/>
    </w:rPr>
  </w:style>
  <w:style w:type="character" w:customStyle="1" w:styleId="50">
    <w:name w:val="font11"/>
    <w:basedOn w:val="27"/>
    <w:qFormat/>
    <w:uiPriority w:val="0"/>
    <w:rPr>
      <w:rFonts w:ascii="Calibri" w:hAnsi="Calibri" w:cs="Calibri"/>
      <w:color w:val="000000"/>
      <w:sz w:val="32"/>
      <w:szCs w:val="32"/>
      <w:u w:val="none"/>
    </w:rPr>
  </w:style>
  <w:style w:type="character" w:customStyle="1" w:styleId="51">
    <w:name w:val="font01"/>
    <w:basedOn w:val="27"/>
    <w:qFormat/>
    <w:uiPriority w:val="0"/>
    <w:rPr>
      <w:rFonts w:hint="eastAsia" w:ascii="宋体" w:hAnsi="宋体" w:eastAsia="宋体" w:cs="宋体"/>
      <w:color w:val="000000"/>
      <w:sz w:val="20"/>
      <w:szCs w:val="20"/>
      <w:u w:val="none"/>
    </w:rPr>
  </w:style>
  <w:style w:type="paragraph" w:customStyle="1" w:styleId="52">
    <w:name w:val="Normal_0"/>
    <w:qFormat/>
    <w:uiPriority w:val="0"/>
    <w:rPr>
      <w:rFonts w:eastAsia="Times New Roman" w:asciiTheme="minorHAnsi" w:hAnsiTheme="minorHAnsi" w:cstheme="minorBidi"/>
      <w:sz w:val="24"/>
      <w:szCs w:val="24"/>
      <w:lang w:val="en-US" w:eastAsia="zh-CN" w:bidi="ar-SA"/>
    </w:rPr>
  </w:style>
  <w:style w:type="paragraph" w:customStyle="1" w:styleId="53">
    <w:name w:val="Normal_2"/>
    <w:qFormat/>
    <w:uiPriority w:val="0"/>
    <w:rPr>
      <w:rFonts w:ascii="Times New Roman" w:hAnsi="Times New Roman" w:eastAsia="Times New Roman" w:cs="Times New Roman"/>
      <w:sz w:val="24"/>
      <w:szCs w:val="24"/>
      <w:lang w:val="en-US" w:eastAsia="zh-CN" w:bidi="ar-SA"/>
    </w:rPr>
  </w:style>
  <w:style w:type="character" w:customStyle="1" w:styleId="54">
    <w:name w:val="批注框文本 Char"/>
    <w:basedOn w:val="27"/>
    <w:link w:val="15"/>
    <w:semiHidden/>
    <w:qFormat/>
    <w:uiPriority w:val="99"/>
    <w:rPr>
      <w:rFonts w:asciiTheme="minorHAnsi" w:hAnsiTheme="minorHAnsi" w:eastAsiaTheme="minorEastAsia" w:cstheme="minorBidi"/>
      <w:kern w:val="2"/>
      <w:sz w:val="18"/>
      <w:szCs w:val="18"/>
    </w:rPr>
  </w:style>
  <w:style w:type="character" w:customStyle="1" w:styleId="55">
    <w:name w:val="批注文字 Char"/>
    <w:basedOn w:val="27"/>
    <w:link w:val="9"/>
    <w:qFormat/>
    <w:uiPriority w:val="0"/>
    <w:rPr>
      <w:rFonts w:asciiTheme="minorHAnsi" w:hAnsiTheme="minorHAnsi" w:eastAsiaTheme="minorEastAsia" w:cstheme="minorBidi"/>
      <w:kern w:val="2"/>
      <w:sz w:val="21"/>
      <w:szCs w:val="22"/>
    </w:rPr>
  </w:style>
  <w:style w:type="character" w:customStyle="1" w:styleId="56">
    <w:name w:val="批注主题 Char"/>
    <w:basedOn w:val="55"/>
    <w:link w:val="23"/>
    <w:semiHidden/>
    <w:qFormat/>
    <w:uiPriority w:val="99"/>
    <w:rPr>
      <w:rFonts w:asciiTheme="minorHAnsi" w:hAnsiTheme="minorHAnsi" w:eastAsiaTheme="minorEastAsia" w:cstheme="minorBidi"/>
      <w:b/>
      <w:bCs/>
      <w:kern w:val="2"/>
      <w:sz w:val="21"/>
      <w:szCs w:val="22"/>
    </w:rPr>
  </w:style>
  <w:style w:type="paragraph" w:customStyle="1" w:styleId="57">
    <w:name w:val="正文2"/>
    <w:basedOn w:val="58"/>
    <w:qFormat/>
    <w:uiPriority w:val="0"/>
    <w:pPr>
      <w:spacing w:before="156" w:line="360" w:lineRule="auto"/>
      <w:ind w:firstLine="510"/>
    </w:pPr>
    <w:rPr>
      <w:rFonts w:ascii="Calibri" w:hAnsi="Calibri" w:eastAsia="宋体"/>
      <w:sz w:val="24"/>
      <w:szCs w:val="20"/>
    </w:rPr>
  </w:style>
  <w:style w:type="paragraph" w:customStyle="1" w:styleId="58">
    <w:name w:val="正文11"/>
    <w:next w:val="59"/>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both"/>
    </w:pPr>
    <w:rPr>
      <w:rFonts w:ascii="Times New Roman" w:hAnsi="Times New Roman" w:eastAsia="宋体" w:cs="Times New Roman"/>
      <w:color w:val="auto"/>
      <w:spacing w:val="0"/>
      <w:position w:val="0"/>
      <w:sz w:val="21"/>
      <w:szCs w:val="22"/>
      <w:lang w:val="en-US" w:eastAsia="zh-CN" w:bidi="ar-SA"/>
    </w:rPr>
  </w:style>
  <w:style w:type="paragraph" w:customStyle="1" w:styleId="59">
    <w:name w:val="标题 21"/>
    <w:basedOn w:val="58"/>
    <w:next w:val="60"/>
    <w:qFormat/>
    <w:uiPriority w:val="0"/>
    <w:pPr>
      <w:keepNext/>
      <w:keepLines/>
      <w:spacing w:before="260" w:after="260" w:line="413" w:lineRule="auto"/>
      <w:outlineLvl w:val="1"/>
    </w:pPr>
    <w:rPr>
      <w:rFonts w:ascii="Cambria" w:hAnsi="Cambria" w:eastAsia="宋体"/>
      <w:b/>
      <w:bCs/>
      <w:sz w:val="32"/>
      <w:szCs w:val="32"/>
    </w:rPr>
  </w:style>
  <w:style w:type="paragraph" w:customStyle="1" w:styleId="60">
    <w:name w:val="正文1"/>
    <w:basedOn w:val="12"/>
    <w:next w:val="59"/>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tLeast"/>
      <w:ind w:left="0" w:right="0" w:firstLine="0"/>
      <w:jc w:val="both"/>
    </w:pPr>
    <w:rPr>
      <w:rFonts w:ascii="宋体" w:hAnsi="Times New Roman" w:eastAsia="宋体" w:cs="Times New Roman"/>
      <w:color w:val="auto"/>
      <w:spacing w:val="0"/>
      <w:position w:val="0"/>
      <w:sz w:val="34"/>
      <w:szCs w:val="22"/>
      <w:lang w:val="en-US" w:eastAsia="zh-CN" w:bidi="ar-SA"/>
    </w:rPr>
  </w:style>
  <w:style w:type="character" w:customStyle="1" w:styleId="61">
    <w:name w:val="标题 1 Char"/>
    <w:link w:val="2"/>
    <w:unhideWhenUsed/>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8129</Words>
  <Characters>8657</Characters>
  <Lines>80</Lines>
  <Paragraphs>22</Paragraphs>
  <TotalTime>2</TotalTime>
  <ScaleCrop>false</ScaleCrop>
  <LinksUpToDate>false</LinksUpToDate>
  <CharactersWithSpaces>8783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2024-09-06T17:21:00Z</dcterms:created>
  <dc:creator>Zeng Bin Fan</dc:creator>
  <cp:lastModifiedBy>风控审计部裴炳昌</cp:lastModifiedBy>
  <cp:lastPrinted>2025-03-28T09:23:00Z</cp:lastPrinted>
  <dcterms:modified xsi:type="dcterms:W3CDTF">2025-04-18T00:31:01Z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FA66BEC679064687957F43E3E2649515_13</vt:lpwstr>
  </property>
  <property fmtid="{D5CDD505-2E9C-101B-9397-08002B2CF9AE}" pid="4" name="KSOTemplateDocerSaveRecord">
    <vt:lpwstr>eyJoZGlkIjoiZTE5MDRkN2UyZWU2ZmU4NGE1YjI3ZDQ0MWRkNzEyYzkiLCJ1c2VySWQiOiI0MTg5MzY0NjEifQ==</vt:lpwstr>
  </property>
</Properties>
</file>