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CDE1">
      <w:pPr>
        <w:pStyle w:val="2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sz w:val="32"/>
          <w:szCs w:val="32"/>
          <w:u w:val="single"/>
        </w:rPr>
      </w:pPr>
    </w:p>
    <w:p w14:paraId="113C2294">
      <w:pPr>
        <w:jc w:val="center"/>
        <w:rPr>
          <w:rFonts w:hint="eastAsia" w:ascii="宋体" w:hAnsi="宋体" w:eastAsia="宋体" w:cs="宋体"/>
          <w:b/>
          <w:bCs/>
          <w:color w:val="000000"/>
          <w:spacing w:val="0"/>
          <w:w w:val="100"/>
          <w:position w:val="0"/>
          <w:sz w:val="32"/>
          <w:szCs w:val="32"/>
          <w:u w:val="single"/>
          <w:shd w:val="clear" w:color="auto" w:fill="auto"/>
          <w:lang w:val="zh-TW" w:eastAsia="zh-TW" w:bidi="zh-TW"/>
        </w:rPr>
      </w:pPr>
      <w:r>
        <w:rPr>
          <w:rFonts w:hint="eastAsia" w:ascii="宋体" w:hAnsi="宋体" w:eastAsia="宋体" w:cs="宋体"/>
          <w:b/>
          <w:bCs/>
          <w:color w:val="000000"/>
          <w:spacing w:val="0"/>
          <w:w w:val="100"/>
          <w:position w:val="0"/>
          <w:sz w:val="32"/>
          <w:szCs w:val="32"/>
          <w:u w:val="single"/>
          <w:shd w:val="clear" w:color="auto" w:fill="auto"/>
          <w:lang w:val="en-US" w:eastAsia="zh-CN" w:bidi="zh-TW"/>
        </w:rPr>
        <w:t xml:space="preserve"> 钦州综合保税港区(二号路南段)排水工程</w:t>
      </w:r>
    </w:p>
    <w:p w14:paraId="2A1EE904">
      <w:pPr>
        <w:pStyle w:val="2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0" w:name="_Toc9359"/>
      <w:r>
        <w:rPr>
          <w:rFonts w:hint="eastAsia" w:ascii="宋体" w:hAnsi="宋体" w:eastAsia="宋体" w:cs="宋体"/>
          <w:b/>
          <w:bCs/>
          <w:color w:val="000000"/>
          <w:spacing w:val="0"/>
          <w:w w:val="100"/>
          <w:position w:val="0"/>
          <w:sz w:val="32"/>
          <w:szCs w:val="32"/>
          <w:u w:val="single"/>
          <w:shd w:val="clear" w:color="auto" w:fill="auto"/>
          <w:lang w:val="en-US" w:eastAsia="zh-CN" w:bidi="zh-TW"/>
        </w:rPr>
        <w:t xml:space="preserve">水土保持咨询服务 </w:t>
      </w:r>
      <w:bookmarkStart w:id="1" w:name="_Toc9593"/>
      <w:bookmarkStart w:id="2" w:name="_Toc29644"/>
      <w:bookmarkStart w:id="3" w:name="_Toc24163"/>
      <w:bookmarkStart w:id="4" w:name="_Toc11673"/>
      <w:bookmarkStart w:id="5" w:name="_Toc10078"/>
      <w:r>
        <w:rPr>
          <w:rFonts w:hint="eastAsia" w:cs="宋体"/>
          <w:b/>
          <w:bCs/>
          <w:color w:val="000000"/>
          <w:spacing w:val="0"/>
          <w:w w:val="100"/>
          <w:position w:val="0"/>
          <w:sz w:val="32"/>
          <w:szCs w:val="32"/>
          <w:lang w:eastAsia="zh-CN"/>
        </w:rPr>
        <w:t>采</w:t>
      </w:r>
      <w:r>
        <w:rPr>
          <w:rFonts w:hint="eastAsia" w:ascii="宋体" w:hAnsi="宋体" w:eastAsia="宋体" w:cs="宋体"/>
          <w:b/>
          <w:bCs/>
          <w:color w:val="000000"/>
          <w:spacing w:val="0"/>
          <w:w w:val="100"/>
          <w:position w:val="0"/>
          <w:sz w:val="32"/>
          <w:szCs w:val="32"/>
        </w:rPr>
        <w:t>购项目</w:t>
      </w:r>
      <w:bookmarkEnd w:id="0"/>
      <w:bookmarkEnd w:id="1"/>
      <w:bookmarkEnd w:id="2"/>
      <w:bookmarkEnd w:id="3"/>
      <w:bookmarkEnd w:id="4"/>
      <w:bookmarkEnd w:id="5"/>
    </w:p>
    <w:p w14:paraId="5E2E9DE6">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 xml:space="preserve">            </w:t>
      </w:r>
      <w:r>
        <w:rPr>
          <w:rFonts w:hint="eastAsia" w:ascii="宋体" w:hAnsi="宋体" w:eastAsia="宋体" w:cs="宋体"/>
          <w:b w:val="0"/>
          <w:bCs w:val="0"/>
          <w:color w:val="000000"/>
          <w:spacing w:val="0"/>
          <w:w w:val="100"/>
          <w:position w:val="0"/>
          <w:sz w:val="32"/>
          <w:szCs w:val="32"/>
        </w:rPr>
        <w:t>）</w:t>
      </w:r>
    </w:p>
    <w:p w14:paraId="7C946711">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216A55C">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5BB99F12">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14:paraId="6E8A6FD2">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EB9175E">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3257DD08">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14:paraId="5854D216">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rPr>
      </w:pPr>
      <w:r>
        <w:rPr>
          <w:rFonts w:hint="eastAsia" w:ascii="宋体" w:hAnsi="宋体" w:eastAsia="宋体" w:cs="宋体"/>
          <w:color w:val="000000"/>
          <w:spacing w:val="0"/>
          <w:w w:val="100"/>
          <w:position w:val="0"/>
          <w:sz w:val="32"/>
          <w:szCs w:val="32"/>
        </w:rPr>
        <w:t>采购人：</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广西自贸区钦州港开发投资集团有限责任公司              </w:t>
      </w:r>
      <w:r>
        <w:rPr>
          <w:rFonts w:hint="eastAsia" w:ascii="宋体" w:hAnsi="宋体" w:eastAsia="宋体" w:cs="宋体"/>
          <w:color w:val="000000"/>
          <w:spacing w:val="0"/>
          <w:w w:val="100"/>
          <w:position w:val="0"/>
          <w:sz w:val="32"/>
          <w:szCs w:val="32"/>
          <w:u w:val="single"/>
        </w:rPr>
        <w:t>（盖单位章）</w:t>
      </w:r>
    </w:p>
    <w:p w14:paraId="066B1907">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2025</w:t>
      </w:r>
      <w:r>
        <w:rPr>
          <w:rFonts w:hint="eastAsia" w:ascii="宋体" w:hAnsi="宋体" w:eastAsia="宋体" w:cs="宋体"/>
          <w:color w:val="000000"/>
          <w:spacing w:val="0"/>
          <w:w w:val="100"/>
          <w:position w:val="0"/>
          <w:sz w:val="32"/>
          <w:szCs w:val="32"/>
        </w:rPr>
        <w:t>年</w:t>
      </w:r>
      <w:r>
        <w:rPr>
          <w:rFonts w:hint="eastAsia" w:cs="宋体"/>
          <w:sz w:val="32"/>
          <w:szCs w:val="32"/>
          <w:u w:val="single"/>
          <w:lang w:val="en-US" w:eastAsia="zh-CN"/>
        </w:rPr>
        <w:t>6</w:t>
      </w:r>
      <w:r>
        <w:rPr>
          <w:rFonts w:hint="eastAsia" w:ascii="宋体" w:hAnsi="宋体" w:eastAsia="宋体" w:cs="宋体"/>
          <w:color w:val="000000"/>
          <w:spacing w:val="0"/>
          <w:w w:val="100"/>
          <w:position w:val="0"/>
          <w:sz w:val="32"/>
          <w:szCs w:val="32"/>
        </w:rPr>
        <w:t>月</w:t>
      </w:r>
      <w:r>
        <w:rPr>
          <w:rFonts w:hint="eastAsia" w:cs="宋体"/>
          <w:sz w:val="32"/>
          <w:szCs w:val="32"/>
          <w:u w:val="single"/>
          <w:lang w:val="en-US" w:eastAsia="zh-CN"/>
        </w:rPr>
        <w:t>19</w:t>
      </w:r>
      <w:bookmarkStart w:id="468" w:name="_GoBack"/>
      <w:bookmarkEnd w:id="468"/>
      <w:r>
        <w:rPr>
          <w:rFonts w:hint="eastAsia" w:cs="宋体"/>
          <w:sz w:val="32"/>
          <w:szCs w:val="32"/>
          <w:u w:val="none"/>
          <w:lang w:val="en-US" w:eastAsia="zh-CN"/>
        </w:rPr>
        <w:t>日</w:t>
      </w:r>
    </w:p>
    <w:p w14:paraId="53D03CFE">
      <w:pPr>
        <w:spacing w:before="0" w:beforeLines="0" w:after="0" w:afterLines="0" w:line="240" w:lineRule="auto"/>
        <w:ind w:left="0" w:leftChars="0" w:right="0" w:rightChars="0" w:firstLine="0" w:firstLineChars="0"/>
        <w:jc w:val="center"/>
        <w:rPr>
          <w:rFonts w:ascii="宋体" w:hAnsi="宋体" w:eastAsia="宋体" w:cs="Times New Roman"/>
          <w:b/>
          <w:bCs/>
          <w:color w:val="000000"/>
          <w:spacing w:val="0"/>
          <w:w w:val="100"/>
          <w:position w:val="0"/>
          <w:sz w:val="28"/>
          <w:szCs w:val="28"/>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NumType w:fmt="decimal" w:start="1"/>
          <w:cols w:space="0" w:num="1"/>
          <w:rtlGutter w:val="0"/>
          <w:docGrid w:linePitch="360" w:charSpace="0"/>
        </w:sectPr>
      </w:pPr>
    </w:p>
    <w:sdt>
      <w:sdtPr>
        <w:rPr>
          <w:rFonts w:ascii="宋体" w:hAnsi="宋体" w:eastAsia="宋体" w:cs="Times New Roman"/>
          <w:b/>
          <w:bCs/>
          <w:color w:val="000000"/>
          <w:spacing w:val="0"/>
          <w:w w:val="100"/>
          <w:position w:val="0"/>
          <w:sz w:val="28"/>
          <w:szCs w:val="28"/>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000000"/>
          <w:spacing w:val="0"/>
          <w:w w:val="100"/>
          <w:position w:val="0"/>
          <w:sz w:val="22"/>
          <w:szCs w:val="52"/>
          <w:u w:val="none"/>
          <w:shd w:val="clear" w:color="auto" w:fill="auto"/>
          <w:lang w:val="en-US" w:eastAsia="zh-CN" w:bidi="zh-TW"/>
        </w:rPr>
      </w:sdtEndPr>
      <w:sdtContent>
        <w:p w14:paraId="7DC94938">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EB2B2F1">
          <w:pPr>
            <w:pStyle w:val="12"/>
            <w:tabs>
              <w:tab w:val="right" w:leader="dot" w:pos="9144"/>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_Toc9359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32"/>
              <w:shd w:val="clear" w:color="auto" w:fill="auto"/>
              <w:lang w:val="en-US" w:eastAsia="zh-CN" w:bidi="zh-TW"/>
            </w:rPr>
            <w:t xml:space="preserve">水土保持咨询服务 </w:t>
          </w:r>
          <w:r>
            <w:rPr>
              <w:rFonts w:hint="eastAsia" w:cs="宋体"/>
              <w:bCs/>
              <w:spacing w:val="0"/>
              <w:w w:val="100"/>
              <w:position w:val="0"/>
              <w:szCs w:val="32"/>
              <w:lang w:eastAsia="zh-CN"/>
            </w:rPr>
            <w:t>采</w:t>
          </w:r>
          <w:r>
            <w:rPr>
              <w:rFonts w:hint="eastAsia" w:ascii="宋体" w:hAnsi="宋体" w:eastAsia="宋体" w:cs="宋体"/>
              <w:bCs/>
              <w:spacing w:val="0"/>
              <w:w w:val="100"/>
              <w:position w:val="0"/>
              <w:szCs w:val="32"/>
            </w:rPr>
            <w:t>购项目</w:t>
          </w:r>
          <w:r>
            <w:tab/>
          </w:r>
          <w:r>
            <w:fldChar w:fldCharType="begin"/>
          </w:r>
          <w:r>
            <w:instrText xml:space="preserve"> PAGEREF _Toc9359 \h </w:instrText>
          </w:r>
          <w:r>
            <w:fldChar w:fldCharType="separate"/>
          </w:r>
          <w:r>
            <w:t>1</w:t>
          </w:r>
          <w:r>
            <w:fldChar w:fldCharType="end"/>
          </w:r>
          <w:r>
            <w:rPr>
              <w:rFonts w:hint="eastAsia" w:eastAsia="宋体" w:cs="宋体"/>
              <w:color w:val="000000"/>
              <w:spacing w:val="0"/>
              <w:w w:val="100"/>
              <w:position w:val="0"/>
              <w:szCs w:val="52"/>
              <w:lang w:val="en-US" w:eastAsia="zh-CN"/>
            </w:rPr>
            <w:fldChar w:fldCharType="end"/>
          </w:r>
        </w:p>
        <w:p w14:paraId="21769269">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_Toc9104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询比采购公告</w:t>
          </w:r>
          <w:r>
            <w:tab/>
          </w:r>
          <w:r>
            <w:fldChar w:fldCharType="begin"/>
          </w:r>
          <w:r>
            <w:instrText xml:space="preserve"> PAGEREF _Toc9104 \h </w:instrText>
          </w:r>
          <w:r>
            <w:fldChar w:fldCharType="separate"/>
          </w:r>
          <w:r>
            <w:t>- 1 -</w:t>
          </w:r>
          <w:r>
            <w:fldChar w:fldCharType="end"/>
          </w:r>
          <w:r>
            <w:rPr>
              <w:rFonts w:hint="eastAsia" w:eastAsia="宋体" w:cs="宋体"/>
              <w:color w:val="000000"/>
              <w:spacing w:val="0"/>
              <w:w w:val="100"/>
              <w:position w:val="0"/>
              <w:szCs w:val="52"/>
              <w:lang w:val="en-US" w:eastAsia="zh-CN"/>
            </w:rPr>
            <w:fldChar w:fldCharType="end"/>
          </w:r>
        </w:p>
        <w:p w14:paraId="6A67477A">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_Toc12719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_Toc12719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2FA5E7C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_Toc19423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_Toc19423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03B3ED68">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_Toc15830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_Toc15830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50A6889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_Toc15309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_Toc15309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3D46028F">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_Toc17924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_Toc17924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7B9D4D81">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_Toc23549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_Toc23549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0F5E395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_Toc31079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_Toc31079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3F9211E3">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_Toc19348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_Toc19348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2C8859E8">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_Toc15489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_Toc15489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59869D28">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_Toc16211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57BAFCCB">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_Toc21057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_Toc21057 \h </w:instrText>
          </w:r>
          <w:r>
            <w:fldChar w:fldCharType="separate"/>
          </w:r>
          <w:r>
            <w:t>- 7 -</w:t>
          </w:r>
          <w:r>
            <w:fldChar w:fldCharType="end"/>
          </w:r>
          <w:r>
            <w:rPr>
              <w:rFonts w:hint="eastAsia" w:eastAsia="宋体" w:cs="宋体"/>
              <w:color w:val="000000"/>
              <w:spacing w:val="0"/>
              <w:w w:val="100"/>
              <w:position w:val="0"/>
              <w:szCs w:val="52"/>
              <w:lang w:val="en-US" w:eastAsia="zh-CN"/>
            </w:rPr>
            <w:fldChar w:fldCharType="end"/>
          </w:r>
        </w:p>
        <w:p w14:paraId="5A36BA6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总则</w:t>
          </w:r>
          <w:r>
            <w:tab/>
          </w:r>
          <w:r>
            <w:fldChar w:fldCharType="begin"/>
          </w:r>
          <w:r>
            <w:instrText xml:space="preserve"> PAGEREF _Toc12986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069BF2FB">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_Toc17204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采购方式</w:t>
          </w:r>
          <w:r>
            <w:tab/>
          </w:r>
          <w:r>
            <w:fldChar w:fldCharType="begin"/>
          </w:r>
          <w:r>
            <w:instrText xml:space="preserve"> PAGEREF _Toc17204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2565AD7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_Toc17158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1.2</w:t>
          </w:r>
          <w:r>
            <w:rPr>
              <w:rFonts w:hint="eastAsia" w:ascii="宋体" w:hAnsi="宋体" w:eastAsia="宋体" w:cs="宋体"/>
              <w:szCs w:val="24"/>
              <w:lang w:val="en-US" w:eastAsia="zh-CN"/>
            </w:rPr>
            <w:t xml:space="preserve"> </w:t>
          </w:r>
          <w:r>
            <w:rPr>
              <w:rFonts w:hint="eastAsia" w:ascii="宋体" w:hAnsi="宋体" w:eastAsia="宋体" w:cs="宋体"/>
              <w:szCs w:val="24"/>
            </w:rPr>
            <w:t>采购项目概况和供应商资格要求</w:t>
          </w:r>
          <w:r>
            <w:tab/>
          </w:r>
          <w:r>
            <w:fldChar w:fldCharType="begin"/>
          </w:r>
          <w:r>
            <w:instrText xml:space="preserve"> PAGEREF _Toc17158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D4B9F29">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_Toc6909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1.3</w:t>
          </w:r>
          <w:r>
            <w:rPr>
              <w:rFonts w:hint="eastAsia" w:ascii="宋体" w:hAnsi="宋体" w:eastAsia="宋体" w:cs="宋体"/>
              <w:szCs w:val="24"/>
              <w:lang w:val="en-US" w:eastAsia="zh-CN"/>
            </w:rPr>
            <w:t xml:space="preserve"> </w:t>
          </w:r>
          <w:r>
            <w:rPr>
              <w:rFonts w:hint="eastAsia" w:ascii="宋体" w:hAnsi="宋体" w:eastAsia="宋体" w:cs="宋体"/>
              <w:szCs w:val="24"/>
            </w:rPr>
            <w:t>费用承担</w:t>
          </w:r>
          <w:r>
            <w:tab/>
          </w:r>
          <w:r>
            <w:fldChar w:fldCharType="begin"/>
          </w:r>
          <w:r>
            <w:instrText xml:space="preserve"> PAGEREF _Toc6909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18B139F2">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_Toc2881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1.4</w:t>
          </w:r>
          <w:r>
            <w:rPr>
              <w:rFonts w:hint="eastAsia" w:ascii="宋体" w:hAnsi="宋体" w:eastAsia="宋体" w:cs="宋体"/>
              <w:szCs w:val="24"/>
              <w:lang w:val="en-US" w:eastAsia="zh-CN"/>
            </w:rPr>
            <w:t xml:space="preserve"> </w:t>
          </w:r>
          <w:r>
            <w:rPr>
              <w:rFonts w:hint="eastAsia" w:ascii="宋体" w:hAnsi="宋体" w:eastAsia="宋体" w:cs="宋体"/>
              <w:szCs w:val="24"/>
            </w:rPr>
            <w:t>保密</w:t>
          </w:r>
          <w:r>
            <w:tab/>
          </w:r>
          <w:r>
            <w:fldChar w:fldCharType="begin"/>
          </w:r>
          <w:r>
            <w:instrText xml:space="preserve"> PAGEREF _Toc2881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A22F0C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_Toc5802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24"/>
              <w:lang w:val="en-US" w:eastAsia="en-US" w:bidi="en-US"/>
            </w:rPr>
            <w:t>1.5</w:t>
          </w:r>
          <w:r>
            <w:rPr>
              <w:rFonts w:hint="eastAsia" w:ascii="宋体" w:hAnsi="宋体" w:eastAsia="宋体" w:cs="宋体"/>
              <w:bCs/>
              <w:spacing w:val="0"/>
              <w:w w:val="100"/>
              <w:position w:val="0"/>
              <w:szCs w:val="24"/>
              <w:lang w:val="en-US" w:eastAsia="zh-CN" w:bidi="en-US"/>
            </w:rPr>
            <w:t xml:space="preserve"> </w:t>
          </w:r>
          <w:r>
            <w:rPr>
              <w:rFonts w:hint="eastAsia" w:ascii="宋体" w:hAnsi="宋体" w:eastAsia="宋体" w:cs="宋体"/>
              <w:bCs/>
              <w:spacing w:val="0"/>
              <w:w w:val="100"/>
              <w:position w:val="0"/>
              <w:szCs w:val="24"/>
            </w:rPr>
            <w:t>语言文字</w:t>
          </w:r>
          <w:r>
            <w:tab/>
          </w:r>
          <w:r>
            <w:fldChar w:fldCharType="begin"/>
          </w:r>
          <w:r>
            <w:instrText xml:space="preserve"> PAGEREF _Toc5802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4A1870EF">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_Toc20932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1.6</w:t>
          </w:r>
          <w:r>
            <w:rPr>
              <w:rFonts w:hint="eastAsia" w:ascii="宋体" w:hAnsi="宋体" w:eastAsia="宋体" w:cs="宋体"/>
              <w:szCs w:val="24"/>
              <w:lang w:val="en-US" w:eastAsia="zh-CN"/>
            </w:rPr>
            <w:t xml:space="preserve"> </w:t>
          </w:r>
          <w:r>
            <w:rPr>
              <w:rFonts w:hint="eastAsia" w:ascii="宋体" w:hAnsi="宋体" w:eastAsia="宋体" w:cs="宋体"/>
              <w:szCs w:val="24"/>
            </w:rPr>
            <w:t>计量单位</w:t>
          </w:r>
          <w:r>
            <w:tab/>
          </w:r>
          <w:r>
            <w:fldChar w:fldCharType="begin"/>
          </w:r>
          <w:r>
            <w:instrText xml:space="preserve"> PAGEREF _Toc20932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6EC570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_Toc29351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1.7</w:t>
          </w:r>
          <w:r>
            <w:rPr>
              <w:rFonts w:hint="eastAsia" w:ascii="宋体" w:hAnsi="宋体" w:eastAsia="宋体" w:cs="宋体"/>
              <w:szCs w:val="24"/>
              <w:lang w:val="en-US" w:eastAsia="zh-CN"/>
            </w:rPr>
            <w:t xml:space="preserve"> </w:t>
          </w:r>
          <w:r>
            <w:rPr>
              <w:rFonts w:hint="eastAsia" w:ascii="宋体" w:hAnsi="宋体" w:eastAsia="宋体" w:cs="宋体"/>
              <w:szCs w:val="24"/>
            </w:rPr>
            <w:t>踏勘现场</w:t>
          </w:r>
          <w:r>
            <w:tab/>
          </w:r>
          <w:r>
            <w:fldChar w:fldCharType="begin"/>
          </w:r>
          <w:r>
            <w:instrText xml:space="preserve"> PAGEREF _Toc29351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57147FF0">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_Toc6874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1.8</w:t>
          </w:r>
          <w:r>
            <w:rPr>
              <w:rFonts w:hint="eastAsia" w:ascii="宋体" w:hAnsi="宋体" w:eastAsia="宋体" w:cs="宋体"/>
              <w:szCs w:val="24"/>
              <w:lang w:val="en-US" w:eastAsia="zh-CN"/>
            </w:rPr>
            <w:t xml:space="preserve"> 询比采购</w:t>
          </w:r>
          <w:r>
            <w:rPr>
              <w:rFonts w:hint="eastAsia" w:ascii="宋体" w:hAnsi="宋体" w:eastAsia="宋体" w:cs="宋体"/>
              <w:szCs w:val="24"/>
            </w:rPr>
            <w:t>预备会</w:t>
          </w:r>
          <w:r>
            <w:tab/>
          </w:r>
          <w:r>
            <w:fldChar w:fldCharType="begin"/>
          </w:r>
          <w:r>
            <w:instrText xml:space="preserve"> PAGEREF _Toc6874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C7103D5">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_Toc15712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 xml:space="preserve">1.9 </w:t>
          </w:r>
          <w:r>
            <w:rPr>
              <w:rFonts w:hint="eastAsia" w:ascii="宋体" w:hAnsi="宋体" w:eastAsia="宋体" w:cs="宋体"/>
              <w:szCs w:val="24"/>
              <w:lang w:val="zh-TW" w:eastAsia="zh-TW"/>
            </w:rPr>
            <w:t>分包</w:t>
          </w:r>
          <w:r>
            <w:tab/>
          </w:r>
          <w:r>
            <w:fldChar w:fldCharType="begin"/>
          </w:r>
          <w:r>
            <w:instrText xml:space="preserve"> PAGEREF _Toc15712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F72789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1.10</w:t>
          </w:r>
          <w:r>
            <w:rPr>
              <w:rFonts w:hint="eastAsia" w:ascii="宋体" w:hAnsi="宋体" w:eastAsia="宋体" w:cs="宋体"/>
              <w:szCs w:val="24"/>
              <w:lang w:val="en-US" w:eastAsia="zh-CN"/>
            </w:rPr>
            <w:t xml:space="preserve"> </w:t>
          </w:r>
          <w:r>
            <w:rPr>
              <w:rFonts w:hint="eastAsia" w:ascii="宋体" w:hAnsi="宋体" w:eastAsia="宋体" w:cs="宋体"/>
              <w:szCs w:val="24"/>
            </w:rPr>
            <w:t>响应和偏差</w:t>
          </w:r>
          <w:r>
            <w:tab/>
          </w:r>
          <w:r>
            <w:fldChar w:fldCharType="begin"/>
          </w:r>
          <w:r>
            <w:instrText xml:space="preserve"> PAGEREF _Toc4450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6BBDCEC">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_Toc31692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2AAA39F">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_Toc32168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采购文件的</w:t>
          </w:r>
          <w:r>
            <w:rPr>
              <w:rFonts w:hint="eastAsia" w:ascii="宋体" w:hAnsi="宋体" w:eastAsia="宋体" w:cs="宋体"/>
              <w:szCs w:val="24"/>
              <w:lang w:eastAsia="zh-CN"/>
            </w:rPr>
            <w:t>组</w:t>
          </w:r>
          <w:r>
            <w:rPr>
              <w:rFonts w:hint="eastAsia" w:ascii="宋体" w:hAnsi="宋体" w:eastAsia="宋体" w:cs="宋体"/>
              <w:szCs w:val="24"/>
            </w:rPr>
            <w:t>成</w:t>
          </w:r>
          <w:r>
            <w:tab/>
          </w:r>
          <w:r>
            <w:fldChar w:fldCharType="begin"/>
          </w:r>
          <w:r>
            <w:instrText xml:space="preserve"> PAGEREF _Toc32168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2F9ECCAD">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_Toc6010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采购文件的澄清和修改</w:t>
          </w:r>
          <w:r>
            <w:tab/>
          </w:r>
          <w:r>
            <w:fldChar w:fldCharType="begin"/>
          </w:r>
          <w:r>
            <w:instrText xml:space="preserve"> PAGEREF _Toc6010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0E9F6E43">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_Toc964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57FE2EB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3.1</w:t>
          </w:r>
          <w:r>
            <w:rPr>
              <w:rFonts w:hint="eastAsia" w:ascii="宋体" w:hAnsi="宋体" w:eastAsia="宋体" w:cs="宋体"/>
              <w:szCs w:val="24"/>
              <w:lang w:val="en-US" w:eastAsia="zh-CN"/>
            </w:rPr>
            <w:t xml:space="preserve"> </w:t>
          </w:r>
          <w:r>
            <w:rPr>
              <w:rFonts w:hint="eastAsia" w:ascii="宋体" w:hAnsi="宋体" w:eastAsia="宋体" w:cs="宋体"/>
              <w:szCs w:val="24"/>
            </w:rPr>
            <w:t>响应文件的组成</w:t>
          </w:r>
          <w:r>
            <w:tab/>
          </w:r>
          <w:r>
            <w:fldChar w:fldCharType="begin"/>
          </w:r>
          <w:r>
            <w:instrText xml:space="preserve"> PAGEREF _Toc2516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31DFBAC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_Toc28231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报价</w:t>
          </w:r>
          <w:r>
            <w:tab/>
          </w:r>
          <w:r>
            <w:fldChar w:fldCharType="begin"/>
          </w:r>
          <w:r>
            <w:instrText xml:space="preserve"> PAGEREF _Toc28231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5935B01B">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_Toc5815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响应文件有效期</w:t>
          </w:r>
          <w:r>
            <w:tab/>
          </w:r>
          <w:r>
            <w:fldChar w:fldCharType="begin"/>
          </w:r>
          <w:r>
            <w:instrText xml:space="preserve"> PAGEREF _Toc5815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3818E06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_Toc12030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响应保证金</w:t>
          </w:r>
          <w:r>
            <w:tab/>
          </w:r>
          <w:r>
            <w:fldChar w:fldCharType="begin"/>
          </w:r>
          <w:r>
            <w:instrText xml:space="preserve"> PAGEREF _Toc12030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09A9869D">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_Toc14482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资格审查资料</w:t>
          </w:r>
          <w:r>
            <w:tab/>
          </w:r>
          <w:r>
            <w:fldChar w:fldCharType="begin"/>
          </w:r>
          <w:r>
            <w:instrText xml:space="preserve"> PAGEREF _Toc14482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6F7B8298">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w:t>
          </w:r>
          <w:r>
            <w:rPr>
              <w:rFonts w:hint="eastAsia" w:ascii="宋体" w:hAnsi="宋体" w:eastAsia="宋体" w:cs="宋体"/>
              <w:szCs w:val="24"/>
            </w:rPr>
            <w:t>响应方案</w:t>
          </w:r>
          <w:r>
            <w:tab/>
          </w:r>
          <w:r>
            <w:fldChar w:fldCharType="begin"/>
          </w:r>
          <w:r>
            <w:instrText xml:space="preserve"> PAGEREF _Toc20237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7C2372F">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3.7</w:t>
          </w:r>
          <w:r>
            <w:rPr>
              <w:rFonts w:hint="eastAsia" w:ascii="宋体" w:hAnsi="宋体" w:eastAsia="宋体" w:cs="宋体"/>
              <w:szCs w:val="24"/>
              <w:lang w:val="en-US" w:eastAsia="zh-CN"/>
            </w:rPr>
            <w:t xml:space="preserve"> </w:t>
          </w:r>
          <w:r>
            <w:rPr>
              <w:rFonts w:hint="eastAsia" w:ascii="宋体" w:hAnsi="宋体" w:eastAsia="宋体" w:cs="宋体"/>
              <w:szCs w:val="24"/>
            </w:rPr>
            <w:t>响应文件的编制</w:t>
          </w:r>
          <w:r>
            <w:tab/>
          </w:r>
          <w:r>
            <w:fldChar w:fldCharType="begin"/>
          </w:r>
          <w:r>
            <w:instrText xml:space="preserve"> PAGEREF _Toc12965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06FD300">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_Toc4280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_Toc4280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157B076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响应文件的包装与标记</w:t>
          </w:r>
          <w:r>
            <w:tab/>
          </w:r>
          <w:r>
            <w:fldChar w:fldCharType="begin"/>
          </w:r>
          <w:r>
            <w:instrText xml:space="preserve"> PAGEREF _Toc8730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72B7FC50">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_Toc22671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响应文件的递交</w:t>
          </w:r>
          <w:r>
            <w:tab/>
          </w:r>
          <w:r>
            <w:fldChar w:fldCharType="begin"/>
          </w:r>
          <w:r>
            <w:instrText xml:space="preserve"> PAGEREF _Toc22671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13382B7">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_Toc27921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4.3</w:t>
          </w:r>
          <w:r>
            <w:rPr>
              <w:rFonts w:hint="eastAsia" w:ascii="宋体" w:hAnsi="宋体" w:eastAsia="宋体" w:cs="宋体"/>
              <w:szCs w:val="24"/>
              <w:lang w:val="en-US" w:eastAsia="zh-CN"/>
            </w:rPr>
            <w:t xml:space="preserve"> </w:t>
          </w:r>
          <w:r>
            <w:rPr>
              <w:rFonts w:hint="eastAsia" w:ascii="宋体" w:hAnsi="宋体" w:eastAsia="宋体" w:cs="宋体"/>
              <w:szCs w:val="24"/>
            </w:rPr>
            <w:t>响应文件的修改与撤回</w:t>
          </w:r>
          <w:r>
            <w:tab/>
          </w:r>
          <w:r>
            <w:fldChar w:fldCharType="begin"/>
          </w:r>
          <w:r>
            <w:instrText xml:space="preserve"> PAGEREF _Toc27921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02DCAB4C">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_Toc24791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_Toc24791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65C5A10">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_Toc9939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开启响应文件的时间和地点</w:t>
          </w:r>
          <w:r>
            <w:tab/>
          </w:r>
          <w:r>
            <w:fldChar w:fldCharType="begin"/>
          </w:r>
          <w:r>
            <w:instrText xml:space="preserve"> PAGEREF _Toc9939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9701382">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5.2</w:t>
          </w:r>
          <w:r>
            <w:rPr>
              <w:rFonts w:hint="eastAsia" w:ascii="宋体" w:hAnsi="宋体" w:eastAsia="宋体" w:cs="宋体"/>
              <w:szCs w:val="24"/>
              <w:lang w:val="en-US" w:eastAsia="zh-CN"/>
            </w:rPr>
            <w:t xml:space="preserve"> </w:t>
          </w:r>
          <w:r>
            <w:rPr>
              <w:rFonts w:hint="eastAsia" w:ascii="宋体" w:hAnsi="宋体" w:eastAsia="宋体" w:cs="宋体"/>
              <w:szCs w:val="24"/>
            </w:rPr>
            <w:t>开启程序</w:t>
          </w:r>
          <w:r>
            <w:tab/>
          </w:r>
          <w:r>
            <w:fldChar w:fldCharType="begin"/>
          </w:r>
          <w:r>
            <w:instrText xml:space="preserve"> PAGEREF _Toc4455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95BFA71">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_Toc31426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zh-CN"/>
            </w:rPr>
            <w:t>5.3 递交响应文件的供应商不足的情形</w:t>
          </w:r>
          <w:r>
            <w:tab/>
          </w:r>
          <w:r>
            <w:fldChar w:fldCharType="begin"/>
          </w:r>
          <w:r>
            <w:instrText xml:space="preserve"> PAGEREF _Toc31426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16382B69">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_Toc26458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_Toc26458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62ECAF8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6.1</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评审</w:t>
          </w:r>
          <w:r>
            <w:rPr>
              <w:rFonts w:hint="eastAsia" w:ascii="宋体" w:hAnsi="宋体" w:eastAsia="宋体" w:cs="宋体"/>
              <w:szCs w:val="24"/>
            </w:rPr>
            <w:t>小组</w:t>
          </w:r>
          <w:r>
            <w:tab/>
          </w:r>
          <w:r>
            <w:fldChar w:fldCharType="begin"/>
          </w:r>
          <w:r>
            <w:instrText xml:space="preserve"> PAGEREF _Toc31693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79BB4B4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_Toc29493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6.2</w:t>
          </w:r>
          <w:r>
            <w:rPr>
              <w:rFonts w:hint="eastAsia" w:ascii="宋体" w:hAnsi="宋体" w:eastAsia="宋体" w:cs="宋体"/>
              <w:szCs w:val="24"/>
              <w:lang w:val="en-US" w:eastAsia="zh-CN"/>
            </w:rPr>
            <w:t xml:space="preserve"> </w:t>
          </w:r>
          <w:r>
            <w:rPr>
              <w:rFonts w:hint="eastAsia" w:ascii="宋体" w:hAnsi="宋体" w:eastAsia="宋体" w:cs="宋体"/>
              <w:szCs w:val="24"/>
            </w:rPr>
            <w:t>评审</w:t>
          </w:r>
          <w:r>
            <w:tab/>
          </w:r>
          <w:r>
            <w:fldChar w:fldCharType="begin"/>
          </w:r>
          <w:r>
            <w:instrText xml:space="preserve"> PAGEREF _Toc29493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9FF3CAB">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_Toc25703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_Toc25703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2CFE4E2E">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7.1</w:t>
          </w:r>
          <w:r>
            <w:rPr>
              <w:rFonts w:hint="eastAsia" w:ascii="宋体" w:hAnsi="宋体" w:eastAsia="宋体" w:cs="宋体"/>
              <w:szCs w:val="24"/>
              <w:lang w:val="en-US" w:eastAsia="zh-CN"/>
            </w:rPr>
            <w:t xml:space="preserve"> </w:t>
          </w:r>
          <w:r>
            <w:rPr>
              <w:rFonts w:hint="eastAsia" w:ascii="宋体" w:hAnsi="宋体" w:eastAsia="宋体" w:cs="宋体"/>
              <w:szCs w:val="24"/>
            </w:rPr>
            <w:t>候选成交供应商履约能力核查</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tab/>
          </w:r>
          <w:r>
            <w:fldChar w:fldCharType="begin"/>
          </w:r>
          <w:r>
            <w:instrText xml:space="preserve"> PAGEREF _Toc27009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01F8BF7B">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_Toc29524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7.2</w:t>
          </w:r>
          <w:r>
            <w:rPr>
              <w:rFonts w:hint="eastAsia" w:ascii="宋体" w:hAnsi="宋体" w:eastAsia="宋体" w:cs="宋体"/>
              <w:szCs w:val="24"/>
              <w:lang w:val="en-US" w:eastAsia="zh-CN"/>
            </w:rPr>
            <w:t xml:space="preserve"> </w:t>
          </w:r>
          <w:r>
            <w:rPr>
              <w:rFonts w:hint="eastAsia" w:ascii="宋体" w:hAnsi="宋体" w:eastAsia="宋体" w:cs="宋体"/>
              <w:szCs w:val="24"/>
            </w:rPr>
            <w:t>确定成交供应商</w:t>
          </w:r>
          <w:r>
            <w:tab/>
          </w:r>
          <w:r>
            <w:fldChar w:fldCharType="begin"/>
          </w:r>
          <w:r>
            <w:instrText xml:space="preserve"> PAGEREF _Toc29524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600DA96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_Toc24804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3 </w:t>
          </w:r>
          <w:r>
            <w:rPr>
              <w:rFonts w:hint="eastAsia" w:ascii="宋体" w:hAnsi="宋体" w:eastAsia="宋体" w:cs="宋体"/>
              <w:szCs w:val="24"/>
            </w:rPr>
            <w:t>发布成交</w:t>
          </w:r>
          <w:r>
            <w:rPr>
              <w:rFonts w:hint="eastAsia" w:ascii="宋体" w:hAnsi="宋体" w:eastAsia="宋体" w:cs="宋体"/>
              <w:szCs w:val="24"/>
              <w:lang w:val="en-US" w:eastAsia="zh-CN"/>
            </w:rPr>
            <w:t>结果</w:t>
          </w:r>
          <w:r>
            <w:rPr>
              <w:rFonts w:hint="eastAsia" w:ascii="宋体" w:hAnsi="宋体" w:eastAsia="宋体" w:cs="宋体"/>
              <w:szCs w:val="24"/>
            </w:rPr>
            <w:t>公告</w:t>
          </w:r>
          <w:r>
            <w:tab/>
          </w:r>
          <w:r>
            <w:fldChar w:fldCharType="begin"/>
          </w:r>
          <w:r>
            <w:instrText xml:space="preserve"> PAGEREF _Toc24804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170312A3">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7.4</w:t>
          </w:r>
          <w:r>
            <w:rPr>
              <w:rFonts w:hint="eastAsia" w:ascii="宋体" w:hAnsi="宋体" w:eastAsia="宋体" w:cs="宋体"/>
              <w:szCs w:val="24"/>
              <w:lang w:val="en-US" w:eastAsia="zh-CN"/>
            </w:rPr>
            <w:t xml:space="preserve"> </w:t>
          </w:r>
          <w:r>
            <w:rPr>
              <w:rFonts w:hint="eastAsia" w:ascii="宋体" w:hAnsi="宋体" w:eastAsia="宋体" w:cs="宋体"/>
              <w:szCs w:val="24"/>
            </w:rPr>
            <w:t>发出成交通知书</w:t>
          </w:r>
          <w:r>
            <w:tab/>
          </w:r>
          <w:r>
            <w:fldChar w:fldCharType="begin"/>
          </w:r>
          <w:r>
            <w:instrText xml:space="preserve"> PAGEREF _Toc13261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2FE6C795">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5 </w:t>
          </w:r>
          <w:r>
            <w:rPr>
              <w:rFonts w:hint="eastAsia" w:ascii="宋体" w:hAnsi="宋体" w:eastAsia="宋体" w:cs="宋体"/>
              <w:szCs w:val="24"/>
            </w:rPr>
            <w:t>履约保证金</w:t>
          </w:r>
          <w:r>
            <w:tab/>
          </w:r>
          <w:r>
            <w:fldChar w:fldCharType="begin"/>
          </w:r>
          <w:r>
            <w:instrText xml:space="preserve"> PAGEREF _Toc29237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44A389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_Toc13253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6 </w:t>
          </w:r>
          <w:r>
            <w:rPr>
              <w:rFonts w:hint="eastAsia" w:ascii="宋体" w:hAnsi="宋体" w:eastAsia="宋体" w:cs="宋体"/>
              <w:szCs w:val="24"/>
            </w:rPr>
            <w:t>签订合同</w:t>
          </w:r>
          <w:r>
            <w:tab/>
          </w:r>
          <w:r>
            <w:fldChar w:fldCharType="begin"/>
          </w:r>
          <w:r>
            <w:instrText xml:space="preserve"> PAGEREF _Toc13253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6C381B97">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7 </w:t>
          </w:r>
          <w:r>
            <w:rPr>
              <w:rFonts w:hint="eastAsia" w:ascii="宋体" w:hAnsi="宋体" w:eastAsia="宋体" w:cs="宋体"/>
              <w:szCs w:val="24"/>
            </w:rPr>
            <w:t>特殊情形处理</w:t>
          </w:r>
          <w:r>
            <w:tab/>
          </w:r>
          <w:r>
            <w:fldChar w:fldCharType="begin"/>
          </w:r>
          <w:r>
            <w:instrText xml:space="preserve"> PAGEREF _Toc21039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7752A86">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_Toc341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_Toc341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58546F88">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8.1</w:t>
          </w:r>
          <w:r>
            <w:rPr>
              <w:rFonts w:hint="eastAsia" w:ascii="宋体" w:hAnsi="宋体" w:eastAsia="宋体" w:cs="宋体"/>
              <w:szCs w:val="24"/>
              <w:lang w:val="en-US" w:eastAsia="zh-CN"/>
            </w:rPr>
            <w:t xml:space="preserve"> </w:t>
          </w:r>
          <w:r>
            <w:rPr>
              <w:rFonts w:hint="eastAsia" w:ascii="宋体" w:hAnsi="宋体" w:eastAsia="宋体" w:cs="宋体"/>
              <w:szCs w:val="24"/>
            </w:rPr>
            <w:t>提出异议</w:t>
          </w:r>
          <w:r>
            <w:tab/>
          </w:r>
          <w:r>
            <w:fldChar w:fldCharType="begin"/>
          </w:r>
          <w:r>
            <w:instrText xml:space="preserve"> PAGEREF _Toc31140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D1583D9">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8.2</w:t>
          </w:r>
          <w:r>
            <w:rPr>
              <w:rFonts w:hint="eastAsia" w:ascii="宋体" w:hAnsi="宋体" w:eastAsia="宋体" w:cs="宋体"/>
              <w:szCs w:val="24"/>
              <w:lang w:val="en-US" w:eastAsia="zh-CN"/>
            </w:rPr>
            <w:t xml:space="preserve"> </w:t>
          </w:r>
          <w:r>
            <w:rPr>
              <w:rFonts w:hint="eastAsia" w:ascii="宋体" w:hAnsi="宋体" w:eastAsia="宋体" w:cs="宋体"/>
              <w:szCs w:val="24"/>
            </w:rPr>
            <w:t>异议处理</w:t>
          </w:r>
          <w:r>
            <w:tab/>
          </w:r>
          <w:r>
            <w:fldChar w:fldCharType="begin"/>
          </w:r>
          <w:r>
            <w:instrText xml:space="preserve"> PAGEREF _Toc20640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3AF4E29">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_Toc22627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9490DC6">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_Toc30118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9.1</w:t>
          </w:r>
          <w:r>
            <w:rPr>
              <w:rFonts w:hint="eastAsia" w:ascii="宋体" w:hAnsi="宋体" w:eastAsia="宋体" w:cs="宋体"/>
              <w:szCs w:val="24"/>
              <w:lang w:val="en-US" w:eastAsia="zh-CN"/>
            </w:rPr>
            <w:t xml:space="preserve"> </w:t>
          </w:r>
          <w:r>
            <w:rPr>
              <w:rFonts w:hint="eastAsia" w:ascii="宋体" w:hAnsi="宋体" w:eastAsia="宋体" w:cs="宋体"/>
              <w:szCs w:val="24"/>
            </w:rPr>
            <w:t>对采购人的纪律要求</w:t>
          </w:r>
          <w:r>
            <w:tab/>
          </w:r>
          <w:r>
            <w:fldChar w:fldCharType="begin"/>
          </w:r>
          <w:r>
            <w:instrText xml:space="preserve"> PAGEREF _Toc30118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5B47D27">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9.2</w:t>
          </w:r>
          <w:r>
            <w:rPr>
              <w:rFonts w:hint="eastAsia" w:ascii="宋体" w:hAnsi="宋体" w:eastAsia="宋体" w:cs="宋体"/>
              <w:szCs w:val="24"/>
              <w:lang w:val="en-US" w:eastAsia="zh-CN"/>
            </w:rPr>
            <w:t xml:space="preserve"> </w:t>
          </w:r>
          <w:r>
            <w:rPr>
              <w:rFonts w:hint="eastAsia" w:ascii="宋体" w:hAnsi="宋体" w:eastAsia="宋体" w:cs="宋体"/>
              <w:szCs w:val="24"/>
            </w:rPr>
            <w:t>对供应商的纪律要求</w:t>
          </w:r>
          <w:r>
            <w:tab/>
          </w:r>
          <w:r>
            <w:fldChar w:fldCharType="begin"/>
          </w:r>
          <w:r>
            <w:instrText xml:space="preserve"> PAGEREF _Toc12332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7CDF367A">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_Toc31199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9.3</w:t>
          </w:r>
          <w:r>
            <w:rPr>
              <w:rFonts w:hint="eastAsia" w:ascii="宋体" w:hAnsi="宋体" w:eastAsia="宋体" w:cs="宋体"/>
              <w:szCs w:val="24"/>
              <w:lang w:val="en-US" w:eastAsia="zh-CN"/>
            </w:rPr>
            <w:t xml:space="preserve"> </w:t>
          </w:r>
          <w:r>
            <w:rPr>
              <w:rFonts w:hint="eastAsia" w:ascii="宋体" w:hAnsi="宋体" w:eastAsia="宋体" w:cs="宋体"/>
              <w:szCs w:val="24"/>
            </w:rPr>
            <w:t>对</w:t>
          </w:r>
          <w:r>
            <w:rPr>
              <w:rFonts w:hint="eastAsia" w:ascii="宋体" w:hAnsi="宋体" w:eastAsia="宋体" w:cs="宋体"/>
              <w:szCs w:val="24"/>
              <w:lang w:eastAsia="zh-CN"/>
            </w:rPr>
            <w:t>评审</w:t>
          </w:r>
          <w:r>
            <w:rPr>
              <w:rFonts w:hint="eastAsia" w:ascii="宋体" w:hAnsi="宋体" w:eastAsia="宋体" w:cs="宋体"/>
              <w:szCs w:val="24"/>
            </w:rPr>
            <w:t>小组成员的纪律要求</w:t>
          </w:r>
          <w:r>
            <w:tab/>
          </w:r>
          <w:r>
            <w:fldChar w:fldCharType="begin"/>
          </w:r>
          <w:r>
            <w:instrText xml:space="preserve"> PAGEREF _Toc31199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23105BFC">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_Toc24678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w:t>
          </w:r>
          <w:r>
            <w:rPr>
              <w:rFonts w:hint="eastAsia" w:ascii="宋体" w:hAnsi="宋体" w:eastAsia="宋体" w:cs="宋体"/>
              <w:szCs w:val="24"/>
            </w:rPr>
            <w:t>4</w:t>
          </w:r>
          <w:r>
            <w:rPr>
              <w:rFonts w:hint="eastAsia" w:ascii="宋体" w:hAnsi="宋体" w:eastAsia="宋体" w:cs="宋体"/>
              <w:szCs w:val="24"/>
              <w:lang w:val="en-US" w:eastAsia="zh-CN"/>
            </w:rPr>
            <w:t xml:space="preserve"> </w:t>
          </w:r>
          <w:r>
            <w:rPr>
              <w:rFonts w:hint="eastAsia" w:ascii="宋体" w:hAnsi="宋体" w:eastAsia="宋体" w:cs="宋体"/>
              <w:szCs w:val="24"/>
            </w:rPr>
            <w:t>对与</w:t>
          </w:r>
          <w:r>
            <w:rPr>
              <w:rFonts w:hint="eastAsia" w:ascii="宋体" w:hAnsi="宋体" w:eastAsia="宋体" w:cs="宋体"/>
              <w:szCs w:val="24"/>
              <w:lang w:eastAsia="zh-CN"/>
            </w:rPr>
            <w:t>询比</w:t>
          </w:r>
          <w:r>
            <w:rPr>
              <w:rFonts w:hint="eastAsia" w:ascii="宋体" w:hAnsi="宋体" w:eastAsia="宋体" w:cs="宋体"/>
              <w:szCs w:val="24"/>
            </w:rPr>
            <w:t>活动有关的工作人员的纪律要求</w:t>
          </w:r>
          <w:r>
            <w:tab/>
          </w:r>
          <w:r>
            <w:fldChar w:fldCharType="begin"/>
          </w:r>
          <w:r>
            <w:instrText xml:space="preserve"> PAGEREF _Toc24678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1327209E">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_Toc28794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_Toc28794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5D68CE6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_Toc13702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10.1</w:t>
          </w:r>
          <w:r>
            <w:rPr>
              <w:rFonts w:hint="eastAsia" w:ascii="宋体" w:hAnsi="宋体" w:eastAsia="宋体" w:cs="宋体"/>
              <w:szCs w:val="24"/>
              <w:lang w:val="en-US" w:eastAsia="zh-CN"/>
            </w:rPr>
            <w:t xml:space="preserve"> </w:t>
          </w:r>
          <w:r>
            <w:rPr>
              <w:rFonts w:hint="eastAsia" w:ascii="宋体" w:hAnsi="宋体" w:eastAsia="宋体" w:cs="宋体"/>
              <w:szCs w:val="24"/>
            </w:rPr>
            <w:t>采购代理服务费</w:t>
          </w:r>
          <w:r>
            <w:tab/>
          </w:r>
          <w:r>
            <w:fldChar w:fldCharType="begin"/>
          </w:r>
          <w:r>
            <w:instrText xml:space="preserve"> PAGEREF _Toc13702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C9A02F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_Toc22008 </w:instrText>
          </w:r>
          <w:r>
            <w:rPr>
              <w:rFonts w:hint="eastAsia" w:eastAsia="宋体" w:cs="宋体"/>
              <w:spacing w:val="0"/>
              <w:w w:val="100"/>
              <w:position w:val="0"/>
              <w:szCs w:val="52"/>
              <w:lang w:val="en-US" w:eastAsia="zh-CN"/>
            </w:rPr>
            <w:fldChar w:fldCharType="separate"/>
          </w:r>
          <w:r>
            <w:rPr>
              <w:rFonts w:hint="eastAsia" w:ascii="宋体" w:hAnsi="宋体" w:eastAsia="宋体" w:cs="宋体"/>
              <w:spacing w:val="0"/>
              <w:w w:val="100"/>
              <w:position w:val="0"/>
              <w:szCs w:val="24"/>
              <w:lang w:val="en-US" w:eastAsia="en-US"/>
            </w:rPr>
            <w:t>10.</w:t>
          </w:r>
          <w:r>
            <w:rPr>
              <w:rFonts w:hint="eastAsia" w:ascii="宋体" w:hAnsi="宋体" w:eastAsia="宋体" w:cs="宋体"/>
              <w:spacing w:val="0"/>
              <w:w w:val="100"/>
              <w:position w:val="0"/>
              <w:szCs w:val="24"/>
              <w:lang w:val="en-US" w:eastAsia="zh-CN"/>
            </w:rPr>
            <w:t>2</w:t>
          </w:r>
          <w:r>
            <w:rPr>
              <w:rFonts w:hint="eastAsia" w:ascii="宋体" w:hAnsi="宋体" w:eastAsia="宋体" w:cs="宋体"/>
              <w:szCs w:val="24"/>
              <w:lang w:val="en-US" w:eastAsia="zh-CN"/>
            </w:rPr>
            <w:t xml:space="preserve"> </w:t>
          </w:r>
          <w:r>
            <w:rPr>
              <w:rFonts w:hint="eastAsia" w:ascii="宋体" w:hAnsi="宋体" w:eastAsia="宋体" w:cs="宋体"/>
              <w:spacing w:val="0"/>
              <w:w w:val="100"/>
              <w:position w:val="0"/>
              <w:szCs w:val="24"/>
              <w:lang w:val="en-US" w:eastAsia="zh-CN"/>
            </w:rPr>
            <w:t>响应无效的情形</w:t>
          </w:r>
          <w:r>
            <w:tab/>
          </w:r>
          <w:r>
            <w:fldChar w:fldCharType="begin"/>
          </w:r>
          <w:r>
            <w:instrText xml:space="preserve"> PAGEREF _Toc22008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0EAB1CDB">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w:t>
          </w:r>
          <w:r>
            <w:rPr>
              <w:rFonts w:hint="eastAsia" w:ascii="宋体" w:hAnsi="宋体" w:eastAsia="宋体" w:cs="宋体"/>
              <w:szCs w:val="24"/>
              <w:lang w:val="en-US" w:eastAsia="zh-CN"/>
            </w:rPr>
            <w:t xml:space="preserve">3 </w:t>
          </w:r>
          <w:r>
            <w:rPr>
              <w:rFonts w:hint="eastAsia" w:ascii="宋体" w:hAnsi="宋体" w:eastAsia="宋体" w:cs="宋体"/>
              <w:szCs w:val="24"/>
              <w:lang w:val="zh-TW" w:eastAsia="zh-TW"/>
            </w:rPr>
            <w:t>其他</w:t>
          </w:r>
          <w:r>
            <w:tab/>
          </w:r>
          <w:r>
            <w:fldChar w:fldCharType="begin"/>
          </w:r>
          <w:r>
            <w:instrText xml:space="preserve"> PAGEREF _Toc24207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6A241A8F">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_Toc7411 \h </w:instrText>
          </w:r>
          <w:r>
            <w:fldChar w:fldCharType="separate"/>
          </w:r>
          <w:r>
            <w:t>- 23 -</w:t>
          </w:r>
          <w:r>
            <w:fldChar w:fldCharType="end"/>
          </w:r>
          <w:r>
            <w:rPr>
              <w:rFonts w:hint="eastAsia" w:eastAsia="宋体" w:cs="宋体"/>
              <w:color w:val="000000"/>
              <w:spacing w:val="0"/>
              <w:w w:val="100"/>
              <w:position w:val="0"/>
              <w:szCs w:val="52"/>
              <w:lang w:val="en-US" w:eastAsia="zh-CN"/>
            </w:rPr>
            <w:fldChar w:fldCharType="end"/>
          </w:r>
        </w:p>
        <w:p w14:paraId="735AB0D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_Toc22396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_Toc22396 \h </w:instrText>
          </w:r>
          <w:r>
            <w:fldChar w:fldCharType="separate"/>
          </w:r>
          <w:r>
            <w:t>- 24 -</w:t>
          </w:r>
          <w:r>
            <w:fldChar w:fldCharType="end"/>
          </w:r>
          <w:r>
            <w:rPr>
              <w:rFonts w:hint="eastAsia" w:eastAsia="宋体" w:cs="宋体"/>
              <w:color w:val="000000"/>
              <w:spacing w:val="0"/>
              <w:w w:val="100"/>
              <w:position w:val="0"/>
              <w:szCs w:val="52"/>
              <w:lang w:val="en-US" w:eastAsia="zh-CN"/>
            </w:rPr>
            <w:fldChar w:fldCharType="end"/>
          </w:r>
        </w:p>
        <w:p w14:paraId="22170F58">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_Toc3129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评审方法（综合评分法）</w:t>
          </w:r>
          <w:r>
            <w:tab/>
          </w:r>
          <w:r>
            <w:fldChar w:fldCharType="begin"/>
          </w:r>
          <w:r>
            <w:instrText xml:space="preserve"> PAGEREF _Toc3129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6A827B1B">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_Toc12457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_Toc12457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1397E023">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初步评审标准</w:t>
          </w:r>
          <w:r>
            <w:tab/>
          </w:r>
          <w:r>
            <w:fldChar w:fldCharType="begin"/>
          </w:r>
          <w:r>
            <w:instrText xml:space="preserve"> PAGEREF _Toc27730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717ED5E3">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_Toc11161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初步评审程序</w:t>
          </w:r>
          <w:r>
            <w:tab/>
          </w:r>
          <w:r>
            <w:fldChar w:fldCharType="begin"/>
          </w:r>
          <w:r>
            <w:instrText xml:space="preserve"> PAGEREF _Toc11161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50AD1877">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_Toc3947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_Toc3947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500F8C9">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_Toc21938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w:t>
          </w:r>
          <w:r>
            <w:rPr>
              <w:rFonts w:hint="eastAsia" w:ascii="宋体" w:hAnsi="宋体" w:eastAsia="宋体" w:cs="宋体"/>
              <w:szCs w:val="24"/>
              <w:lang w:val="en-US" w:eastAsia="zh-CN"/>
            </w:rPr>
            <w:t xml:space="preserve">1 </w:t>
          </w:r>
          <w:r>
            <w:rPr>
              <w:rFonts w:hint="eastAsia" w:ascii="宋体" w:hAnsi="宋体" w:eastAsia="宋体" w:cs="宋体"/>
              <w:szCs w:val="24"/>
              <w:lang w:eastAsia="zh-CN"/>
            </w:rPr>
            <w:t>分值构成</w:t>
          </w:r>
          <w:r>
            <w:tab/>
          </w:r>
          <w:r>
            <w:fldChar w:fldCharType="begin"/>
          </w:r>
          <w:r>
            <w:instrText xml:space="preserve"> PAGEREF _Toc21938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B46DD08">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评审基准价计算</w:t>
          </w:r>
          <w:r>
            <w:tab/>
          </w:r>
          <w:r>
            <w:fldChar w:fldCharType="begin"/>
          </w:r>
          <w:r>
            <w:instrText xml:space="preserve"> PAGEREF _Toc27027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D5E6CFE">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评分标准</w:t>
          </w:r>
          <w:r>
            <w:tab/>
          </w:r>
          <w:r>
            <w:fldChar w:fldCharType="begin"/>
          </w:r>
          <w:r>
            <w:instrText xml:space="preserve"> PAGEREF _Toc1536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417AA24">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_Toc17402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评分</w:t>
          </w:r>
          <w:r>
            <w:tab/>
          </w:r>
          <w:r>
            <w:fldChar w:fldCharType="begin"/>
          </w:r>
          <w:r>
            <w:instrText xml:space="preserve"> PAGEREF _Toc17402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B8CE5E7">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_Toc15869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汇总</w:t>
          </w:r>
          <w:r>
            <w:tab/>
          </w:r>
          <w:r>
            <w:fldChar w:fldCharType="begin"/>
          </w:r>
          <w:r>
            <w:instrText xml:space="preserve"> PAGEREF _Toc15869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48A2A96B">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_Toc11025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排序</w:t>
          </w:r>
          <w:r>
            <w:tab/>
          </w:r>
          <w:r>
            <w:fldChar w:fldCharType="begin"/>
          </w:r>
          <w:r>
            <w:instrText xml:space="preserve"> PAGEREF _Toc11025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142AB64">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_Toc11695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_Toc11695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7353F857">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_Toc30393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4.1</w:t>
          </w:r>
          <w:r>
            <w:rPr>
              <w:rFonts w:hint="eastAsia" w:ascii="宋体" w:hAnsi="宋体" w:eastAsia="宋体" w:cs="宋体"/>
              <w:szCs w:val="24"/>
              <w:lang w:val="en-US" w:eastAsia="zh-CN"/>
            </w:rPr>
            <w:t xml:space="preserve"> </w:t>
          </w:r>
          <w:r>
            <w:rPr>
              <w:rFonts w:hint="eastAsia" w:ascii="宋体" w:hAnsi="宋体" w:eastAsia="宋体" w:cs="宋体"/>
              <w:szCs w:val="24"/>
            </w:rPr>
            <w:t>提交书面评审报告</w:t>
          </w:r>
          <w:r>
            <w:tab/>
          </w:r>
          <w:r>
            <w:fldChar w:fldCharType="begin"/>
          </w:r>
          <w:r>
            <w:instrText xml:space="preserve"> PAGEREF _Toc30393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6F0AD38A">
          <w:pPr>
            <w:pStyle w:val="9"/>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_Toc23961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推荐候选成交供应商排序要求及数量</w:t>
          </w:r>
          <w:r>
            <w:tab/>
          </w:r>
          <w:r>
            <w:fldChar w:fldCharType="begin"/>
          </w:r>
          <w:r>
            <w:instrText xml:space="preserve"> PAGEREF _Toc23961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421789E4">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_Toc1259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合同条款及格式</w:t>
          </w:r>
          <w:r>
            <w:tab/>
          </w:r>
          <w:r>
            <w:fldChar w:fldCharType="begin"/>
          </w:r>
          <w:r>
            <w:instrText xml:space="preserve"> PAGEREF _Toc1259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7E7CF65B">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_Toc21844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采购需求</w:t>
          </w:r>
          <w:r>
            <w:tab/>
          </w:r>
          <w:r>
            <w:fldChar w:fldCharType="begin"/>
          </w:r>
          <w:r>
            <w:instrText xml:space="preserve"> PAGEREF _Toc21844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26CE543E">
          <w:pPr>
            <w:pStyle w:val="12"/>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_Toc17007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第六章 响应文件格式</w:t>
          </w:r>
          <w:r>
            <w:tab/>
          </w:r>
          <w:r>
            <w:fldChar w:fldCharType="begin"/>
          </w:r>
          <w:r>
            <w:instrText xml:space="preserve"> PAGEREF _Toc17007 \h </w:instrText>
          </w:r>
          <w:r>
            <w:fldChar w:fldCharType="separate"/>
          </w:r>
          <w:r>
            <w:t>- 33 -</w:t>
          </w:r>
          <w:r>
            <w:fldChar w:fldCharType="end"/>
          </w:r>
          <w:r>
            <w:rPr>
              <w:rFonts w:hint="eastAsia" w:eastAsia="宋体" w:cs="宋体"/>
              <w:color w:val="000000"/>
              <w:spacing w:val="0"/>
              <w:w w:val="100"/>
              <w:position w:val="0"/>
              <w:szCs w:val="52"/>
              <w:lang w:val="en-US" w:eastAsia="zh-CN"/>
            </w:rPr>
            <w:fldChar w:fldCharType="end"/>
          </w:r>
        </w:p>
        <w:p w14:paraId="4F8A3435">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14:paraId="369AD30B">
      <w:pPr>
        <w:pStyle w:val="2"/>
        <w:numPr>
          <w:ilvl w:val="0"/>
          <w:numId w:val="0"/>
        </w:numPr>
        <w:bidi w:val="0"/>
        <w:ind w:leftChars="0" w:right="0" w:rightChars="0"/>
        <w:jc w:val="center"/>
        <w:rPr>
          <w:rFonts w:hint="eastAsia" w:ascii="宋体" w:hAnsi="宋体" w:eastAsia="宋体" w:cs="宋体"/>
          <w:sz w:val="52"/>
          <w:szCs w:val="52"/>
          <w:lang w:val="en-US" w:eastAsia="zh-CN"/>
        </w:rPr>
        <w:sectPr>
          <w:footerReference r:id="rId7" w:type="default"/>
          <w:footnotePr>
            <w:numFmt w:val="decimal"/>
          </w:footnotePr>
          <w:pgSz w:w="12024" w:h="17314"/>
          <w:pgMar w:top="2353" w:right="1542" w:bottom="1950" w:left="1338" w:header="1134" w:footer="1134" w:gutter="0"/>
          <w:pgNumType w:fmt="decimal" w:start="1"/>
          <w:cols w:space="0" w:num="1"/>
          <w:rtlGutter w:val="0"/>
          <w:docGrid w:linePitch="360" w:charSpace="0"/>
        </w:sectPr>
      </w:pPr>
      <w:bookmarkStart w:id="6" w:name="_Toc28399"/>
    </w:p>
    <w:bookmarkEnd w:id="6"/>
    <w:p w14:paraId="6C4EE35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378440A">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8F9B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FBF38D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5842F55">
      <w:pPr>
        <w:pStyle w:val="2"/>
        <w:numPr>
          <w:ilvl w:val="0"/>
          <w:numId w:val="0"/>
        </w:numPr>
        <w:bidi w:val="0"/>
        <w:ind w:leftChars="0" w:right="0" w:rightChars="0"/>
        <w:jc w:val="center"/>
        <w:rPr>
          <w:rFonts w:hint="eastAsia" w:ascii="宋体" w:hAnsi="宋体" w:eastAsia="宋体" w:cs="宋体"/>
          <w:sz w:val="52"/>
          <w:szCs w:val="52"/>
          <w:lang w:val="en-US" w:eastAsia="zh-CN"/>
        </w:rPr>
      </w:pPr>
      <w:bookmarkStart w:id="7" w:name="_Toc29070"/>
      <w:bookmarkStart w:id="8" w:name="_Toc12621"/>
      <w:bookmarkStart w:id="9" w:name="_Toc21427"/>
      <w:bookmarkStart w:id="10" w:name="_Toc9104"/>
      <w:r>
        <w:rPr>
          <w:rFonts w:hint="eastAsia" w:ascii="宋体" w:hAnsi="宋体" w:eastAsia="宋体" w:cs="宋体"/>
          <w:sz w:val="52"/>
          <w:szCs w:val="52"/>
          <w:lang w:val="en-US" w:eastAsia="zh-CN"/>
        </w:rPr>
        <w:t>第一章   询比采购公告</w:t>
      </w:r>
      <w:bookmarkEnd w:id="7"/>
      <w:bookmarkEnd w:id="8"/>
      <w:bookmarkEnd w:id="9"/>
      <w:bookmarkEnd w:id="10"/>
    </w:p>
    <w:p w14:paraId="04D18EAA">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4285AC49">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8" w:type="default"/>
          <w:footnotePr>
            <w:numFmt w:val="decimal"/>
          </w:footnotePr>
          <w:pgSz w:w="12024" w:h="17314"/>
          <w:pgMar w:top="2353" w:right="1542" w:bottom="1950" w:left="1338" w:header="1134" w:footer="1134" w:gutter="0"/>
          <w:pgNumType w:fmt="numberInDash" w:start="1"/>
          <w:cols w:space="0" w:num="1"/>
          <w:rtlGutter w:val="0"/>
          <w:docGrid w:linePitch="360" w:charSpace="0"/>
        </w:sectPr>
      </w:pPr>
    </w:p>
    <w:p w14:paraId="0B702EB6">
      <w:pPr>
        <w:bidi w:val="0"/>
        <w:jc w:val="center"/>
        <w:rPr>
          <w:rFonts w:hint="eastAsia"/>
          <w:b/>
          <w:bCs/>
          <w:sz w:val="28"/>
          <w:szCs w:val="28"/>
          <w:u w:val="single"/>
          <w:lang w:val="zh-TW" w:eastAsia="zh-TW"/>
        </w:rPr>
      </w:pPr>
      <w:bookmarkStart w:id="11" w:name="_Toc28459"/>
      <w:bookmarkStart w:id="12" w:name="_Toc28911"/>
      <w:bookmarkStart w:id="13" w:name="_Toc14848"/>
      <w:bookmarkStart w:id="14" w:name="_Toc9394"/>
      <w:bookmarkStart w:id="15" w:name="_Toc21300"/>
      <w:r>
        <w:rPr>
          <w:rFonts w:hint="eastAsia"/>
          <w:b/>
          <w:bCs/>
          <w:sz w:val="28"/>
          <w:szCs w:val="28"/>
          <w:u w:val="single"/>
          <w:lang w:val="en-US" w:eastAsia="zh-CN"/>
        </w:rPr>
        <w:t>钦州综合保税港区(二号路南段)排水工程</w:t>
      </w:r>
    </w:p>
    <w:p w14:paraId="5427E91D">
      <w:pPr>
        <w:bidi w:val="0"/>
        <w:jc w:val="center"/>
        <w:rPr>
          <w:rFonts w:hint="eastAsia"/>
          <w:b/>
          <w:bCs/>
          <w:sz w:val="28"/>
          <w:szCs w:val="28"/>
        </w:rPr>
      </w:pPr>
      <w:r>
        <w:rPr>
          <w:rFonts w:hint="eastAsia"/>
          <w:b/>
          <w:bCs/>
          <w:sz w:val="28"/>
          <w:szCs w:val="28"/>
          <w:u w:val="single"/>
          <w:lang w:val="en-US" w:eastAsia="zh-CN"/>
        </w:rPr>
        <w:t>水土保持咨询服务</w:t>
      </w:r>
      <w:r>
        <w:rPr>
          <w:rFonts w:hint="eastAsia"/>
          <w:b/>
          <w:bCs/>
          <w:sz w:val="28"/>
          <w:szCs w:val="28"/>
          <w:lang w:eastAsia="zh-CN"/>
        </w:rPr>
        <w:t>询比</w:t>
      </w:r>
      <w:r>
        <w:rPr>
          <w:rFonts w:hint="eastAsia"/>
          <w:b/>
          <w:bCs/>
          <w:sz w:val="28"/>
          <w:szCs w:val="28"/>
        </w:rPr>
        <w:t>采购公告</w:t>
      </w:r>
      <w:bookmarkEnd w:id="11"/>
      <w:bookmarkEnd w:id="12"/>
      <w:bookmarkEnd w:id="13"/>
      <w:bookmarkEnd w:id="14"/>
      <w:bookmarkEnd w:id="15"/>
    </w:p>
    <w:p w14:paraId="14E15965">
      <w:pPr>
        <w:bidi w:val="0"/>
        <w:jc w:val="center"/>
        <w:rPr>
          <w:rFonts w:hint="eastAsia"/>
          <w:b/>
          <w:bCs/>
          <w:sz w:val="28"/>
          <w:szCs w:val="28"/>
        </w:rPr>
      </w:pPr>
    </w:p>
    <w:p w14:paraId="70F423F8">
      <w:pPr>
        <w:bidi w:val="0"/>
        <w:ind w:firstLine="482" w:firstLineChars="200"/>
        <w:rPr>
          <w:rFonts w:hint="eastAsia" w:ascii="宋体" w:hAnsi="宋体" w:eastAsia="宋体" w:cs="宋体"/>
          <w:sz w:val="28"/>
          <w:szCs w:val="28"/>
        </w:rPr>
      </w:pPr>
      <w:r>
        <w:rPr>
          <w:rFonts w:hint="eastAsia" w:ascii="宋体" w:hAnsi="宋体" w:eastAsia="宋体" w:cs="宋体"/>
          <w:b/>
          <w:bCs/>
          <w:sz w:val="24"/>
          <w:szCs w:val="24"/>
          <w:u w:val="single"/>
          <w:lang w:val="en-US" w:eastAsia="zh-CN"/>
        </w:rPr>
        <w:t>钦州综合保税港区(二号路南段)排水工程水土保持咨询服务</w:t>
      </w:r>
      <w:r>
        <w:rPr>
          <w:rFonts w:hint="eastAsia" w:ascii="宋体" w:hAnsi="宋体" w:eastAsia="宋体" w:cs="宋体"/>
          <w:color w:val="000000"/>
          <w:spacing w:val="0"/>
          <w:w w:val="100"/>
          <w:position w:val="0"/>
          <w:sz w:val="24"/>
          <w:szCs w:val="24"/>
        </w:rPr>
        <w:t>已具备采购条件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现公开邀请供应商参加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p>
    <w:p w14:paraId="4F5C96FF">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16" w:name="_Toc23380"/>
      <w:bookmarkStart w:id="17" w:name="_Toc21458"/>
      <w:bookmarkStart w:id="18" w:name="_Toc25962"/>
      <w:bookmarkStart w:id="19" w:name="_Toc12719"/>
      <w:bookmarkStart w:id="20" w:name="_Toc23447"/>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16"/>
      <w:bookmarkEnd w:id="17"/>
      <w:bookmarkEnd w:id="18"/>
      <w:bookmarkEnd w:id="19"/>
      <w:bookmarkEnd w:id="20"/>
    </w:p>
    <w:p w14:paraId="2C1582AC">
      <w:pPr>
        <w:pStyle w:val="20"/>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lang w:val="en-US" w:eastAsia="zh-CN"/>
        </w:rPr>
      </w:pPr>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ascii="宋体" w:hAnsi="宋体" w:eastAsia="宋体" w:cs="宋体"/>
          <w:b w:val="0"/>
          <w:bCs w:val="0"/>
          <w:sz w:val="24"/>
          <w:szCs w:val="24"/>
          <w:u w:val="single"/>
          <w:lang w:val="en-US" w:eastAsia="zh-CN"/>
        </w:rPr>
        <w:t>钦州综合保税港区(二号路南段)排水工程水土保持</w:t>
      </w:r>
      <w:r>
        <w:rPr>
          <w:rFonts w:hint="eastAsia" w:cs="宋体"/>
          <w:b w:val="0"/>
          <w:bCs w:val="0"/>
          <w:sz w:val="24"/>
          <w:szCs w:val="24"/>
          <w:u w:val="single"/>
          <w:lang w:val="en-US" w:eastAsia="zh-CN"/>
        </w:rPr>
        <w:t>咨询</w:t>
      </w:r>
      <w:r>
        <w:rPr>
          <w:rFonts w:hint="eastAsia" w:ascii="宋体" w:hAnsi="宋体" w:eastAsia="宋体" w:cs="宋体"/>
          <w:b w:val="0"/>
          <w:bCs w:val="0"/>
          <w:sz w:val="24"/>
          <w:szCs w:val="24"/>
          <w:u w:val="single"/>
          <w:lang w:val="en-US" w:eastAsia="zh-CN"/>
        </w:rPr>
        <w:t xml:space="preserve">服务  </w:t>
      </w:r>
      <w:r>
        <w:rPr>
          <w:rFonts w:hint="eastAsia" w:ascii="宋体" w:hAnsi="宋体" w:eastAsia="宋体" w:cs="宋体"/>
          <w:b/>
          <w:bCs/>
          <w:sz w:val="28"/>
          <w:szCs w:val="28"/>
          <w:u w:val="single"/>
          <w:lang w:val="en-US" w:eastAsia="zh-CN"/>
        </w:rPr>
        <w:t xml:space="preserve">  </w:t>
      </w:r>
    </w:p>
    <w:p w14:paraId="45C059F5">
      <w:pPr>
        <w:pStyle w:val="20"/>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w:t>
      </w:r>
      <w:r>
        <w:rPr>
          <w:rFonts w:hint="eastAsia" w:cs="宋体"/>
          <w:color w:val="000000"/>
          <w:spacing w:val="0"/>
          <w:w w:val="100"/>
          <w:position w:val="0"/>
          <w:sz w:val="24"/>
          <w:szCs w:val="24"/>
          <w:u w:val="single"/>
          <w:lang w:val="en-US" w:eastAsia="zh-CN"/>
        </w:rPr>
        <w:t xml:space="preserve">  </w:t>
      </w:r>
    </w:p>
    <w:p w14:paraId="2BEE5E36">
      <w:pPr>
        <w:pStyle w:val="20"/>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1.3</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297EFD44">
      <w:pPr>
        <w:pStyle w:val="20"/>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1.4</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购项目资金落实情况：</w:t>
      </w:r>
      <w:r>
        <w:rPr>
          <w:rFonts w:hint="eastAsia" w:ascii="宋体" w:hAnsi="宋体" w:eastAsia="宋体" w:cs="宋体"/>
          <w:color w:val="FF0000"/>
          <w:sz w:val="24"/>
          <w:szCs w:val="24"/>
          <w:u w:val="single"/>
        </w:rPr>
        <w:t xml:space="preserve"> </w:t>
      </w:r>
      <w:r>
        <w:rPr>
          <w:rFonts w:hint="eastAsia"/>
          <w:color w:val="FF0000"/>
          <w:sz w:val="24"/>
          <w:szCs w:val="24"/>
          <w:u w:val="single"/>
          <w:lang w:val="en-US" w:eastAsia="zh-CN"/>
        </w:rPr>
        <w:t>已落实</w:t>
      </w:r>
      <w:r>
        <w:rPr>
          <w:rFonts w:hint="eastAsia" w:ascii="宋体" w:hAnsi="宋体" w:eastAsia="宋体" w:cs="宋体"/>
          <w:b w:val="0"/>
          <w:bCs w:val="0"/>
          <w:color w:val="FF0000"/>
          <w:sz w:val="24"/>
          <w:szCs w:val="24"/>
          <w:u w:val="single"/>
          <w:lang w:val="en-US" w:eastAsia="zh-CN"/>
        </w:rPr>
        <w:t xml:space="preserve"> </w:t>
      </w:r>
      <w:r>
        <w:rPr>
          <w:rFonts w:hint="eastAsia" w:cs="宋体"/>
          <w:b w:val="0"/>
          <w:bCs w:val="0"/>
          <w:color w:val="FF0000"/>
          <w:sz w:val="24"/>
          <w:szCs w:val="24"/>
          <w:u w:val="single"/>
          <w:lang w:val="en-US" w:eastAsia="zh-CN"/>
        </w:rPr>
        <w:t>。</w:t>
      </w:r>
    </w:p>
    <w:p w14:paraId="0D2BE63D">
      <w:pPr>
        <w:numPr>
          <w:ilvl w:val="0"/>
          <w:numId w:val="1"/>
        </w:numPr>
        <w:jc w:val="both"/>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en-US" w:bidi="en-US"/>
        </w:rPr>
        <w:t>1.5</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采购项目概况：</w:t>
      </w:r>
      <w:r>
        <w:rPr>
          <w:rFonts w:hint="eastAsia" w:ascii="宋体" w:hAnsi="宋体" w:eastAsia="宋体" w:cs="宋体"/>
          <w:b w:val="0"/>
          <w:bCs w:val="0"/>
          <w:color w:val="000000"/>
          <w:spacing w:val="0"/>
          <w:w w:val="100"/>
          <w:position w:val="0"/>
          <w:sz w:val="24"/>
          <w:szCs w:val="24"/>
          <w:u w:val="single"/>
          <w:shd w:val="clear" w:color="auto" w:fill="auto"/>
          <w:lang w:val="en-US" w:eastAsia="zh-CN" w:bidi="zh-TW"/>
        </w:rPr>
        <w:t>改扩建二号路南段排雨水管网长7680m(不包含d300雨水联接管)，管道最小过水断面为d800，最大过水断面为d2400，箱涵最小过水断面BxH=3x2m，最大过水断面BxH=5.5x3.5m(双孔)。建设内容主要包括排水工程、绿化工程及支护工程等附属工程。</w:t>
      </w:r>
      <w:r>
        <w:rPr>
          <w:rFonts w:hint="eastAsia" w:ascii="宋体" w:hAnsi="宋体" w:eastAsia="宋体" w:cs="宋体"/>
          <w:b w:val="0"/>
          <w:bCs w:val="0"/>
          <w:sz w:val="24"/>
          <w:szCs w:val="24"/>
          <w:u w:val="single"/>
          <w:lang w:val="en-US" w:eastAsia="zh-CN"/>
        </w:rPr>
        <w:t xml:space="preserve">   </w:t>
      </w:r>
      <w:r>
        <w:rPr>
          <w:rFonts w:hint="eastAsia" w:cs="宋体"/>
          <w:sz w:val="24"/>
          <w:szCs w:val="24"/>
          <w:u w:val="single"/>
          <w:lang w:val="en-US" w:eastAsia="zh-CN"/>
        </w:rPr>
        <w:t xml:space="preserve"> </w:t>
      </w:r>
    </w:p>
    <w:p w14:paraId="7DAFB0D4">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FF0000"/>
          <w:sz w:val="24"/>
          <w:szCs w:val="24"/>
          <w:highlight w:val="none"/>
          <w:lang w:val="en-US" w:eastAsia="zh-CN"/>
        </w:rPr>
      </w:pPr>
      <w:r>
        <w:rPr>
          <w:rFonts w:hint="eastAsia" w:cs="宋体"/>
          <w:b/>
          <w:bCs/>
          <w:color w:val="FF0000"/>
          <w:spacing w:val="0"/>
          <w:w w:val="100"/>
          <w:position w:val="0"/>
          <w:sz w:val="24"/>
          <w:szCs w:val="24"/>
          <w:highlight w:val="none"/>
          <w:lang w:val="en-US" w:eastAsia="zh-CN"/>
        </w:rPr>
        <w:t>1.6</w:t>
      </w:r>
      <w:r>
        <w:rPr>
          <w:rFonts w:hint="eastAsia" w:cs="宋体"/>
          <w:color w:val="FF0000"/>
          <w:spacing w:val="0"/>
          <w:w w:val="100"/>
          <w:position w:val="0"/>
          <w:sz w:val="24"/>
          <w:szCs w:val="24"/>
          <w:highlight w:val="none"/>
          <w:lang w:val="en-US" w:eastAsia="zh-CN"/>
        </w:rPr>
        <w:t xml:space="preserve"> </w:t>
      </w:r>
      <w:r>
        <w:rPr>
          <w:rFonts w:hint="eastAsia"/>
          <w:color w:val="FF0000"/>
          <w:sz w:val="24"/>
          <w:szCs w:val="24"/>
          <w:highlight w:val="none"/>
          <w:lang w:val="en-US" w:eastAsia="zh-CN"/>
        </w:rPr>
        <w:t>预算金额：</w:t>
      </w:r>
      <w:r>
        <w:rPr>
          <w:rFonts w:hint="eastAsia"/>
          <w:color w:val="FF0000"/>
          <w:sz w:val="24"/>
          <w:szCs w:val="24"/>
          <w:highlight w:val="none"/>
          <w:u w:val="single"/>
          <w:lang w:val="en-US" w:eastAsia="zh-CN"/>
        </w:rPr>
        <w:t>人民币（大写）壹拾肆万贰仟陆佰捌拾元整（¥142680.00）</w:t>
      </w:r>
      <w:r>
        <w:rPr>
          <w:rFonts w:hint="eastAsia"/>
          <w:color w:val="FF0000"/>
          <w:sz w:val="24"/>
          <w:szCs w:val="24"/>
          <w:highlight w:val="none"/>
          <w:lang w:val="en-US" w:eastAsia="zh-CN"/>
        </w:rPr>
        <w:t xml:space="preserve">                                                            </w:t>
      </w:r>
    </w:p>
    <w:p w14:paraId="07AE6842">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sz w:val="24"/>
          <w:szCs w:val="24"/>
          <w:lang w:val="en-US" w:eastAsia="zh-CN"/>
        </w:rPr>
      </w:pPr>
      <w:r>
        <w:rPr>
          <w:rFonts w:hint="eastAsia"/>
          <w:b/>
          <w:bCs/>
          <w:color w:val="FF0000"/>
          <w:sz w:val="24"/>
          <w:szCs w:val="24"/>
          <w:highlight w:val="none"/>
          <w:lang w:val="en-US" w:eastAsia="zh-CN"/>
        </w:rPr>
        <w:t>1.7</w:t>
      </w:r>
      <w:r>
        <w:rPr>
          <w:rFonts w:hint="eastAsia"/>
          <w:color w:val="FF0000"/>
          <w:sz w:val="24"/>
          <w:szCs w:val="24"/>
          <w:highlight w:val="none"/>
          <w:lang w:val="en-US" w:eastAsia="zh-CN"/>
        </w:rPr>
        <w:t xml:space="preserve"> 最高限价：</w:t>
      </w:r>
      <w:r>
        <w:rPr>
          <w:rFonts w:hint="eastAsia"/>
          <w:color w:val="FF0000"/>
          <w:sz w:val="24"/>
          <w:szCs w:val="24"/>
          <w:highlight w:val="none"/>
          <w:u w:val="single"/>
          <w:lang w:val="en-US" w:eastAsia="zh-CN"/>
        </w:rPr>
        <w:t>人民币（大写）壹拾肆万贰仟陆佰捌拾元整（¥142680.00）</w:t>
      </w:r>
      <w:r>
        <w:rPr>
          <w:rFonts w:hint="eastAsia"/>
          <w:sz w:val="24"/>
          <w:szCs w:val="24"/>
          <w:lang w:val="en-US" w:eastAsia="zh-CN"/>
        </w:rPr>
        <w:t xml:space="preserve">                                                     </w:t>
      </w:r>
    </w:p>
    <w:p w14:paraId="653504E8">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w:t>
      </w:r>
      <w:r>
        <w:rPr>
          <w:rFonts w:hint="eastAsia"/>
          <w:sz w:val="24"/>
          <w:szCs w:val="24"/>
          <w:u w:val="single"/>
          <w:lang w:val="en-US" w:eastAsia="zh-CN"/>
        </w:rPr>
        <w:t>开展</w:t>
      </w:r>
      <w:r>
        <w:rPr>
          <w:rFonts w:hint="eastAsia" w:ascii="宋体" w:hAnsi="宋体" w:eastAsia="宋体" w:cs="宋体"/>
          <w:b w:val="0"/>
          <w:bCs w:val="0"/>
          <w:sz w:val="24"/>
          <w:szCs w:val="24"/>
          <w:u w:val="single"/>
          <w:lang w:val="en-US" w:eastAsia="zh-CN"/>
        </w:rPr>
        <w:t>钦州综合保税港区(二号路南段)排水工程水土保持</w:t>
      </w:r>
      <w:r>
        <w:rPr>
          <w:rFonts w:hint="eastAsia" w:cs="宋体"/>
          <w:b w:val="0"/>
          <w:bCs w:val="0"/>
          <w:sz w:val="24"/>
          <w:szCs w:val="24"/>
          <w:u w:val="single"/>
          <w:lang w:val="en-US" w:eastAsia="zh-CN"/>
        </w:rPr>
        <w:t>咨询</w:t>
      </w:r>
      <w:r>
        <w:rPr>
          <w:rFonts w:hint="eastAsia" w:ascii="宋体" w:hAnsi="宋体" w:eastAsia="宋体" w:cs="宋体"/>
          <w:b w:val="0"/>
          <w:bCs w:val="0"/>
          <w:sz w:val="24"/>
          <w:szCs w:val="24"/>
          <w:u w:val="single"/>
          <w:lang w:val="en-US" w:eastAsia="zh-CN"/>
        </w:rPr>
        <w:t>服务</w:t>
      </w:r>
      <w:r>
        <w:rPr>
          <w:rFonts w:hint="eastAsia" w:cs="宋体"/>
          <w:b w:val="0"/>
          <w:bCs w:val="0"/>
          <w:sz w:val="24"/>
          <w:szCs w:val="24"/>
          <w:u w:val="single"/>
          <w:lang w:val="en-US" w:eastAsia="zh-CN"/>
        </w:rPr>
        <w:t>，</w:t>
      </w:r>
      <w:r>
        <w:rPr>
          <w:rFonts w:hint="eastAsia"/>
          <w:sz w:val="24"/>
          <w:szCs w:val="24"/>
          <w:u w:val="single"/>
          <w:lang w:val="en-US" w:eastAsia="zh-CN"/>
        </w:rPr>
        <w:t>详见第五章“采购需求”。</w:t>
      </w:r>
    </w:p>
    <w:p w14:paraId="4FBFCED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1" w:name="_Toc10790"/>
      <w:bookmarkStart w:id="22" w:name="_Toc26552"/>
      <w:bookmarkStart w:id="23" w:name="_Toc8145"/>
      <w:bookmarkStart w:id="24" w:name="_Toc9214"/>
      <w:bookmarkStart w:id="25" w:name="_Toc19423"/>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w:t>
      </w:r>
      <w:bookmarkEnd w:id="21"/>
      <w:bookmarkEnd w:id="22"/>
      <w:bookmarkEnd w:id="23"/>
      <w:bookmarkEnd w:id="24"/>
      <w:bookmarkEnd w:id="25"/>
    </w:p>
    <w:p w14:paraId="2119FB4E">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highlight w:val="none"/>
          <w:u w:val="single"/>
          <w:lang w:val="en-US" w:eastAsia="zh-CN"/>
        </w:rPr>
        <w:t xml:space="preserve"> 水土保持方案编制、评审，施工期水土保持监测等技术服务。 </w:t>
      </w:r>
      <w:r>
        <w:rPr>
          <w:rFonts w:hint="eastAsia" w:cs="宋体"/>
          <w:sz w:val="24"/>
          <w:szCs w:val="24"/>
          <w:u w:val="single"/>
          <w:lang w:val="en-US" w:eastAsia="zh-CN"/>
        </w:rPr>
        <w:t xml:space="preserve">                                                         </w:t>
      </w:r>
    </w:p>
    <w:p w14:paraId="3FD39BD6">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服务期限：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签订合同起至完成所有服务内容。                                                          </w:t>
      </w:r>
    </w:p>
    <w:p w14:paraId="6C2A1054">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钦州</w:t>
      </w:r>
      <w:r>
        <w:rPr>
          <w:rFonts w:hint="eastAsia"/>
          <w:sz w:val="24"/>
          <w:szCs w:val="24"/>
          <w:u w:val="single"/>
          <w:lang w:val="en-US" w:eastAsia="zh-CN"/>
        </w:rPr>
        <w:t xml:space="preserve">综合保税区内。                            </w:t>
      </w:r>
      <w:r>
        <w:rPr>
          <w:rFonts w:hint="eastAsia" w:cs="宋体"/>
          <w:b/>
          <w:bCs/>
          <w:sz w:val="24"/>
          <w:szCs w:val="24"/>
          <w:u w:val="single"/>
          <w:lang w:val="en-US" w:eastAsia="zh-CN"/>
        </w:rPr>
        <w:t xml:space="preserve">               </w:t>
      </w:r>
      <w:r>
        <w:rPr>
          <w:rFonts w:hint="eastAsia" w:cs="宋体"/>
          <w:sz w:val="24"/>
          <w:szCs w:val="24"/>
          <w:u w:val="single"/>
          <w:lang w:val="en-US" w:eastAsia="zh-CN"/>
        </w:rPr>
        <w:t xml:space="preserve">        </w:t>
      </w:r>
    </w:p>
    <w:p w14:paraId="629655B6">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color w:val="FF0000"/>
          <w:sz w:val="24"/>
          <w:szCs w:val="24"/>
          <w:u w:val="single"/>
        </w:rPr>
        <w:t xml:space="preserve"> </w:t>
      </w:r>
      <w:r>
        <w:rPr>
          <w:rFonts w:hint="eastAsia" w:cs="宋体"/>
          <w:color w:val="FF0000"/>
          <w:sz w:val="24"/>
          <w:szCs w:val="24"/>
          <w:highlight w:val="none"/>
          <w:u w:val="single"/>
          <w:lang w:val="en-US" w:eastAsia="zh-CN"/>
        </w:rPr>
        <w:t xml:space="preserve"> 符合国家规定的质量标准、深度要求和现行技术规范、规程要求，并通过当地主管部门组织的审查。</w:t>
      </w:r>
      <w:r>
        <w:rPr>
          <w:rFonts w:hint="eastAsia" w:cs="宋体"/>
          <w:color w:val="FF0000"/>
          <w:sz w:val="24"/>
          <w:szCs w:val="24"/>
          <w:highlight w:val="none"/>
          <w:u w:val="none"/>
          <w:lang w:val="en-US" w:eastAsia="zh-CN"/>
        </w:rPr>
        <w:t xml:space="preserve">  </w:t>
      </w:r>
      <w:r>
        <w:rPr>
          <w:rFonts w:hint="eastAsia" w:cs="宋体"/>
          <w:sz w:val="24"/>
          <w:szCs w:val="24"/>
          <w:u w:val="none"/>
          <w:lang w:val="en-US" w:eastAsia="zh-CN"/>
        </w:rPr>
        <w:t xml:space="preserve">                                    </w:t>
      </w:r>
      <w:r>
        <w:rPr>
          <w:rFonts w:hint="eastAsia" w:cs="宋体"/>
          <w:sz w:val="24"/>
          <w:szCs w:val="24"/>
          <w:u w:val="single"/>
          <w:lang w:val="en-US" w:eastAsia="zh-CN"/>
        </w:rPr>
        <w:t xml:space="preserve">            </w:t>
      </w:r>
    </w:p>
    <w:p w14:paraId="07A52CD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6" w:name="_Toc3276"/>
      <w:bookmarkStart w:id="27" w:name="_Toc15830"/>
      <w:bookmarkStart w:id="28" w:name="_Toc6318"/>
      <w:bookmarkStart w:id="29" w:name="_Toc25746"/>
      <w:bookmarkStart w:id="30" w:name="_Toc31358"/>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26"/>
      <w:bookmarkEnd w:id="27"/>
      <w:bookmarkEnd w:id="28"/>
      <w:bookmarkEnd w:id="29"/>
      <w:bookmarkEnd w:id="30"/>
    </w:p>
    <w:p w14:paraId="0827019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p>
    <w:p w14:paraId="407827B8">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val="en-US" w:eastAsia="zh-CN"/>
        </w:rPr>
        <w:t>资质要求：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7763676A">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val="en-US" w:eastAsia="zh-CN"/>
        </w:rPr>
        <w:t>财务要求：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542DFC76">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供应商应提供2022至2025年的类似项目情况表（格式见第六章“响应文件格式”七、资格审查资料（三）近年的类似项目情况表），以证明供应商具有承担本项目要求的业绩。要求供应商至少有1个以上类似业绩。</w:t>
      </w:r>
      <w:r>
        <w:rPr>
          <w:rFonts w:hint="eastAsia" w:cs="宋体"/>
          <w:sz w:val="24"/>
          <w:szCs w:val="24"/>
          <w:u w:val="single"/>
          <w:lang w:val="en-US" w:eastAsia="zh-CN"/>
        </w:rPr>
        <w:t xml:space="preserve">                  </w:t>
      </w:r>
    </w:p>
    <w:p w14:paraId="6CD78FC4">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val="en-US" w:eastAsia="zh-CN"/>
        </w:rPr>
        <w:t>信誉要求：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bCs/>
          <w:color w:val="000000" w:themeColor="text1"/>
          <w:sz w:val="24"/>
          <w:highlight w:val="none"/>
          <w:u w:val="single"/>
          <w:lang w:eastAsia="zh-CN"/>
          <w14:textFill>
            <w14:solidFill>
              <w14:schemeClr w14:val="tx1"/>
            </w14:solidFill>
          </w14:textFill>
        </w:rPr>
        <w:t>。</w:t>
      </w:r>
      <w:r>
        <w:rPr>
          <w:rFonts w:hint="eastAsia" w:cs="宋体"/>
          <w:sz w:val="24"/>
          <w:szCs w:val="24"/>
          <w:u w:val="single"/>
          <w:lang w:val="en-US" w:eastAsia="zh-CN"/>
        </w:rPr>
        <w:t xml:space="preserve">                               </w:t>
      </w:r>
    </w:p>
    <w:p w14:paraId="43BAACA9">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val="en-US" w:eastAsia="zh-CN"/>
        </w:rPr>
        <w:t>承担本项目的主要人员要求：</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 xml:space="preserve">项目负责人具备高级以上职称。   </w:t>
      </w:r>
      <w:r>
        <w:rPr>
          <w:rFonts w:hint="eastAsia" w:cs="宋体"/>
          <w:sz w:val="24"/>
          <w:szCs w:val="24"/>
          <w:u w:val="single"/>
          <w:lang w:val="en-US" w:eastAsia="zh-CN"/>
        </w:rPr>
        <w:t xml:space="preserve">      </w:t>
      </w:r>
    </w:p>
    <w:p w14:paraId="43C9583D">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sz w:val="24"/>
          <w:szCs w:val="24"/>
          <w:u w:val="single"/>
          <w:lang w:val="en-US" w:eastAsia="zh-CN"/>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val="en-US" w:eastAsia="zh-CN"/>
        </w:rPr>
        <w:t>其他要求：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 xml:space="preserve">/ </w:t>
      </w:r>
      <w:r>
        <w:rPr>
          <w:rFonts w:hint="eastAsia" w:cs="宋体"/>
          <w:sz w:val="24"/>
          <w:szCs w:val="24"/>
          <w:u w:val="single"/>
          <w:lang w:val="en-US" w:eastAsia="zh-CN"/>
        </w:rPr>
        <w:t xml:space="preserve">                                                     </w:t>
      </w:r>
    </w:p>
    <w:p w14:paraId="50A7ABE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14:paraId="1A868660">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处于被责令停产停业、暂扣或者吊销执照、暂扣或者吊销许可证、吊销资质证书状态；</w:t>
      </w:r>
    </w:p>
    <w:p w14:paraId="7C7874D2">
      <w:pPr>
        <w:pStyle w:val="20"/>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进入清算程序</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或被宣告破产</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或其他丧失履约能力的情形；</w:t>
      </w:r>
    </w:p>
    <w:p w14:paraId="5DF9058A">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单位负责人为同一人或者存在直接控股、管理关系的不同供应商，参加同一合同项下的采购活动。</w:t>
      </w:r>
    </w:p>
    <w:p w14:paraId="1C0B7BB8">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1BE69C2F">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158D5239">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接受</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ascii="宋体" w:hAnsi="宋体" w:eastAsia="宋体" w:cs="宋体"/>
          <w:sz w:val="24"/>
          <w:szCs w:val="24"/>
          <w:u w:val="single"/>
        </w:rPr>
        <w:t>不接受</w:t>
      </w:r>
      <w:r>
        <w:rPr>
          <w:rFonts w:hint="eastAsia" w:cs="宋体"/>
          <w:sz w:val="24"/>
          <w:szCs w:val="24"/>
          <w:u w:val="single"/>
          <w:lang w:val="en-US" w:eastAsia="zh-CN"/>
        </w:rPr>
        <w:t xml:space="preserve"> </w:t>
      </w:r>
      <w:r>
        <w:rPr>
          <w:rFonts w:hint="eastAsia" w:ascii="宋体" w:hAnsi="宋体" w:eastAsia="宋体" w:cs="宋体"/>
          <w:sz w:val="24"/>
          <w:szCs w:val="24"/>
          <w:u w:val="none"/>
        </w:rPr>
        <w:t>联合体</w:t>
      </w:r>
      <w:r>
        <w:rPr>
          <w:rFonts w:hint="eastAsia" w:ascii="宋体" w:hAnsi="宋体" w:eastAsia="宋体" w:cs="宋体"/>
          <w:color w:val="000000"/>
          <w:spacing w:val="0"/>
          <w:w w:val="100"/>
          <w:position w:val="0"/>
          <w:sz w:val="24"/>
          <w:szCs w:val="24"/>
        </w:rPr>
        <w:t>。</w:t>
      </w:r>
    </w:p>
    <w:p w14:paraId="0D73F67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联合体应满足本条第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款规定的要求</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且联合体各方均不得存在本条第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2款规定的情形。此外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联合体各方应分别满足如下条件：</w:t>
      </w:r>
    </w:p>
    <w:p w14:paraId="6C7BAAFE">
      <w:pPr>
        <w:pStyle w:val="27"/>
        <w:keepNext w:val="0"/>
        <w:keepLines w:val="0"/>
        <w:pageBreakBefore w:val="0"/>
        <w:widowControl w:val="0"/>
        <w:shd w:val="clear" w:color="auto" w:fill="auto"/>
        <w:tabs>
          <w:tab w:val="left" w:pos="736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w:t>
      </w:r>
    </w:p>
    <w:p w14:paraId="0AC5EA0F">
      <w:pPr>
        <w:pStyle w:val="20"/>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联合体的资格认定标准如下：</w:t>
      </w:r>
      <w:r>
        <w:rPr>
          <w:rFonts w:hint="eastAsia" w:cs="宋体"/>
          <w:sz w:val="24"/>
          <w:szCs w:val="24"/>
          <w:u w:val="single"/>
          <w:lang w:val="en-US" w:eastAsia="zh-CN"/>
        </w:rPr>
        <w:t>/</w:t>
      </w:r>
    </w:p>
    <w:p w14:paraId="21484CA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联合体应递交联合体协议书</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且联合体各方不得再以自己名义单独或参加其他联合体参与本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购项目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否则相关响应文件均无效。</w:t>
      </w:r>
    </w:p>
    <w:p w14:paraId="01E95F3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1" w:name="_Toc25748"/>
      <w:bookmarkStart w:id="32" w:name="_Toc21816"/>
      <w:bookmarkStart w:id="33" w:name="_Toc24823"/>
      <w:bookmarkStart w:id="34" w:name="_Toc15309"/>
      <w:bookmarkStart w:id="35" w:name="_Toc6426"/>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31"/>
      <w:bookmarkEnd w:id="32"/>
      <w:bookmarkEnd w:id="33"/>
      <w:bookmarkEnd w:id="34"/>
      <w:bookmarkEnd w:id="35"/>
    </w:p>
    <w:p w14:paraId="2A471A2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rPr>
        <w:t>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6</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19</w:t>
      </w:r>
      <w:r>
        <w:rPr>
          <w:rFonts w:hint="eastAsia" w:ascii="宋体" w:hAnsi="宋体" w:eastAsia="宋体" w:cs="宋体"/>
          <w:color w:val="000000"/>
          <w:spacing w:val="0"/>
          <w:w w:val="100"/>
          <w:position w:val="0"/>
          <w:sz w:val="24"/>
          <w:szCs w:val="24"/>
          <w:highlight w:val="yellow"/>
        </w:rPr>
        <w:t>日至</w:t>
      </w:r>
      <w:r>
        <w:rPr>
          <w:rFonts w:hint="eastAsia" w:cs="宋体"/>
          <w:color w:val="000000"/>
          <w:spacing w:val="0"/>
          <w:w w:val="100"/>
          <w:position w:val="0"/>
          <w:sz w:val="24"/>
          <w:szCs w:val="24"/>
          <w:highlight w:val="yellow"/>
          <w:u w:val="single"/>
          <w:lang w:val="en-US" w:eastAsia="zh-CN"/>
        </w:rPr>
        <w:t>2025</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6</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23</w:t>
      </w:r>
      <w:r>
        <w:rPr>
          <w:rFonts w:hint="eastAsia" w:ascii="宋体" w:hAnsi="宋体" w:eastAsia="宋体" w:cs="宋体"/>
          <w:color w:val="000000"/>
          <w:spacing w:val="0"/>
          <w:w w:val="100"/>
          <w:position w:val="0"/>
          <w:sz w:val="24"/>
          <w:szCs w:val="24"/>
          <w:highlight w:val="yellow"/>
        </w:rPr>
        <w:t>日</w:t>
      </w:r>
      <w:r>
        <w:rPr>
          <w:rFonts w:hint="eastAsia" w:cs="宋体"/>
          <w:color w:val="000000"/>
          <w:spacing w:val="0"/>
          <w:w w:val="100"/>
          <w:position w:val="0"/>
          <w:sz w:val="24"/>
          <w:szCs w:val="24"/>
          <w:highlight w:val="yellow"/>
          <w:lang w:eastAsia="zh-CN"/>
        </w:rPr>
        <w:t>，</w:t>
      </w:r>
      <w:r>
        <w:rPr>
          <w:rFonts w:hint="eastAsia" w:ascii="宋体" w:hAnsi="宋体" w:eastAsia="宋体" w:cs="宋体"/>
          <w:color w:val="000000"/>
          <w:spacing w:val="0"/>
          <w:w w:val="100"/>
          <w:position w:val="0"/>
          <w:sz w:val="24"/>
          <w:szCs w:val="24"/>
        </w:rPr>
        <w:t>每日上午</w:t>
      </w:r>
      <w:r>
        <w:rPr>
          <w:rFonts w:hint="eastAsia" w:cs="宋体"/>
          <w:sz w:val="24"/>
          <w:szCs w:val="24"/>
          <w:u w:val="single"/>
          <w:lang w:val="en-US" w:eastAsia="zh-CN"/>
        </w:rPr>
        <w:t>8：30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12：00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下午</w:t>
      </w:r>
      <w:r>
        <w:rPr>
          <w:rFonts w:hint="eastAsia" w:cs="宋体"/>
          <w:color w:val="000000"/>
          <w:spacing w:val="0"/>
          <w:w w:val="100"/>
          <w:position w:val="0"/>
          <w:sz w:val="24"/>
          <w:szCs w:val="24"/>
          <w:u w:val="single"/>
          <w:lang w:val="en-US" w:eastAsia="zh-CN"/>
        </w:rPr>
        <w:t>14：00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17：30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北京时间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法定节假日除外</w:t>
      </w:r>
      <w:r>
        <w:rPr>
          <w:rFonts w:hint="eastAsia" w:cs="宋体"/>
          <w:color w:val="000000"/>
          <w:spacing w:val="0"/>
          <w:w w:val="100"/>
          <w:position w:val="0"/>
          <w:sz w:val="24"/>
          <w:szCs w:val="24"/>
          <w:lang w:eastAsia="zh-CN"/>
        </w:rPr>
        <w:t>）。</w:t>
      </w:r>
    </w:p>
    <w:p w14:paraId="1732B22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地点（网址）：</w:t>
      </w:r>
      <w:r>
        <w:rPr>
          <w:rFonts w:hint="eastAsia" w:ascii="宋体" w:hAnsi="宋体" w:eastAsia="宋体" w:cs="宋体"/>
          <w:color w:val="000000"/>
          <w:spacing w:val="0"/>
          <w:w w:val="100"/>
          <w:position w:val="0"/>
          <w:sz w:val="24"/>
          <w:szCs w:val="24"/>
          <w:u w:val="single"/>
        </w:rPr>
        <w:t>广西自贸区钦州港片区开发投资集团有限责任公司网站</w:t>
      </w:r>
      <w:r>
        <w:rPr>
          <w:rFonts w:hint="eastAsia" w:cs="宋体"/>
          <w:color w:val="000000"/>
          <w:spacing w:val="0"/>
          <w:w w:val="100"/>
          <w:position w:val="0"/>
          <w:sz w:val="24"/>
          <w:szCs w:val="24"/>
          <w:u w:val="single"/>
          <w:lang w:eastAsia="zh-CN"/>
        </w:rPr>
        <w:t>（</w:t>
      </w:r>
      <w:r>
        <w:rPr>
          <w:rFonts w:hint="eastAsia" w:cs="宋体"/>
          <w:sz w:val="24"/>
          <w:szCs w:val="24"/>
          <w:u w:val="single"/>
          <w:lang w:val="en-US" w:eastAsia="zh-CN"/>
        </w:rPr>
        <w:t>http://www.qzmktjt.com</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获取（下载）</w:t>
      </w:r>
      <w:r>
        <w:rPr>
          <w:rFonts w:hint="eastAsia" w:ascii="宋体" w:hAnsi="宋体" w:eastAsia="宋体" w:cs="宋体"/>
          <w:color w:val="000000"/>
          <w:spacing w:val="0"/>
          <w:w w:val="100"/>
          <w:position w:val="0"/>
          <w:sz w:val="24"/>
          <w:szCs w:val="24"/>
        </w:rPr>
        <w:t>。</w:t>
      </w:r>
    </w:p>
    <w:p w14:paraId="23A6E3B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方式：</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6</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23</w:t>
      </w:r>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17时30分前（北京时间）</w:t>
      </w:r>
      <w:r>
        <w:rPr>
          <w:rFonts w:hint="eastAsia" w:cs="宋体"/>
          <w:color w:val="000000"/>
          <w:spacing w:val="0"/>
          <w:w w:val="100"/>
          <w:position w:val="0"/>
          <w:sz w:val="24"/>
          <w:szCs w:val="24"/>
          <w:lang w:val="en-US" w:eastAsia="zh-CN"/>
        </w:rPr>
        <w:t>购买</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或</w:t>
      </w:r>
      <w:r>
        <w:rPr>
          <w:rFonts w:hint="eastAsia" w:ascii="宋体" w:hAnsi="宋体" w:eastAsia="宋体" w:cs="宋体"/>
          <w:color w:val="000000"/>
          <w:spacing w:val="0"/>
          <w:w w:val="100"/>
          <w:position w:val="0"/>
          <w:sz w:val="24"/>
          <w:szCs w:val="24"/>
        </w:rPr>
        <w:t>下载）</w:t>
      </w:r>
      <w:r>
        <w:rPr>
          <w:rFonts w:hint="eastAsia" w:cs="宋体"/>
          <w:color w:val="000000"/>
          <w:spacing w:val="0"/>
          <w:w w:val="100"/>
          <w:position w:val="0"/>
          <w:sz w:val="24"/>
          <w:szCs w:val="24"/>
          <w:lang w:val="en-US" w:eastAsia="zh-CN"/>
        </w:rPr>
        <w:t>采购文件</w:t>
      </w:r>
      <w:r>
        <w:rPr>
          <w:rFonts w:hint="eastAsia" w:ascii="宋体" w:hAnsi="宋体" w:eastAsia="宋体" w:cs="宋体"/>
          <w:color w:val="000000"/>
          <w:spacing w:val="0"/>
          <w:w w:val="100"/>
          <w:position w:val="0"/>
          <w:sz w:val="24"/>
          <w:szCs w:val="24"/>
        </w:rPr>
        <w:t>。</w:t>
      </w:r>
    </w:p>
    <w:p w14:paraId="51909E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售价：</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购文件每套售价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 xml:space="preserve">0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售后不退。</w:t>
      </w:r>
    </w:p>
    <w:p w14:paraId="6C30EB2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6" w:name="_Toc14090"/>
      <w:bookmarkStart w:id="37" w:name="_Toc17924"/>
      <w:bookmarkStart w:id="38" w:name="_Toc26524"/>
      <w:bookmarkStart w:id="39" w:name="_Toc23917"/>
      <w:bookmarkStart w:id="40" w:name="_Toc1680"/>
      <w:r>
        <w:rPr>
          <w:rFonts w:hint="eastAsia" w:ascii="宋体" w:hAnsi="宋体" w:eastAsia="宋体" w:cs="宋体"/>
          <w:b/>
          <w:bCs/>
          <w:color w:val="000000"/>
          <w:spacing w:val="0"/>
          <w:w w:val="100"/>
          <w:kern w:val="44"/>
          <w:position w:val="0"/>
          <w:sz w:val="28"/>
          <w:szCs w:val="28"/>
          <w:shd w:val="clear" w:color="auto" w:fill="auto"/>
          <w:lang w:val="en-US" w:eastAsia="en-US" w:bidi="en-US"/>
        </w:rPr>
        <w:t>5</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响应文件的递交</w:t>
      </w:r>
      <w:bookmarkEnd w:id="36"/>
      <w:bookmarkEnd w:id="37"/>
      <w:bookmarkEnd w:id="38"/>
      <w:bookmarkEnd w:id="39"/>
      <w:bookmarkEnd w:id="40"/>
    </w:p>
    <w:p w14:paraId="04BB0183">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 xml:space="preserve">5.1 </w:t>
      </w:r>
      <w:r>
        <w:rPr>
          <w:rFonts w:hint="eastAsia" w:ascii="宋体" w:hAnsi="宋体" w:eastAsia="宋体" w:cs="宋体"/>
          <w:color w:val="000000"/>
          <w:spacing w:val="0"/>
          <w:w w:val="100"/>
          <w:position w:val="0"/>
          <w:sz w:val="24"/>
          <w:szCs w:val="24"/>
        </w:rPr>
        <w:t>响应文件递交的截止时间为</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6</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23</w:t>
      </w:r>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eastAsia="zh-CN"/>
        </w:rPr>
        <w:t>点</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广西钦州市钦州港区友谊大道1号自贸中心23楼经营管理部，裴炳昌0777-5881305</w:t>
      </w:r>
      <w:r>
        <w:rPr>
          <w:rFonts w:hint="eastAsia" w:cs="宋体"/>
          <w:sz w:val="24"/>
          <w:szCs w:val="24"/>
          <w:u w:val="none"/>
          <w:lang w:val="en-US" w:eastAsia="zh-CN"/>
        </w:rPr>
        <w:t>。</w:t>
      </w:r>
    </w:p>
    <w:p w14:paraId="28EB63D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5.2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w:t>
      </w:r>
      <w:r>
        <w:rPr>
          <w:rFonts w:hint="eastAsia" w:cs="宋体"/>
          <w:color w:val="000000"/>
          <w:spacing w:val="0"/>
          <w:w w:val="100"/>
          <w:position w:val="0"/>
          <w:sz w:val="24"/>
          <w:szCs w:val="24"/>
          <w:lang w:val="en-US" w:eastAsia="zh-CN"/>
        </w:rPr>
        <w:t>按规定</w:t>
      </w:r>
      <w:r>
        <w:rPr>
          <w:rFonts w:hint="eastAsia" w:cs="宋体"/>
          <w:color w:val="000000"/>
          <w:spacing w:val="0"/>
          <w:w w:val="100"/>
          <w:position w:val="0"/>
          <w:sz w:val="24"/>
          <w:szCs w:val="24"/>
          <w:lang w:eastAsia="zh-CN"/>
        </w:rPr>
        <w:t>密封的</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采购人不予受理</w:t>
      </w:r>
      <w:r>
        <w:rPr>
          <w:rFonts w:hint="eastAsia" w:ascii="宋体" w:hAnsi="宋体" w:eastAsia="宋体" w:cs="宋体"/>
          <w:color w:val="000000"/>
          <w:spacing w:val="0"/>
          <w:w w:val="100"/>
          <w:position w:val="0"/>
          <w:sz w:val="24"/>
          <w:szCs w:val="24"/>
        </w:rPr>
        <w:t>。</w:t>
      </w:r>
    </w:p>
    <w:p w14:paraId="350877D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zh-CN" w:bidi="en-US"/>
        </w:rPr>
        <w:t>5.3</w:t>
      </w:r>
      <w:r>
        <w:rPr>
          <w:rFonts w:hint="eastAsia" w:cs="宋体"/>
          <w:color w:val="000000"/>
          <w:spacing w:val="0"/>
          <w:w w:val="100"/>
          <w:position w:val="0"/>
          <w:sz w:val="24"/>
          <w:szCs w:val="24"/>
          <w:lang w:val="en-US" w:eastAsia="zh-CN"/>
        </w:rPr>
        <w:t xml:space="preserve"> 递交响应文件的方式：</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 xml:space="preserve">邮寄（顺丰快递）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供应商现场递交。</w:t>
      </w:r>
    </w:p>
    <w:p w14:paraId="5CF5AF0B">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1" w:name="_Toc13775"/>
      <w:bookmarkStart w:id="42" w:name="_Toc23549"/>
      <w:bookmarkStart w:id="43" w:name="_Toc1511"/>
      <w:bookmarkStart w:id="44" w:name="_Toc18193"/>
      <w:bookmarkStart w:id="45" w:name="_Toc19399"/>
      <w:r>
        <w:rPr>
          <w:rFonts w:hint="eastAsia" w:ascii="宋体" w:hAnsi="宋体" w:eastAsia="宋体" w:cs="宋体"/>
          <w:b/>
          <w:bCs/>
          <w:color w:val="000000"/>
          <w:spacing w:val="0"/>
          <w:w w:val="100"/>
          <w:kern w:val="44"/>
          <w:position w:val="0"/>
          <w:sz w:val="28"/>
          <w:szCs w:val="28"/>
          <w:shd w:val="clear" w:color="auto" w:fill="auto"/>
          <w:lang w:val="en-US" w:eastAsia="en-US" w:bidi="en-US"/>
        </w:rPr>
        <w:t>6</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41"/>
      <w:bookmarkEnd w:id="42"/>
      <w:bookmarkEnd w:id="43"/>
      <w:bookmarkEnd w:id="44"/>
      <w:bookmarkEnd w:id="45"/>
    </w:p>
    <w:p w14:paraId="04E23EAA">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lang w:val="en-US" w:eastAsia="zh-CN" w:bidi="en-US"/>
        </w:rPr>
        <w:t>6.1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开启在响应文件递交截止时间的同一时间进行（供应商不参加开启会议</w:t>
      </w:r>
      <w:r>
        <w:rPr>
          <w:rFonts w:hint="eastAsia" w:cs="宋体"/>
          <w:color w:val="000000"/>
          <w:spacing w:val="0"/>
          <w:w w:val="100"/>
          <w:position w:val="0"/>
          <w:sz w:val="24"/>
          <w:szCs w:val="24"/>
          <w:lang w:val="en-US" w:eastAsia="zh-CN"/>
        </w:rPr>
        <w:t>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具体开启时间由采购人确定）</w:t>
      </w:r>
      <w:r>
        <w:rPr>
          <w:rFonts w:hint="eastAsia" w:cs="宋体"/>
          <w:color w:val="000000"/>
          <w:spacing w:val="0"/>
          <w:w w:val="100"/>
          <w:position w:val="0"/>
          <w:sz w:val="24"/>
          <w:szCs w:val="24"/>
          <w:lang w:eastAsia="zh-CN"/>
        </w:rPr>
        <w:t>，地点为广西钦州市保税港区二号路自贸中心23</w:t>
      </w:r>
      <w:r>
        <w:rPr>
          <w:rFonts w:hint="eastAsia" w:cs="宋体"/>
          <w:color w:val="000000"/>
          <w:spacing w:val="0"/>
          <w:w w:val="100"/>
          <w:position w:val="0"/>
          <w:sz w:val="24"/>
          <w:szCs w:val="24"/>
          <w:lang w:val="en-US" w:eastAsia="zh-CN"/>
        </w:rPr>
        <w:t>层。</w:t>
      </w:r>
    </w:p>
    <w:p w14:paraId="067DDC85">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6.2</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val="en-US" w:eastAsia="zh-CN"/>
        </w:rPr>
        <w:t>供应商是否需要参加</w:t>
      </w:r>
      <w:r>
        <w:rPr>
          <w:rFonts w:hint="eastAsia" w:cs="宋体"/>
          <w:color w:val="000000"/>
          <w:spacing w:val="0"/>
          <w:w w:val="100"/>
          <w:position w:val="0"/>
          <w:sz w:val="24"/>
          <w:szCs w:val="24"/>
          <w:lang w:eastAsia="zh-CN"/>
        </w:rPr>
        <w:t>开启会议：</w:t>
      </w:r>
    </w:p>
    <w:p w14:paraId="26AA6B31">
      <w:pPr>
        <w:pStyle w:val="20"/>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none"/>
          <w:lang w:eastAsia="zh-CN"/>
        </w:rPr>
      </w:pPr>
      <w:r>
        <w:rPr>
          <w:rFonts w:hint="eastAsia" w:cs="宋体"/>
          <w:color w:val="000000"/>
          <w:spacing w:val="0"/>
          <w:w w:val="100"/>
          <w:position w:val="0"/>
          <w:sz w:val="24"/>
          <w:szCs w:val="24"/>
          <w:u w:val="none"/>
          <w:lang w:eastAsia="zh-CN"/>
        </w:rPr>
        <w:sym w:font="Wingdings 2" w:char="0052"/>
      </w:r>
      <w:r>
        <w:rPr>
          <w:rFonts w:hint="eastAsia" w:cs="宋体"/>
          <w:color w:val="000000"/>
          <w:spacing w:val="0"/>
          <w:w w:val="100"/>
          <w:position w:val="0"/>
          <w:sz w:val="24"/>
          <w:szCs w:val="24"/>
          <w:u w:val="none"/>
          <w:lang w:eastAsia="zh-CN"/>
        </w:rPr>
        <w:t>供应商</w:t>
      </w:r>
      <w:r>
        <w:rPr>
          <w:rFonts w:hint="eastAsia" w:cs="宋体"/>
          <w:color w:val="000000"/>
          <w:spacing w:val="0"/>
          <w:w w:val="100"/>
          <w:position w:val="0"/>
          <w:sz w:val="24"/>
          <w:szCs w:val="24"/>
          <w:u w:val="none"/>
          <w:lang w:val="en-US" w:eastAsia="zh-CN"/>
        </w:rPr>
        <w:t>不需要</w:t>
      </w:r>
      <w:r>
        <w:rPr>
          <w:rFonts w:hint="eastAsia" w:cs="宋体"/>
          <w:color w:val="000000"/>
          <w:spacing w:val="0"/>
          <w:w w:val="100"/>
          <w:position w:val="0"/>
          <w:sz w:val="24"/>
          <w:szCs w:val="24"/>
          <w:u w:val="none"/>
          <w:lang w:eastAsia="zh-CN"/>
        </w:rPr>
        <w:t>参加开启会议。</w:t>
      </w:r>
    </w:p>
    <w:p w14:paraId="67BA629D">
      <w:pPr>
        <w:pStyle w:val="20"/>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cs="宋体"/>
          <w:color w:val="000000"/>
          <w:spacing w:val="0"/>
          <w:w w:val="100"/>
          <w:position w:val="0"/>
          <w:sz w:val="24"/>
          <w:szCs w:val="24"/>
          <w:lang w:eastAsia="zh-CN"/>
        </w:rPr>
        <w:sym w:font="Wingdings 2" w:char="00A3"/>
      </w:r>
      <w:r>
        <w:rPr>
          <w:rFonts w:hint="eastAsia" w:cs="宋体"/>
          <w:color w:val="000000"/>
          <w:spacing w:val="0"/>
          <w:w w:val="100"/>
          <w:position w:val="0"/>
          <w:sz w:val="24"/>
          <w:szCs w:val="24"/>
          <w:lang w:eastAsia="zh-CN"/>
        </w:rPr>
        <w:t>供应商的法定代表人或其授权的</w:t>
      </w:r>
      <w:r>
        <w:rPr>
          <w:rFonts w:hint="eastAsia" w:cs="宋体"/>
          <w:color w:val="000000"/>
          <w:spacing w:val="0"/>
          <w:w w:val="100"/>
          <w:position w:val="0"/>
          <w:sz w:val="24"/>
          <w:szCs w:val="24"/>
          <w:lang w:val="en-US" w:eastAsia="zh-CN"/>
        </w:rPr>
        <w:t>委托</w:t>
      </w:r>
      <w:r>
        <w:rPr>
          <w:rFonts w:hint="eastAsia" w:cs="宋体"/>
          <w:color w:val="000000"/>
          <w:spacing w:val="0"/>
          <w:w w:val="100"/>
          <w:position w:val="0"/>
          <w:sz w:val="24"/>
          <w:szCs w:val="24"/>
          <w:lang w:eastAsia="zh-CN"/>
        </w:rPr>
        <w:t>代理人</w:t>
      </w:r>
      <w:r>
        <w:rPr>
          <w:rFonts w:hint="eastAsia" w:cs="宋体"/>
          <w:color w:val="000000"/>
          <w:spacing w:val="0"/>
          <w:w w:val="100"/>
          <w:position w:val="0"/>
          <w:sz w:val="24"/>
          <w:szCs w:val="24"/>
          <w:lang w:val="en-US" w:eastAsia="zh-CN"/>
        </w:rPr>
        <w:t>应</w:t>
      </w:r>
      <w:r>
        <w:rPr>
          <w:rFonts w:hint="eastAsia" w:cs="宋体"/>
          <w:color w:val="000000"/>
          <w:spacing w:val="0"/>
          <w:w w:val="100"/>
          <w:position w:val="0"/>
          <w:sz w:val="24"/>
          <w:szCs w:val="24"/>
          <w:lang w:eastAsia="zh-CN"/>
        </w:rPr>
        <w:t>参加开启会议，供应商未派代表参加开启会议的，视为默认开启结果。</w:t>
      </w:r>
    </w:p>
    <w:p w14:paraId="4BE8104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6" w:name="_Toc20018"/>
      <w:bookmarkStart w:id="47" w:name="_Toc1518"/>
      <w:bookmarkStart w:id="48" w:name="_Toc20303"/>
      <w:bookmarkStart w:id="49" w:name="_Toc13102"/>
      <w:bookmarkStart w:id="50" w:name="_Toc31079"/>
      <w:r>
        <w:rPr>
          <w:rFonts w:hint="eastAsia" w:ascii="宋体" w:hAnsi="宋体" w:eastAsia="宋体" w:cs="宋体"/>
          <w:b/>
          <w:bCs/>
          <w:color w:val="000000"/>
          <w:spacing w:val="0"/>
          <w:w w:val="100"/>
          <w:kern w:val="44"/>
          <w:position w:val="0"/>
          <w:sz w:val="28"/>
          <w:szCs w:val="28"/>
          <w:shd w:val="clear" w:color="auto" w:fill="auto"/>
          <w:lang w:val="en-US" w:eastAsia="en-US" w:bidi="en-US"/>
        </w:rPr>
        <w:t>7</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46"/>
      <w:bookmarkEnd w:id="47"/>
      <w:bookmarkEnd w:id="48"/>
      <w:bookmarkEnd w:id="49"/>
      <w:bookmarkEnd w:id="50"/>
    </w:p>
    <w:p w14:paraId="4ADB790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18"/>
          <w:szCs w:val="18"/>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购公告在</w:t>
      </w:r>
      <w:r>
        <w:rPr>
          <w:rFonts w:hint="eastAsia" w:cs="宋体"/>
          <w:sz w:val="24"/>
          <w:szCs w:val="24"/>
          <w:u w:val="single"/>
          <w:lang w:val="en-US" w:eastAsia="zh-CN"/>
        </w:rPr>
        <w:t>广西自贸区钦州港片区开发投资集团有限责任公司网站（http://www.qzmktjt.com）</w:t>
      </w:r>
      <w:r>
        <w:rPr>
          <w:rFonts w:hint="eastAsia" w:ascii="宋体" w:hAnsi="宋体" w:eastAsia="宋体" w:cs="宋体"/>
          <w:color w:val="000000"/>
          <w:spacing w:val="0"/>
          <w:w w:val="100"/>
          <w:position w:val="0"/>
          <w:sz w:val="24"/>
          <w:szCs w:val="24"/>
        </w:rPr>
        <w:t>上发布</w:t>
      </w:r>
      <w:r>
        <w:rPr>
          <w:rFonts w:hint="eastAsia" w:cs="宋体"/>
          <w:color w:val="000000"/>
          <w:spacing w:val="0"/>
          <w:w w:val="100"/>
          <w:position w:val="0"/>
          <w:sz w:val="24"/>
          <w:szCs w:val="24"/>
          <w:lang w:eastAsia="zh-CN"/>
        </w:rPr>
        <w:t>。</w:t>
      </w:r>
    </w:p>
    <w:p w14:paraId="0CEF34D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1" w:name="_Toc17225"/>
      <w:bookmarkStart w:id="52" w:name="_Toc28213"/>
      <w:bookmarkStart w:id="53" w:name="_Toc11172"/>
      <w:bookmarkStart w:id="54" w:name="_Toc24673"/>
      <w:bookmarkStart w:id="55" w:name="_Toc19348"/>
      <w:r>
        <w:rPr>
          <w:rFonts w:hint="eastAsia" w:ascii="宋体" w:hAnsi="宋体" w:eastAsia="宋体" w:cs="宋体"/>
          <w:b/>
          <w:bCs/>
          <w:color w:val="000000"/>
          <w:spacing w:val="0"/>
          <w:w w:val="100"/>
          <w:kern w:val="44"/>
          <w:position w:val="0"/>
          <w:sz w:val="28"/>
          <w:szCs w:val="28"/>
          <w:shd w:val="clear" w:color="auto" w:fill="auto"/>
          <w:lang w:val="en-US" w:eastAsia="en-US" w:bidi="en-US"/>
        </w:rPr>
        <w:t>8</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其他</w:t>
      </w:r>
      <w:bookmarkEnd w:id="51"/>
      <w:bookmarkEnd w:id="52"/>
      <w:bookmarkEnd w:id="53"/>
      <w:bookmarkEnd w:id="54"/>
      <w:bookmarkEnd w:id="55"/>
    </w:p>
    <w:p w14:paraId="44AD7B66">
      <w:pPr>
        <w:pStyle w:val="27"/>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w:t>
      </w:r>
    </w:p>
    <w:p w14:paraId="6C26536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6" w:name="_Toc27822"/>
      <w:bookmarkStart w:id="57" w:name="_Toc12650"/>
      <w:bookmarkStart w:id="58" w:name="_Toc8858"/>
      <w:bookmarkStart w:id="59" w:name="_Toc15489"/>
      <w:bookmarkStart w:id="60" w:name="_Toc867"/>
      <w:r>
        <w:rPr>
          <w:rFonts w:hint="eastAsia" w:ascii="宋体" w:hAnsi="宋体" w:eastAsia="宋体" w:cs="宋体"/>
          <w:b/>
          <w:bCs/>
          <w:color w:val="000000"/>
          <w:spacing w:val="0"/>
          <w:w w:val="100"/>
          <w:kern w:val="44"/>
          <w:position w:val="0"/>
          <w:sz w:val="28"/>
          <w:szCs w:val="28"/>
          <w:shd w:val="clear" w:color="auto" w:fill="auto"/>
          <w:lang w:val="en-US" w:eastAsia="en-US" w:bidi="en-US"/>
        </w:rPr>
        <w:t>9</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56"/>
      <w:bookmarkEnd w:id="57"/>
      <w:bookmarkEnd w:id="58"/>
      <w:bookmarkEnd w:id="59"/>
      <w:bookmarkEnd w:id="60"/>
    </w:p>
    <w:p w14:paraId="21AC719C">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761FE200">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none"/>
          <w:lang w:val="en-US" w:eastAsia="zh-CN"/>
        </w:rPr>
        <w:t xml:space="preserve">          </w:t>
      </w:r>
    </w:p>
    <w:p w14:paraId="7971AA89">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广西钦州市钦州港区友谊大道1号自贸中心</w:t>
      </w:r>
      <w:r>
        <w:rPr>
          <w:rFonts w:hint="eastAsia"/>
          <w:sz w:val="24"/>
          <w:szCs w:val="24"/>
          <w:u w:val="none"/>
          <w:lang w:val="en-US" w:eastAsia="zh-CN"/>
        </w:rPr>
        <w:t xml:space="preserve">                </w:t>
      </w:r>
      <w:r>
        <w:rPr>
          <w:rFonts w:hint="eastAsia" w:cs="宋体"/>
          <w:color w:val="000000"/>
          <w:spacing w:val="0"/>
          <w:w w:val="100"/>
          <w:position w:val="0"/>
          <w:sz w:val="24"/>
          <w:szCs w:val="24"/>
          <w:u w:val="none"/>
          <w:lang w:val="en-US" w:eastAsia="zh-CN"/>
        </w:rPr>
        <w:t xml:space="preserve"> </w:t>
      </w:r>
    </w:p>
    <w:p w14:paraId="62B85C4B">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color w:val="000000"/>
          <w:spacing w:val="0"/>
          <w:w w:val="100"/>
          <w:position w:val="0"/>
          <w:sz w:val="24"/>
          <w:szCs w:val="24"/>
        </w:rPr>
        <w:t>联系人：</w:t>
      </w:r>
      <w:r>
        <w:rPr>
          <w:rFonts w:hint="eastAsia" w:ascii="微软雅黑" w:hAnsi="微软雅黑" w:eastAsia="微软雅黑" w:cs="微软雅黑"/>
          <w:i w:val="0"/>
          <w:iCs w:val="0"/>
          <w:caps w:val="0"/>
          <w:color w:val="333333"/>
          <w:spacing w:val="0"/>
          <w:sz w:val="24"/>
          <w:szCs w:val="24"/>
          <w:u w:val="single"/>
          <w:shd w:val="clear" w:fill="FFFFFF"/>
        </w:rPr>
        <w:t>裴炳昌</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p>
    <w:p w14:paraId="33D72023">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0777-5881305</w:t>
      </w:r>
    </w:p>
    <w:p w14:paraId="2C8E10C1">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采购代理机构信息</w:t>
      </w:r>
    </w:p>
    <w:p w14:paraId="069188A5">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1833D066">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6CEA436">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07E6637">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737ABE04">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9.3</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监督部门信息</w:t>
      </w:r>
    </w:p>
    <w:p w14:paraId="1D099A56">
      <w:pPr>
        <w:pStyle w:val="20"/>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1472856D">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8755236">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ascii="微软雅黑" w:hAnsi="微软雅黑" w:eastAsia="微软雅黑" w:cs="微软雅黑"/>
          <w:i w:val="0"/>
          <w:iCs w:val="0"/>
          <w:caps w:val="0"/>
          <w:color w:val="333333"/>
          <w:spacing w:val="0"/>
          <w:sz w:val="24"/>
          <w:szCs w:val="24"/>
          <w:u w:val="single"/>
          <w:shd w:val="clear" w:fill="FFFFFF"/>
          <w:lang w:val="en-US" w:eastAsia="zh-CN"/>
        </w:rPr>
        <w:t>陈哲</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u w:val="none"/>
        </w:rPr>
        <w:t xml:space="preserve"> </w:t>
      </w:r>
      <w:r>
        <w:rPr>
          <w:rFonts w:hint="eastAsia"/>
          <w:sz w:val="24"/>
          <w:szCs w:val="24"/>
          <w:u w:val="none"/>
          <w:lang w:val="en-US" w:eastAsia="zh-CN"/>
        </w:rPr>
        <w:t xml:space="preserve">                                   </w:t>
      </w:r>
    </w:p>
    <w:p w14:paraId="17DF8A28">
      <w:pPr>
        <w:pStyle w:val="20"/>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r>
        <w:rPr>
          <w:rFonts w:hint="eastAsia"/>
          <w:sz w:val="24"/>
          <w:szCs w:val="24"/>
          <w:u w:val="none"/>
          <w:lang w:val="en-US" w:eastAsia="zh-CN"/>
        </w:rPr>
        <w:t xml:space="preserve">                                           </w:t>
      </w:r>
    </w:p>
    <w:p w14:paraId="7DB8365C">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3F67D153">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79C572B8">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24"/>
          <w:szCs w:val="24"/>
          <w:u w:val="none"/>
          <w:lang w:val="en-US" w:eastAsia="zh-CN"/>
        </w:rPr>
      </w:pPr>
      <w:r>
        <w:rPr>
          <w:rFonts w:hint="eastAsia" w:cs="宋体"/>
          <w:color w:val="000000"/>
          <w:spacing w:val="0"/>
          <w:w w:val="100"/>
          <w:position w:val="0"/>
          <w:sz w:val="24"/>
          <w:szCs w:val="24"/>
          <w:u w:val="none"/>
          <w:lang w:val="en-US" w:eastAsia="zh-CN"/>
        </w:rPr>
        <w:br w:type="page"/>
      </w:r>
    </w:p>
    <w:p w14:paraId="4BC41A7B">
      <w:pPr>
        <w:pStyle w:val="2"/>
        <w:bidi w:val="0"/>
        <w:jc w:val="center"/>
        <w:rPr>
          <w:rFonts w:hint="eastAsia" w:ascii="宋体" w:hAnsi="宋体" w:eastAsia="宋体" w:cs="宋体"/>
          <w:color w:val="000000"/>
          <w:spacing w:val="0"/>
          <w:w w:val="100"/>
          <w:position w:val="0"/>
          <w:sz w:val="52"/>
          <w:szCs w:val="52"/>
          <w:lang w:val="en-US" w:eastAsia="zh-CN"/>
        </w:rPr>
      </w:pPr>
      <w:bookmarkStart w:id="61" w:name="_Toc27936"/>
      <w:bookmarkStart w:id="62" w:name="_Toc5657"/>
      <w:bookmarkStart w:id="63" w:name="_Toc13182"/>
      <w:bookmarkStart w:id="64" w:name="_Toc29390"/>
      <w:bookmarkStart w:id="65" w:name="_Toc16211"/>
      <w:r>
        <w:rPr>
          <w:rFonts w:hint="eastAsia" w:ascii="宋体" w:hAnsi="宋体" w:eastAsia="宋体" w:cs="宋体"/>
          <w:sz w:val="52"/>
          <w:szCs w:val="52"/>
          <w:lang w:val="en-US" w:eastAsia="zh-CN"/>
        </w:rPr>
        <w:t>第二章   供应商须知</w:t>
      </w:r>
      <w:bookmarkEnd w:id="61"/>
      <w:bookmarkEnd w:id="62"/>
      <w:bookmarkEnd w:id="63"/>
      <w:bookmarkEnd w:id="64"/>
      <w:bookmarkEnd w:id="65"/>
    </w:p>
    <w:p w14:paraId="78398A3C">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0447866D">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9"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3ED643F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66" w:name="_Toc19182"/>
      <w:bookmarkStart w:id="67" w:name="_Toc2907"/>
      <w:bookmarkStart w:id="68" w:name="_Toc15139"/>
      <w:bookmarkStart w:id="69" w:name="_Toc12215"/>
      <w:bookmarkStart w:id="70" w:name="_Toc21057"/>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66"/>
      <w:bookmarkEnd w:id="67"/>
      <w:bookmarkEnd w:id="68"/>
      <w:bookmarkEnd w:id="69"/>
      <w:bookmarkEnd w:id="70"/>
    </w:p>
    <w:tbl>
      <w:tblPr>
        <w:tblStyle w:val="16"/>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7E8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B0992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004" w:type="dxa"/>
            <w:vAlign w:val="center"/>
          </w:tcPr>
          <w:p w14:paraId="43814D6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5027" w:type="dxa"/>
            <w:vAlign w:val="center"/>
          </w:tcPr>
          <w:p w14:paraId="429AC84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227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464864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004" w:type="dxa"/>
            <w:vAlign w:val="center"/>
          </w:tcPr>
          <w:p w14:paraId="4AD0533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5027" w:type="dxa"/>
            <w:vAlign w:val="center"/>
          </w:tcPr>
          <w:p w14:paraId="35D7702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7AD58B9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26F304D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36C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47140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004" w:type="dxa"/>
            <w:vAlign w:val="center"/>
          </w:tcPr>
          <w:p w14:paraId="6AB6E1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5027" w:type="dxa"/>
            <w:vAlign w:val="center"/>
          </w:tcPr>
          <w:p w14:paraId="7104AD4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0BDFC07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538C1AB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1A6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F0EB14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004" w:type="dxa"/>
            <w:vAlign w:val="center"/>
          </w:tcPr>
          <w:p w14:paraId="30E6E0E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分包（A、C）</w:t>
            </w:r>
          </w:p>
        </w:tc>
        <w:tc>
          <w:tcPr>
            <w:tcW w:w="5027" w:type="dxa"/>
            <w:vAlign w:val="center"/>
          </w:tcPr>
          <w:p w14:paraId="03C1C2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 xml:space="preserve">不允许分包 </w:t>
            </w:r>
            <w:r>
              <w:rPr>
                <w:rFonts w:hint="eastAsia" w:ascii="宋体" w:hAnsi="宋体" w:eastAsia="宋体" w:cs="宋体"/>
                <w:color w:val="auto"/>
                <w:sz w:val="21"/>
                <w:szCs w:val="21"/>
                <w:highlight w:val="none"/>
                <w:u w:val="single"/>
                <w:vertAlign w:val="baseline"/>
                <w:lang w:val="en-US" w:eastAsia="zh-CN"/>
              </w:rPr>
              <w:t xml:space="preserve">        </w:t>
            </w:r>
          </w:p>
          <w:p w14:paraId="7B13824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w:t>
            </w:r>
          </w:p>
        </w:tc>
      </w:tr>
      <w:tr w14:paraId="1A1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316043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004" w:type="dxa"/>
            <w:vAlign w:val="center"/>
          </w:tcPr>
          <w:p w14:paraId="2E4807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5027" w:type="dxa"/>
            <w:vAlign w:val="center"/>
          </w:tcPr>
          <w:p w14:paraId="429A4EB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E35E7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244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82069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004" w:type="dxa"/>
            <w:vAlign w:val="center"/>
          </w:tcPr>
          <w:p w14:paraId="7BD5FBC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5027" w:type="dxa"/>
            <w:vAlign w:val="center"/>
          </w:tcPr>
          <w:p w14:paraId="23FADA5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p>
        </w:tc>
      </w:tr>
      <w:tr w14:paraId="017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01361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004" w:type="dxa"/>
            <w:vAlign w:val="center"/>
          </w:tcPr>
          <w:p w14:paraId="6C491EF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5027" w:type="dxa"/>
            <w:vAlign w:val="center"/>
          </w:tcPr>
          <w:p w14:paraId="2A426D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3 </w:t>
            </w:r>
            <w:r>
              <w:rPr>
                <w:rFonts w:hint="eastAsia" w:ascii="宋体" w:hAnsi="宋体" w:eastAsia="宋体" w:cs="宋体"/>
                <w:color w:val="auto"/>
                <w:sz w:val="21"/>
                <w:szCs w:val="21"/>
                <w:highlight w:val="none"/>
                <w:u w:val="none"/>
                <w:lang w:eastAsia="zh-CN" w:bidi="zh-TW"/>
              </w:rPr>
              <w:t>个工作日前</w:t>
            </w:r>
          </w:p>
        </w:tc>
      </w:tr>
      <w:tr w14:paraId="53F7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FC232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004" w:type="dxa"/>
            <w:vAlign w:val="center"/>
          </w:tcPr>
          <w:p w14:paraId="034CBA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5027" w:type="dxa"/>
            <w:vAlign w:val="center"/>
          </w:tcPr>
          <w:p w14:paraId="0C4DF26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42C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5CCEB0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004" w:type="dxa"/>
            <w:vAlign w:val="center"/>
          </w:tcPr>
          <w:p w14:paraId="0C70BFF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5027" w:type="dxa"/>
            <w:vAlign w:val="center"/>
          </w:tcPr>
          <w:p w14:paraId="5BC0FAC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1589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4A74887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004" w:type="dxa"/>
            <w:vAlign w:val="center"/>
          </w:tcPr>
          <w:p w14:paraId="5F70036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5027" w:type="dxa"/>
            <w:vAlign w:val="center"/>
          </w:tcPr>
          <w:p w14:paraId="76C61B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0EC859B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             </w:t>
            </w:r>
          </w:p>
        </w:tc>
      </w:tr>
      <w:tr w14:paraId="5E3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EAEF52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004" w:type="dxa"/>
            <w:vAlign w:val="center"/>
          </w:tcPr>
          <w:p w14:paraId="4EFCE01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5027" w:type="dxa"/>
            <w:vAlign w:val="center"/>
          </w:tcPr>
          <w:p w14:paraId="6954319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7D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7A0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004" w:type="dxa"/>
            <w:vAlign w:val="center"/>
          </w:tcPr>
          <w:p w14:paraId="1EE7C46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5027" w:type="dxa"/>
            <w:vAlign w:val="center"/>
          </w:tcPr>
          <w:p w14:paraId="73C47D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3B0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2A7636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004" w:type="dxa"/>
            <w:vAlign w:val="center"/>
          </w:tcPr>
          <w:p w14:paraId="44EBC3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5027" w:type="dxa"/>
            <w:vAlign w:val="center"/>
          </w:tcPr>
          <w:p w14:paraId="1D28EFD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0B92E71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1D7A31B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DEB53B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33B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07798A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004" w:type="dxa"/>
            <w:vAlign w:val="center"/>
          </w:tcPr>
          <w:p w14:paraId="7D1B37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5027" w:type="dxa"/>
            <w:vAlign w:val="center"/>
          </w:tcPr>
          <w:p w14:paraId="29DD64C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5FA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9E860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004" w:type="dxa"/>
            <w:vAlign w:val="center"/>
          </w:tcPr>
          <w:p w14:paraId="2D1FF80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5027" w:type="dxa"/>
            <w:vAlign w:val="center"/>
          </w:tcPr>
          <w:p w14:paraId="729098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1CC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B81B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004" w:type="dxa"/>
            <w:vAlign w:val="center"/>
          </w:tcPr>
          <w:p w14:paraId="5FCBAA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5027" w:type="dxa"/>
            <w:vAlign w:val="center"/>
          </w:tcPr>
          <w:p w14:paraId="58B61C5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6C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6C810926">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004" w:type="dxa"/>
            <w:vAlign w:val="center"/>
          </w:tcPr>
          <w:p w14:paraId="2D35EA0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5027" w:type="dxa"/>
            <w:vAlign w:val="center"/>
          </w:tcPr>
          <w:p w14:paraId="40DBB1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8A9CC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2797BD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w:t>
            </w:r>
          </w:p>
          <w:p w14:paraId="1CD8012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470A0DFA">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6"/>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02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A8F5983">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3.5（3）</w:t>
            </w:r>
          </w:p>
        </w:tc>
        <w:tc>
          <w:tcPr>
            <w:tcW w:w="2976" w:type="dxa"/>
            <w:vAlign w:val="center"/>
          </w:tcPr>
          <w:p w14:paraId="09230B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财务要求证明材料</w:t>
            </w:r>
          </w:p>
        </w:tc>
        <w:tc>
          <w:tcPr>
            <w:tcW w:w="5049" w:type="dxa"/>
            <w:vAlign w:val="center"/>
          </w:tcPr>
          <w:p w14:paraId="7B7467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FDC2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028797B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54F53CD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（注：有财务要求的，应选择俩种财务会计报表中的一种作为财务证明资料。）</w:t>
            </w:r>
          </w:p>
        </w:tc>
      </w:tr>
      <w:tr w14:paraId="5B2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D88AE8">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3.5（4）</w:t>
            </w:r>
          </w:p>
        </w:tc>
        <w:tc>
          <w:tcPr>
            <w:tcW w:w="2976" w:type="dxa"/>
            <w:vAlign w:val="center"/>
          </w:tcPr>
          <w:p w14:paraId="009F88D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业绩要求证明材料</w:t>
            </w:r>
          </w:p>
        </w:tc>
        <w:tc>
          <w:tcPr>
            <w:tcW w:w="5049" w:type="dxa"/>
          </w:tcPr>
          <w:p w14:paraId="313C72C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4F26E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vertAlign w:val="baseline"/>
                <w:lang w:val="en-US" w:eastAsia="zh-CN"/>
              </w:rPr>
              <w:t xml:space="preserve"> 2022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2025 </w:t>
            </w:r>
            <w:r>
              <w:rPr>
                <w:rFonts w:hint="eastAsia" w:ascii="宋体" w:hAnsi="宋体" w:eastAsia="宋体" w:cs="宋体"/>
                <w:color w:val="000000"/>
                <w:spacing w:val="0"/>
                <w:w w:val="100"/>
                <w:position w:val="0"/>
                <w:sz w:val="21"/>
                <w:szCs w:val="21"/>
                <w:u w:val="none"/>
                <w:shd w:val="clear" w:color="auto" w:fill="auto"/>
                <w:lang w:val="en-US" w:eastAsia="zh-CN" w:bidi="zh-TW"/>
              </w:rPr>
              <w:t>年</w:t>
            </w:r>
          </w:p>
          <w:p w14:paraId="35CF02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w:t>
            </w:r>
          </w:p>
          <w:p w14:paraId="2D07FE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合同/订单</w:t>
            </w:r>
          </w:p>
          <w:p w14:paraId="45DEFE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中标通知书/成交通知书</w:t>
            </w:r>
          </w:p>
          <w:p w14:paraId="50D2A4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竣工验收报告/验收证明</w:t>
            </w:r>
          </w:p>
          <w:p w14:paraId="6300EA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业主证明</w:t>
            </w:r>
          </w:p>
          <w:p w14:paraId="07AF70B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其他材料：</w:t>
            </w:r>
            <w:r>
              <w:rPr>
                <w:rFonts w:hint="eastAsia" w:ascii="宋体" w:hAnsi="宋体" w:eastAsia="宋体" w:cs="宋体"/>
                <w:sz w:val="21"/>
                <w:szCs w:val="21"/>
                <w:u w:val="single"/>
                <w:vertAlign w:val="baseline"/>
                <w:lang w:val="en-US" w:eastAsia="zh-CN"/>
              </w:rPr>
              <w:t xml:space="preserve">                      </w:t>
            </w:r>
          </w:p>
          <w:p w14:paraId="0C9D11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业绩证明材料种类要求：</w:t>
            </w:r>
          </w:p>
          <w:p w14:paraId="454D3E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提供上述勾选的任一项证明材料即可</w:t>
            </w:r>
          </w:p>
          <w:p w14:paraId="348D09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需同时提供上述勾选的所有证明材料</w:t>
            </w:r>
          </w:p>
          <w:p w14:paraId="1062B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其他要求：</w:t>
            </w:r>
            <w:r>
              <w:rPr>
                <w:rFonts w:hint="eastAsia" w:ascii="宋体" w:hAnsi="宋体" w:eastAsia="宋体" w:cs="宋体"/>
                <w:sz w:val="21"/>
                <w:szCs w:val="21"/>
                <w:u w:val="single"/>
                <w:vertAlign w:val="baseline"/>
                <w:lang w:val="en-US" w:eastAsia="zh-CN"/>
              </w:rPr>
              <w:t xml:space="preserve">                        </w:t>
            </w:r>
          </w:p>
        </w:tc>
      </w:tr>
      <w:tr w14:paraId="76D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4567EB">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3.5（5）</w:t>
            </w:r>
          </w:p>
        </w:tc>
        <w:tc>
          <w:tcPr>
            <w:tcW w:w="2976" w:type="dxa"/>
            <w:vAlign w:val="center"/>
          </w:tcPr>
          <w:p w14:paraId="4C6579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信誉要求证明材料</w:t>
            </w:r>
          </w:p>
        </w:tc>
        <w:tc>
          <w:tcPr>
            <w:tcW w:w="5049" w:type="dxa"/>
            <w:vAlign w:val="top"/>
          </w:tcPr>
          <w:p w14:paraId="0184E3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61B7D3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bl>
    <w:p w14:paraId="21134A8E">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6"/>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7E4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01EEE3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3.5（6）</w:t>
            </w:r>
          </w:p>
        </w:tc>
        <w:tc>
          <w:tcPr>
            <w:tcW w:w="3168" w:type="dxa"/>
            <w:vAlign w:val="center"/>
          </w:tcPr>
          <w:p w14:paraId="1C820D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承担本项目的主要人员</w:t>
            </w:r>
          </w:p>
          <w:p w14:paraId="6776D8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要求证明材料</w:t>
            </w:r>
          </w:p>
        </w:tc>
        <w:tc>
          <w:tcPr>
            <w:tcW w:w="4854" w:type="dxa"/>
          </w:tcPr>
          <w:p w14:paraId="6497F1B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4FADC3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vertAlign w:val="baseli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项目负责人提供</w:t>
            </w:r>
            <w:r>
              <w:rPr>
                <w:rFonts w:hint="eastAsia" w:asciiTheme="minorEastAsia" w:hAnsiTheme="minorEastAsia" w:eastAsiaTheme="minorEastAsia" w:cstheme="minorEastAsia"/>
                <w:color w:val="auto"/>
                <w:sz w:val="21"/>
                <w:szCs w:val="21"/>
                <w:highlight w:val="none"/>
                <w:u w:val="single"/>
                <w:lang w:val="en-US" w:eastAsia="zh-CN"/>
              </w:rPr>
              <w:t>职称</w:t>
            </w:r>
            <w:r>
              <w:rPr>
                <w:rFonts w:hint="eastAsia" w:asciiTheme="minorEastAsia" w:hAnsiTheme="minorEastAsia" w:eastAsiaTheme="minorEastAsia" w:cstheme="minorEastAsia"/>
                <w:color w:val="auto"/>
                <w:sz w:val="21"/>
                <w:szCs w:val="21"/>
                <w:highlight w:val="none"/>
                <w:u w:val="single"/>
                <w:lang w:eastAsia="zh-CN"/>
              </w:rPr>
              <w:t>证明</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158C438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1DE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3E0B2E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3.5（7）</w:t>
            </w:r>
          </w:p>
        </w:tc>
        <w:tc>
          <w:tcPr>
            <w:tcW w:w="3168" w:type="dxa"/>
            <w:vAlign w:val="center"/>
          </w:tcPr>
          <w:p w14:paraId="31CBED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其他要求的证明材料</w:t>
            </w:r>
          </w:p>
        </w:tc>
        <w:tc>
          <w:tcPr>
            <w:tcW w:w="4854" w:type="dxa"/>
          </w:tcPr>
          <w:p w14:paraId="1DACE7B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510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D98ADB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3.5（8）</w:t>
            </w:r>
          </w:p>
        </w:tc>
        <w:tc>
          <w:tcPr>
            <w:tcW w:w="3168" w:type="dxa"/>
            <w:vAlign w:val="center"/>
          </w:tcPr>
          <w:p w14:paraId="37913A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供应商不存在的第一章3.2款情形的证明材料</w:t>
            </w:r>
          </w:p>
        </w:tc>
        <w:tc>
          <w:tcPr>
            <w:tcW w:w="4854" w:type="dxa"/>
          </w:tcPr>
          <w:p w14:paraId="2F1984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不需提供证明材料</w:t>
            </w:r>
          </w:p>
          <w:p w14:paraId="4DFD03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需要提供证明材料，包括：</w:t>
            </w:r>
            <w:r>
              <w:rPr>
                <w:rFonts w:hint="eastAsia" w:asciiTheme="minorEastAsia" w:hAnsiTheme="minorEastAsia" w:eastAsiaTheme="minorEastAsia" w:cstheme="minorEastAsia"/>
                <w:color w:val="0000FF"/>
                <w:sz w:val="21"/>
                <w:szCs w:val="21"/>
                <w:u w:val="single"/>
                <w:vertAlign w:val="baseline"/>
                <w:lang w:val="en-US" w:eastAsia="zh-CN"/>
              </w:rPr>
              <w:t xml:space="preserve"> 1.“信用中国”下载的信用报告；2.</w:t>
            </w:r>
            <w:r>
              <w:rPr>
                <w:rFonts w:hint="default" w:ascii="Arial" w:hAnsi="Arial" w:cs="Arial" w:eastAsiaTheme="minorEastAsia"/>
                <w:color w:val="0000FF"/>
                <w:sz w:val="21"/>
                <w:szCs w:val="21"/>
                <w:u w:val="single"/>
                <w:vertAlign w:val="baseline"/>
                <w:lang w:val="en-US" w:eastAsia="zh-CN"/>
              </w:rPr>
              <w:t>…</w:t>
            </w:r>
            <w:r>
              <w:rPr>
                <w:rFonts w:hint="eastAsia" w:asciiTheme="minorEastAsia" w:hAnsiTheme="minorEastAsia" w:eastAsiaTheme="minorEastAsia" w:cstheme="minorEastAsia"/>
                <w:color w:val="0000FF"/>
                <w:sz w:val="21"/>
                <w:szCs w:val="21"/>
                <w:u w:val="single"/>
                <w:vertAlign w:val="baseline"/>
                <w:lang w:val="en-US" w:eastAsia="zh-CN"/>
              </w:rPr>
              <w:t xml:space="preserve">         </w:t>
            </w:r>
          </w:p>
          <w:p w14:paraId="412D2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（注：采购人可在此处明确供应商需提供的证明材料。）</w:t>
            </w:r>
          </w:p>
        </w:tc>
      </w:tr>
      <w:tr w14:paraId="705A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BEAF1F5">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3.5（9）</w:t>
            </w:r>
          </w:p>
        </w:tc>
        <w:tc>
          <w:tcPr>
            <w:tcW w:w="3168" w:type="dxa"/>
            <w:vAlign w:val="center"/>
          </w:tcPr>
          <w:p w14:paraId="0EB268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联合体要求的证明材料</w:t>
            </w:r>
          </w:p>
        </w:tc>
        <w:tc>
          <w:tcPr>
            <w:tcW w:w="4854" w:type="dxa"/>
          </w:tcPr>
          <w:p w14:paraId="509439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不适用</w:t>
            </w:r>
          </w:p>
          <w:p w14:paraId="57A5C9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56E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9CC7DD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3.6.1</w:t>
            </w:r>
          </w:p>
        </w:tc>
        <w:tc>
          <w:tcPr>
            <w:tcW w:w="3168" w:type="dxa"/>
            <w:vAlign w:val="center"/>
          </w:tcPr>
          <w:p w14:paraId="462A28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对关键条款进行响应的证据或证明材料要求</w:t>
            </w:r>
          </w:p>
        </w:tc>
        <w:tc>
          <w:tcPr>
            <w:tcW w:w="4854" w:type="dxa"/>
          </w:tcPr>
          <w:p w14:paraId="6E7F615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none"/>
                <w:lang w:eastAsia="zh-CN"/>
              </w:rPr>
              <w:t>/</w:t>
            </w:r>
          </w:p>
        </w:tc>
      </w:tr>
      <w:tr w14:paraId="218D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590E6203">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3.7.5</w:t>
            </w:r>
          </w:p>
        </w:tc>
        <w:tc>
          <w:tcPr>
            <w:tcW w:w="3168" w:type="dxa"/>
            <w:vAlign w:val="center"/>
          </w:tcPr>
          <w:p w14:paraId="039F9F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响应文件副本份数及电子版要求</w:t>
            </w:r>
          </w:p>
        </w:tc>
        <w:tc>
          <w:tcPr>
            <w:tcW w:w="4854" w:type="dxa"/>
          </w:tcPr>
          <w:p w14:paraId="29AE9F6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响应文件正本1份，副本</w:t>
            </w:r>
            <w:r>
              <w:rPr>
                <w:rFonts w:hint="eastAsia" w:asciiTheme="minorEastAsia" w:hAnsiTheme="minorEastAsia" w:eastAsiaTheme="minorEastAsia" w:cstheme="minorEastAsia"/>
                <w:sz w:val="21"/>
                <w:szCs w:val="21"/>
                <w:u w:val="single"/>
                <w:vertAlign w:val="baseline"/>
                <w:lang w:val="en-US" w:eastAsia="zh-CN"/>
              </w:rPr>
              <w:t xml:space="preserve">    1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份</w:t>
            </w:r>
          </w:p>
          <w:p w14:paraId="79F3E82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是否要求提供电子版响应文件：</w:t>
            </w:r>
          </w:p>
          <w:p w14:paraId="16277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w:t>
            </w:r>
          </w:p>
          <w:p w14:paraId="3A7C57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要求，提供电子版相应文件的形式：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1A2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02E99D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3.7.6</w:t>
            </w:r>
          </w:p>
        </w:tc>
        <w:tc>
          <w:tcPr>
            <w:tcW w:w="3168" w:type="dxa"/>
            <w:vAlign w:val="center"/>
          </w:tcPr>
          <w:p w14:paraId="10A049A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分册装订要求</w:t>
            </w:r>
          </w:p>
        </w:tc>
        <w:tc>
          <w:tcPr>
            <w:tcW w:w="4854" w:type="dxa"/>
          </w:tcPr>
          <w:p w14:paraId="421B6FBF">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776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AC61CC6">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4.1.2</w:t>
            </w:r>
          </w:p>
        </w:tc>
        <w:tc>
          <w:tcPr>
            <w:tcW w:w="3168" w:type="dxa"/>
            <w:vAlign w:val="center"/>
          </w:tcPr>
          <w:p w14:paraId="36AE9EB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封套上应载明的信息</w:t>
            </w:r>
          </w:p>
        </w:tc>
        <w:tc>
          <w:tcPr>
            <w:tcW w:w="4854" w:type="dxa"/>
          </w:tcPr>
          <w:p w14:paraId="18C0504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43D208D5">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auto"/>
                <w:sz w:val="21"/>
                <w:szCs w:val="21"/>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响应文件</w:t>
            </w:r>
          </w:p>
        </w:tc>
      </w:tr>
    </w:tbl>
    <w:p w14:paraId="2B2C3162">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6"/>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2B0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A41F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4.2.1</w:t>
            </w:r>
          </w:p>
        </w:tc>
        <w:tc>
          <w:tcPr>
            <w:tcW w:w="3098" w:type="dxa"/>
            <w:vAlign w:val="center"/>
          </w:tcPr>
          <w:p w14:paraId="2EEEED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递交响应文件的截止时间和地点</w:t>
            </w:r>
          </w:p>
        </w:tc>
        <w:tc>
          <w:tcPr>
            <w:tcW w:w="5174" w:type="dxa"/>
          </w:tcPr>
          <w:p w14:paraId="709437E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sz w:val="21"/>
                <w:szCs w:val="21"/>
                <w:u w:val="single"/>
                <w:vertAlign w:val="baseline"/>
                <w:lang w:val="en-US" w:eastAsia="zh-CN"/>
              </w:rPr>
            </w:pPr>
            <w:r>
              <w:rPr>
                <w:rFonts w:hint="eastAsia" w:asciiTheme="minorEastAsia" w:hAnsiTheme="minorEastAsia" w:eastAsiaTheme="minorEastAsia" w:cstheme="minorEastAsia"/>
                <w:b w:val="0"/>
                <w:bCs w:val="0"/>
                <w:sz w:val="21"/>
                <w:szCs w:val="21"/>
                <w:u w:val="none"/>
                <w:lang w:val="en-US" w:eastAsia="zh-CN" w:bidi="zh-TW"/>
              </w:rPr>
              <w:t>详见第一章“</w:t>
            </w:r>
            <w:r>
              <w:rPr>
                <w:rFonts w:hint="eastAsia" w:asciiTheme="minorEastAsia" w:hAnsiTheme="minorEastAsia" w:eastAsiaTheme="minorEastAsia" w:cstheme="minorEastAsia"/>
                <w:b w:val="0"/>
                <w:bCs w:val="0"/>
                <w:sz w:val="21"/>
                <w:szCs w:val="21"/>
                <w:u w:val="none"/>
                <w:lang w:eastAsia="zh-CN" w:bidi="zh-TW"/>
              </w:rPr>
              <w:t>询比采购公告</w:t>
            </w:r>
            <w:r>
              <w:rPr>
                <w:rFonts w:hint="eastAsia" w:asciiTheme="minorEastAsia" w:hAnsiTheme="minorEastAsia" w:eastAsiaTheme="minorEastAsia" w:cstheme="minorEastAsia"/>
                <w:b w:val="0"/>
                <w:bCs w:val="0"/>
                <w:sz w:val="21"/>
                <w:szCs w:val="21"/>
                <w:u w:val="none"/>
                <w:lang w:val="en-US" w:eastAsia="zh-CN" w:bidi="zh-TW"/>
              </w:rPr>
              <w:t>/</w:t>
            </w:r>
            <w:r>
              <w:rPr>
                <w:rFonts w:hint="eastAsia" w:asciiTheme="minorEastAsia" w:hAnsiTheme="minorEastAsia" w:eastAsiaTheme="minorEastAsia" w:cstheme="minorEastAsia"/>
                <w:b w:val="0"/>
                <w:bCs w:val="0"/>
                <w:sz w:val="21"/>
                <w:szCs w:val="21"/>
                <w:u w:val="none"/>
                <w:lang w:eastAsia="zh-CN" w:bidi="zh-TW"/>
              </w:rPr>
              <w:t>询比采购</w:t>
            </w:r>
            <w:r>
              <w:rPr>
                <w:rFonts w:hint="eastAsia" w:asciiTheme="minorEastAsia" w:hAnsiTheme="minorEastAsia" w:eastAsiaTheme="minorEastAsia" w:cstheme="minorEastAsia"/>
                <w:b w:val="0"/>
                <w:bCs w:val="0"/>
                <w:sz w:val="21"/>
                <w:szCs w:val="21"/>
                <w:u w:val="none"/>
                <w:lang w:val="en-US" w:eastAsia="zh-CN" w:bidi="zh-TW"/>
              </w:rPr>
              <w:t>邀请书”5 响应文件的递交</w:t>
            </w:r>
          </w:p>
        </w:tc>
      </w:tr>
      <w:tr w14:paraId="243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F8710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4.2.2</w:t>
            </w:r>
          </w:p>
        </w:tc>
        <w:tc>
          <w:tcPr>
            <w:tcW w:w="3098" w:type="dxa"/>
            <w:vAlign w:val="center"/>
          </w:tcPr>
          <w:p w14:paraId="6B6AACA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是否退还响应文件</w:t>
            </w:r>
          </w:p>
        </w:tc>
        <w:tc>
          <w:tcPr>
            <w:tcW w:w="5174" w:type="dxa"/>
          </w:tcPr>
          <w:p w14:paraId="49E6A2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否</w:t>
            </w:r>
          </w:p>
          <w:p w14:paraId="0510BB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 xml:space="preserve">是，退还时间：             </w:t>
            </w:r>
          </w:p>
        </w:tc>
      </w:tr>
      <w:tr w14:paraId="6EC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68AF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4.3.3</w:t>
            </w:r>
          </w:p>
        </w:tc>
        <w:tc>
          <w:tcPr>
            <w:tcW w:w="3098" w:type="dxa"/>
            <w:vAlign w:val="center"/>
          </w:tcPr>
          <w:p w14:paraId="699B00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供应商撤回响应文件情况下退还响应保证金的时间</w:t>
            </w:r>
          </w:p>
        </w:tc>
        <w:tc>
          <w:tcPr>
            <w:tcW w:w="5174" w:type="dxa"/>
            <w:vAlign w:val="center"/>
          </w:tcPr>
          <w:p w14:paraId="4BFECA2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sz w:val="21"/>
                <w:szCs w:val="21"/>
                <w:u w:val="single"/>
                <w:vertAlign w:val="baseline"/>
                <w:lang w:val="en-US" w:eastAsia="zh-CN"/>
              </w:rPr>
              <w:t xml:space="preserve">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日内</w:t>
            </w:r>
          </w:p>
        </w:tc>
      </w:tr>
      <w:tr w14:paraId="1AC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BF70C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5.2（4）</w:t>
            </w:r>
          </w:p>
        </w:tc>
        <w:tc>
          <w:tcPr>
            <w:tcW w:w="3098" w:type="dxa"/>
            <w:vAlign w:val="center"/>
          </w:tcPr>
          <w:p w14:paraId="35E69D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开启程序</w:t>
            </w:r>
          </w:p>
        </w:tc>
        <w:tc>
          <w:tcPr>
            <w:tcW w:w="5174" w:type="dxa"/>
            <w:vAlign w:val="top"/>
          </w:tcPr>
          <w:p w14:paraId="2633D8D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u w:val="single"/>
                <w:vertAlign w:val="baseline"/>
                <w:lang w:val="en-US" w:eastAsia="zh-CN"/>
              </w:rPr>
              <w:t xml:space="preserve"> 随机开启   </w:t>
            </w:r>
          </w:p>
          <w:p w14:paraId="44CA0BA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25AE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DB01F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5.3</w:t>
            </w:r>
          </w:p>
        </w:tc>
        <w:tc>
          <w:tcPr>
            <w:tcW w:w="3098" w:type="dxa"/>
            <w:vAlign w:val="center"/>
          </w:tcPr>
          <w:p w14:paraId="379C2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递交响应文件的供应商不足的情形</w:t>
            </w:r>
          </w:p>
        </w:tc>
        <w:tc>
          <w:tcPr>
            <w:tcW w:w="5174" w:type="dxa"/>
          </w:tcPr>
          <w:p w14:paraId="452050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z w:val="21"/>
                <w:szCs w:val="21"/>
                <w:u w:val="none"/>
                <w:lang w:eastAsia="zh-CN" w:bidi="zh-TW"/>
              </w:rPr>
              <w:t>采购人终止询比并重新组织采购</w:t>
            </w:r>
          </w:p>
        </w:tc>
      </w:tr>
      <w:tr w14:paraId="63D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03C7A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6.2.2</w:t>
            </w:r>
          </w:p>
        </w:tc>
        <w:tc>
          <w:tcPr>
            <w:tcW w:w="3098" w:type="dxa"/>
            <w:vAlign w:val="center"/>
          </w:tcPr>
          <w:p w14:paraId="67F51B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推荐候选成交供应商的数量</w:t>
            </w:r>
          </w:p>
        </w:tc>
        <w:tc>
          <w:tcPr>
            <w:tcW w:w="5174" w:type="dxa"/>
          </w:tcPr>
          <w:p w14:paraId="752FFF4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sz w:val="21"/>
                <w:szCs w:val="21"/>
                <w:u w:val="none"/>
                <w:vertAlign w:val="baseline"/>
                <w:lang w:val="en-US" w:eastAsia="zh-CN"/>
              </w:rPr>
              <w:t xml:space="preserve">家  </w:t>
            </w:r>
          </w:p>
        </w:tc>
      </w:tr>
      <w:tr w14:paraId="491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69B58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7.3</w:t>
            </w:r>
          </w:p>
        </w:tc>
        <w:tc>
          <w:tcPr>
            <w:tcW w:w="3098" w:type="dxa"/>
            <w:vAlign w:val="center"/>
          </w:tcPr>
          <w:p w14:paraId="1DE0A4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发布成交结果公告</w:t>
            </w:r>
          </w:p>
        </w:tc>
        <w:tc>
          <w:tcPr>
            <w:tcW w:w="5174" w:type="dxa"/>
          </w:tcPr>
          <w:p w14:paraId="4C2BE88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sz w:val="21"/>
                <w:szCs w:val="21"/>
                <w:highlight w:val="none"/>
                <w:u w:val="none"/>
                <w:lang w:eastAsia="zh-CN" w:bidi="zh-TW"/>
              </w:rPr>
              <w:t>在发布</w:t>
            </w:r>
            <w:r>
              <w:rPr>
                <w:rFonts w:hint="eastAsia" w:asciiTheme="minorEastAsia" w:hAnsiTheme="minorEastAsia" w:eastAsiaTheme="minorEastAsia" w:cstheme="minorEastAsia"/>
                <w:sz w:val="21"/>
                <w:szCs w:val="21"/>
                <w:highlight w:val="none"/>
                <w:u w:val="none"/>
                <w:lang w:val="en-US" w:eastAsia="zh-CN" w:bidi="zh-TW"/>
              </w:rPr>
              <w:t>询比采购</w:t>
            </w:r>
            <w:r>
              <w:rPr>
                <w:rFonts w:hint="eastAsia" w:asciiTheme="minorEastAsia" w:hAnsiTheme="minorEastAsia" w:eastAsiaTheme="minorEastAsia" w:cstheme="minorEastAsia"/>
                <w:sz w:val="21"/>
                <w:szCs w:val="21"/>
                <w:highlight w:val="none"/>
                <w:u w:val="none"/>
                <w:lang w:eastAsia="zh-CN" w:bidi="zh-TW"/>
              </w:rPr>
              <w:t>公告媒介上公</w:t>
            </w:r>
            <w:r>
              <w:rPr>
                <w:rFonts w:hint="eastAsia" w:asciiTheme="minorEastAsia" w:hAnsiTheme="minorEastAsia" w:eastAsiaTheme="minorEastAsia" w:cstheme="minorEastAsia"/>
                <w:sz w:val="21"/>
                <w:szCs w:val="21"/>
                <w:highlight w:val="none"/>
                <w:u w:val="none"/>
                <w:lang w:val="en-US" w:eastAsia="zh-CN" w:bidi="zh-TW"/>
              </w:rPr>
              <w:t>告</w:t>
            </w:r>
          </w:p>
        </w:tc>
      </w:tr>
      <w:tr w14:paraId="5CB2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6EB3C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7.5</w:t>
            </w:r>
          </w:p>
        </w:tc>
        <w:tc>
          <w:tcPr>
            <w:tcW w:w="3098" w:type="dxa"/>
            <w:vAlign w:val="center"/>
          </w:tcPr>
          <w:p w14:paraId="0FBB47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履约保证金</w:t>
            </w:r>
          </w:p>
        </w:tc>
        <w:tc>
          <w:tcPr>
            <w:tcW w:w="5174" w:type="dxa"/>
          </w:tcPr>
          <w:p w14:paraId="3BFA2C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不要求递交</w:t>
            </w:r>
          </w:p>
          <w:p w14:paraId="208350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要求递交</w:t>
            </w:r>
          </w:p>
          <w:p w14:paraId="502E0F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12029F3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4256798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712D773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28916B7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tc>
      </w:tr>
      <w:tr w14:paraId="747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57215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w:t>
            </w:r>
          </w:p>
        </w:tc>
        <w:tc>
          <w:tcPr>
            <w:tcW w:w="3098" w:type="dxa"/>
            <w:vAlign w:val="center"/>
          </w:tcPr>
          <w:p w14:paraId="7ED1D0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签约合同价</w:t>
            </w:r>
          </w:p>
        </w:tc>
        <w:tc>
          <w:tcPr>
            <w:tcW w:w="5174" w:type="dxa"/>
          </w:tcPr>
          <w:p w14:paraId="1A60E88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z w:val="21"/>
                <w:szCs w:val="21"/>
                <w:u w:val="none"/>
                <w:lang w:val="en-US" w:eastAsia="zh-CN"/>
              </w:rPr>
              <w:t>按</w:t>
            </w:r>
            <w:r>
              <w:rPr>
                <w:rFonts w:hint="eastAsia" w:asciiTheme="minorEastAsia" w:hAnsiTheme="minorEastAsia" w:eastAsiaTheme="minorEastAsia" w:cstheme="minorEastAsia"/>
                <w:color w:val="auto"/>
                <w:sz w:val="21"/>
                <w:szCs w:val="21"/>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7.6.3规定</w:t>
            </w:r>
          </w:p>
        </w:tc>
      </w:tr>
      <w:tr w14:paraId="544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8541F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8.1</w:t>
            </w:r>
          </w:p>
        </w:tc>
        <w:tc>
          <w:tcPr>
            <w:tcW w:w="3098" w:type="dxa"/>
            <w:vAlign w:val="center"/>
          </w:tcPr>
          <w:p w14:paraId="5E589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异议渠道</w:t>
            </w:r>
          </w:p>
        </w:tc>
        <w:tc>
          <w:tcPr>
            <w:tcW w:w="5174" w:type="dxa"/>
          </w:tcPr>
          <w:p w14:paraId="370D875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裴炳昌</w:t>
            </w:r>
            <w:r>
              <w:rPr>
                <w:rFonts w:hint="eastAsia" w:asciiTheme="minorEastAsia" w:hAnsiTheme="minorEastAsia" w:eastAsiaTheme="minorEastAsia" w:cstheme="minorEastAsia"/>
                <w:sz w:val="21"/>
                <w:szCs w:val="21"/>
                <w:u w:val="single"/>
                <w:lang w:eastAsia="zh-CN"/>
              </w:rPr>
              <w:t xml:space="preserve">                </w:t>
            </w:r>
          </w:p>
          <w:p w14:paraId="1D0E636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4C0873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经营管理部</w:t>
            </w:r>
            <w:r>
              <w:rPr>
                <w:rFonts w:hint="eastAsia" w:asciiTheme="minorEastAsia" w:hAnsiTheme="minorEastAsia" w:eastAsiaTheme="minorEastAsia" w:cstheme="minorEastAsia"/>
                <w:sz w:val="21"/>
                <w:szCs w:val="21"/>
                <w:u w:val="single"/>
                <w:lang w:eastAsia="zh-CN"/>
              </w:rPr>
              <w:t xml:space="preserve">           </w:t>
            </w:r>
          </w:p>
          <w:p w14:paraId="3ACB291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63B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1B24A4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8.2</w:t>
            </w:r>
          </w:p>
        </w:tc>
        <w:tc>
          <w:tcPr>
            <w:tcW w:w="3098" w:type="dxa"/>
            <w:vAlign w:val="center"/>
          </w:tcPr>
          <w:p w14:paraId="040819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可以调解异议争议的行业组织或专业咨询机构</w:t>
            </w:r>
          </w:p>
        </w:tc>
        <w:tc>
          <w:tcPr>
            <w:tcW w:w="5174" w:type="dxa"/>
          </w:tcPr>
          <w:p w14:paraId="2FA742F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298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4B02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10.1</w:t>
            </w:r>
          </w:p>
        </w:tc>
        <w:tc>
          <w:tcPr>
            <w:tcW w:w="3098" w:type="dxa"/>
            <w:vAlign w:val="center"/>
          </w:tcPr>
          <w:p w14:paraId="04195C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供应商承担采购代理服务费</w:t>
            </w:r>
          </w:p>
        </w:tc>
        <w:tc>
          <w:tcPr>
            <w:tcW w:w="5174" w:type="dxa"/>
          </w:tcPr>
          <w:p w14:paraId="08B382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不要求承担</w:t>
            </w:r>
          </w:p>
          <w:p w14:paraId="10F2E5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要求承担</w:t>
            </w:r>
          </w:p>
          <w:p w14:paraId="401162A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费用标准或金额：</w:t>
            </w:r>
            <w:r>
              <w:rPr>
                <w:rFonts w:hint="eastAsia" w:asciiTheme="minorEastAsia" w:hAnsiTheme="minorEastAsia" w:eastAsiaTheme="minorEastAsia" w:cstheme="minorEastAsia"/>
                <w:sz w:val="21"/>
                <w:szCs w:val="21"/>
                <w:u w:val="single"/>
                <w:vertAlign w:val="baseline"/>
                <w:lang w:val="en-US" w:eastAsia="zh-CN"/>
              </w:rPr>
              <w:t xml:space="preserve">              </w:t>
            </w:r>
          </w:p>
          <w:p w14:paraId="23253CF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交费时间：</w:t>
            </w:r>
            <w:r>
              <w:rPr>
                <w:rFonts w:hint="eastAsia" w:asciiTheme="minorEastAsia" w:hAnsiTheme="minorEastAsia" w:eastAsiaTheme="minorEastAsia" w:cstheme="minorEastAsia"/>
                <w:sz w:val="21"/>
                <w:szCs w:val="21"/>
                <w:u w:val="single"/>
                <w:vertAlign w:val="baseline"/>
                <w:lang w:val="en-US" w:eastAsia="zh-CN"/>
              </w:rPr>
              <w:t xml:space="preserve">            </w:t>
            </w:r>
          </w:p>
          <w:p w14:paraId="3A7744F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交费方式：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04E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D07EC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10.3</w:t>
            </w:r>
          </w:p>
        </w:tc>
        <w:tc>
          <w:tcPr>
            <w:tcW w:w="3098" w:type="dxa"/>
            <w:vAlign w:val="center"/>
          </w:tcPr>
          <w:p w14:paraId="65F873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需要补充的其他内容</w:t>
            </w:r>
          </w:p>
        </w:tc>
        <w:tc>
          <w:tcPr>
            <w:tcW w:w="5174" w:type="dxa"/>
          </w:tcPr>
          <w:p w14:paraId="0D34D414">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bl>
    <w:p w14:paraId="1543A5B8">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114C6F65">
      <w:pPr>
        <w:pStyle w:val="28"/>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rPr>
      </w:pPr>
    </w:p>
    <w:p w14:paraId="42592A71">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sz w:val="2"/>
          <w:szCs w:val="2"/>
        </w:rPr>
      </w:pPr>
    </w:p>
    <w:p w14:paraId="4D9EE029">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71" w:name="_Toc3206"/>
      <w:bookmarkStart w:id="72" w:name="_Toc15718"/>
      <w:bookmarkStart w:id="73" w:name="_Toc18162"/>
      <w:bookmarkStart w:id="74" w:name="_Toc12986"/>
      <w:bookmarkStart w:id="75" w:name="_Toc30407"/>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71"/>
      <w:bookmarkEnd w:id="72"/>
      <w:bookmarkEnd w:id="73"/>
      <w:bookmarkEnd w:id="74"/>
      <w:bookmarkEnd w:id="75"/>
    </w:p>
    <w:p w14:paraId="0094E2B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6" w:name="_Toc25586"/>
      <w:bookmarkStart w:id="77" w:name="_Toc2236"/>
      <w:bookmarkStart w:id="78" w:name="_Toc17204"/>
      <w:bookmarkStart w:id="79" w:name="_Toc4350"/>
      <w:bookmarkStart w:id="80" w:name="_Toc22571"/>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76"/>
      <w:bookmarkEnd w:id="77"/>
      <w:bookmarkEnd w:id="78"/>
      <w:bookmarkEnd w:id="79"/>
      <w:bookmarkEnd w:id="80"/>
    </w:p>
    <w:p w14:paraId="42549F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购方式。</w:t>
      </w:r>
    </w:p>
    <w:p w14:paraId="1109A27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rPr>
      </w:pPr>
      <w:r>
        <w:rPr>
          <w:rFonts w:hint="eastAsia" w:cs="宋体"/>
          <w:color w:val="0000FF"/>
          <w:spacing w:val="0"/>
          <w:w w:val="100"/>
          <w:position w:val="0"/>
          <w:sz w:val="24"/>
          <w:szCs w:val="24"/>
          <w:lang w:eastAsia="zh-CN"/>
        </w:rPr>
        <w:t>询比</w:t>
      </w:r>
      <w:r>
        <w:rPr>
          <w:rFonts w:hint="eastAsia" w:ascii="宋体" w:hAnsi="宋体" w:eastAsia="宋体" w:cs="宋体"/>
          <w:color w:val="0000FF"/>
          <w:spacing w:val="0"/>
          <w:w w:val="100"/>
          <w:position w:val="0"/>
          <w:sz w:val="24"/>
          <w:szCs w:val="24"/>
        </w:rPr>
        <w:t>采购是指采购人组建</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小组与响应采购的供应商</w:t>
      </w:r>
      <w:r>
        <w:rPr>
          <w:rFonts w:hint="eastAsia" w:cs="宋体"/>
          <w:color w:val="0000FF"/>
          <w:spacing w:val="0"/>
          <w:w w:val="100"/>
          <w:position w:val="0"/>
          <w:sz w:val="24"/>
          <w:szCs w:val="24"/>
          <w:lang w:eastAsia="zh-CN"/>
        </w:rPr>
        <w:t>按照采购文件规定的规则和时间一次递交的</w:t>
      </w:r>
      <w:r>
        <w:rPr>
          <w:rFonts w:hint="eastAsia" w:ascii="宋体" w:hAnsi="宋体" w:eastAsia="宋体" w:cs="宋体"/>
          <w:color w:val="0000FF"/>
          <w:spacing w:val="0"/>
          <w:w w:val="100"/>
          <w:position w:val="0"/>
          <w:sz w:val="24"/>
          <w:szCs w:val="24"/>
        </w:rPr>
        <w:t>响应文件进行评审</w:t>
      </w:r>
      <w:r>
        <w:rPr>
          <w:rFonts w:hint="eastAsia" w:cs="宋体"/>
          <w:color w:val="0000FF"/>
          <w:spacing w:val="0"/>
          <w:w w:val="100"/>
          <w:position w:val="0"/>
          <w:sz w:val="24"/>
          <w:szCs w:val="24"/>
          <w:lang w:eastAsia="zh-CN"/>
        </w:rPr>
        <w:t>，</w:t>
      </w:r>
      <w:r>
        <w:rPr>
          <w:rFonts w:hint="eastAsia" w:ascii="宋体" w:hAnsi="宋体" w:eastAsia="宋体" w:cs="宋体"/>
          <w:color w:val="0000FF"/>
          <w:spacing w:val="0"/>
          <w:w w:val="100"/>
          <w:position w:val="0"/>
          <w:sz w:val="24"/>
          <w:szCs w:val="24"/>
        </w:rPr>
        <w:t>采购人根据</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w:t>
      </w:r>
      <w:r>
        <w:rPr>
          <w:rFonts w:hint="eastAsia" w:cs="宋体"/>
          <w:color w:val="0000FF"/>
          <w:spacing w:val="0"/>
          <w:w w:val="100"/>
          <w:position w:val="0"/>
          <w:sz w:val="24"/>
          <w:szCs w:val="24"/>
          <w:lang w:eastAsia="zh-CN"/>
        </w:rPr>
        <w:t>的评审结果，</w:t>
      </w:r>
      <w:r>
        <w:rPr>
          <w:rFonts w:hint="eastAsia" w:ascii="宋体" w:hAnsi="宋体" w:eastAsia="宋体" w:cs="宋体"/>
          <w:color w:val="0000FF"/>
          <w:spacing w:val="0"/>
          <w:w w:val="100"/>
          <w:position w:val="0"/>
          <w:sz w:val="24"/>
          <w:szCs w:val="24"/>
        </w:rPr>
        <w:t>选择确定成交供应商的</w:t>
      </w:r>
      <w:r>
        <w:rPr>
          <w:rFonts w:hint="eastAsia" w:cs="宋体"/>
          <w:color w:val="0000FF"/>
          <w:spacing w:val="0"/>
          <w:w w:val="100"/>
          <w:position w:val="0"/>
          <w:sz w:val="24"/>
          <w:szCs w:val="24"/>
          <w:lang w:eastAsia="zh-CN"/>
        </w:rPr>
        <w:t>采</w:t>
      </w:r>
      <w:r>
        <w:rPr>
          <w:rFonts w:hint="eastAsia" w:ascii="宋体" w:hAnsi="宋体" w:eastAsia="宋体" w:cs="宋体"/>
          <w:color w:val="0000FF"/>
          <w:spacing w:val="0"/>
          <w:w w:val="100"/>
          <w:position w:val="0"/>
          <w:sz w:val="24"/>
          <w:szCs w:val="24"/>
        </w:rPr>
        <w:t>购方式。</w:t>
      </w:r>
    </w:p>
    <w:p w14:paraId="5B4AA29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1" w:name="_Toc26542"/>
      <w:bookmarkStart w:id="82" w:name="_Toc17158"/>
      <w:bookmarkStart w:id="83" w:name="_Toc2550"/>
      <w:bookmarkStart w:id="84" w:name="_Toc11082"/>
      <w:bookmarkStart w:id="85" w:name="_Toc13498"/>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81"/>
      <w:bookmarkEnd w:id="82"/>
      <w:bookmarkEnd w:id="83"/>
      <w:bookmarkEnd w:id="84"/>
      <w:bookmarkEnd w:id="85"/>
    </w:p>
    <w:p w14:paraId="1905545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FF"/>
          <w:spacing w:val="0"/>
          <w:w w:val="100"/>
          <w:position w:val="0"/>
          <w:sz w:val="24"/>
          <w:szCs w:val="24"/>
          <w:lang w:val="zh-CN" w:eastAsia="zh-CN" w:bidi="zh-CN"/>
        </w:rPr>
        <w:t>询比</w:t>
      </w:r>
      <w:r>
        <w:rPr>
          <w:rFonts w:hint="eastAsia" w:ascii="宋体" w:hAnsi="宋体" w:eastAsia="宋体" w:cs="宋体"/>
          <w:color w:val="0000FF"/>
          <w:spacing w:val="0"/>
          <w:w w:val="100"/>
          <w:position w:val="0"/>
          <w:sz w:val="24"/>
          <w:szCs w:val="24"/>
        </w:rPr>
        <w:t>采购公告</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w:t>
      </w:r>
    </w:p>
    <w:p w14:paraId="2175F85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6" w:name="_Toc1189"/>
      <w:bookmarkStart w:id="87" w:name="_Toc31522"/>
      <w:bookmarkStart w:id="88" w:name="_Toc6909"/>
      <w:bookmarkStart w:id="89" w:name="_Toc31288"/>
      <w:bookmarkStart w:id="90" w:name="_Toc8914"/>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86"/>
      <w:bookmarkEnd w:id="87"/>
      <w:bookmarkEnd w:id="88"/>
      <w:bookmarkEnd w:id="89"/>
      <w:bookmarkEnd w:id="90"/>
    </w:p>
    <w:p w14:paraId="403BB0D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购活动所发生的各种费用由供应商自行承担。</w:t>
      </w:r>
    </w:p>
    <w:p w14:paraId="7C27970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91" w:name="_Toc12990"/>
      <w:bookmarkStart w:id="92" w:name="_Toc25368"/>
      <w:bookmarkStart w:id="93" w:name="_Toc16426"/>
      <w:bookmarkStart w:id="94" w:name="_Toc2881"/>
      <w:bookmarkStart w:id="95" w:name="_Toc21894"/>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91"/>
      <w:bookmarkEnd w:id="92"/>
      <w:bookmarkEnd w:id="93"/>
      <w:bookmarkEnd w:id="94"/>
      <w:bookmarkEnd w:id="95"/>
    </w:p>
    <w:p w14:paraId="7C7930C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否则应承担相应的法律责任。</w:t>
      </w:r>
    </w:p>
    <w:p w14:paraId="468B783A">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96" w:name="_Toc547"/>
      <w:bookmarkStart w:id="97" w:name="_Toc22341"/>
      <w:bookmarkStart w:id="98" w:name="_Toc8236"/>
      <w:bookmarkStart w:id="99" w:name="_Toc12611"/>
      <w:bookmarkStart w:id="100" w:name="_Toc5802"/>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96"/>
      <w:bookmarkEnd w:id="97"/>
      <w:bookmarkEnd w:id="98"/>
      <w:bookmarkEnd w:id="99"/>
      <w:bookmarkEnd w:id="100"/>
    </w:p>
    <w:p w14:paraId="3A162D6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应附有中文注释。</w:t>
      </w:r>
    </w:p>
    <w:p w14:paraId="46EB502B">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1" w:name="_Toc20932"/>
      <w:bookmarkStart w:id="102" w:name="_Toc4916"/>
      <w:bookmarkStart w:id="103" w:name="_Toc23464"/>
      <w:bookmarkStart w:id="104" w:name="_Toc17058"/>
      <w:bookmarkStart w:id="105" w:name="_Toc3300"/>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101"/>
      <w:bookmarkEnd w:id="102"/>
      <w:bookmarkEnd w:id="103"/>
      <w:bookmarkEnd w:id="104"/>
      <w:bookmarkEnd w:id="105"/>
    </w:p>
    <w:p w14:paraId="1CA7104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14:paraId="0B03CFB5">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6" w:name="_Toc24194"/>
      <w:bookmarkStart w:id="107" w:name="_Toc29052"/>
      <w:bookmarkStart w:id="108" w:name="_Toc6197"/>
      <w:bookmarkStart w:id="109" w:name="_Toc22"/>
      <w:bookmarkStart w:id="110" w:name="_Toc29351"/>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106"/>
      <w:bookmarkEnd w:id="107"/>
      <w:bookmarkEnd w:id="108"/>
      <w:bookmarkEnd w:id="109"/>
      <w:bookmarkEnd w:id="110"/>
    </w:p>
    <w:p w14:paraId="20F30B9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采购人按供应商须知前附表规定的时间、地点组织供应商踏勘项目现场。部分供应商未按时参加踏勘现场的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不影响踏勘现场的正常进行。</w:t>
      </w:r>
    </w:p>
    <w:p w14:paraId="5B7F3D0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采购人对供应商参加踏勘现场中所发生的人员伤亡和财产损失不承担责任。</w:t>
      </w:r>
    </w:p>
    <w:p w14:paraId="054C4E9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购人在踏勘现场中介绍的工程场地和相关的周边环境情况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仅作为供应商编制响应文件的参考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采购人不对供应商据此作出的判断和决策负责。</w:t>
      </w:r>
    </w:p>
    <w:p w14:paraId="77C4004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11" w:name="_Toc15859"/>
      <w:bookmarkStart w:id="112" w:name="_Toc9974"/>
      <w:bookmarkStart w:id="113" w:name="_Toc6874"/>
      <w:bookmarkStart w:id="114" w:name="_Toc4951"/>
      <w:bookmarkStart w:id="115" w:name="_Toc27350"/>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11"/>
      <w:bookmarkEnd w:id="112"/>
      <w:bookmarkEnd w:id="113"/>
      <w:bookmarkEnd w:id="114"/>
      <w:bookmarkEnd w:id="115"/>
    </w:p>
    <w:p w14:paraId="11FED27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购预备会的</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14:paraId="7B2379E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6" w:name="_Toc9103"/>
      <w:bookmarkStart w:id="117" w:name="_Toc25811"/>
      <w:bookmarkStart w:id="118" w:name="_Toc25841"/>
      <w:bookmarkStart w:id="119" w:name="_Toc7189"/>
      <w:bookmarkStart w:id="120" w:name="_Toc15712"/>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16"/>
      <w:bookmarkEnd w:id="117"/>
      <w:bookmarkEnd w:id="118"/>
      <w:bookmarkEnd w:id="119"/>
      <w:bookmarkEnd w:id="120"/>
    </w:p>
    <w:p w14:paraId="34B098E3">
      <w:pPr>
        <w:pStyle w:val="20"/>
        <w:spacing w:line="360" w:lineRule="auto"/>
        <w:ind w:firstLine="480" w:firstLineChars="200"/>
        <w:rPr>
          <w:color w:val="0000FF"/>
          <w:sz w:val="24"/>
          <w:szCs w:val="24"/>
        </w:rPr>
      </w:pPr>
      <w:bookmarkStart w:id="121" w:name="_Toc21264"/>
      <w:bookmarkStart w:id="122" w:name="_Toc22937"/>
      <w:bookmarkStart w:id="123" w:name="_Toc12928"/>
      <w:bookmarkStart w:id="124" w:name="_Toc27363"/>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75E61241">
      <w:pPr>
        <w:pStyle w:val="20"/>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3A7E8BC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rPr>
      </w:pPr>
      <w:bookmarkStart w:id="125" w:name="_Toc4450"/>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21"/>
      <w:bookmarkEnd w:id="122"/>
      <w:bookmarkEnd w:id="123"/>
      <w:bookmarkEnd w:id="124"/>
      <w:bookmarkEnd w:id="125"/>
    </w:p>
    <w:p w14:paraId="74015F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采购需求和合同草案中的关键条款均以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b/>
          <w:bCs/>
          <w:color w:val="0000FF"/>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符号标记。响应文件应当对采购需求和合同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中的关键条款作</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满</w:t>
      </w:r>
      <w:r>
        <w:rPr>
          <w:rFonts w:hint="eastAsia" w:cs="宋体"/>
          <w:color w:val="000000"/>
          <w:spacing w:val="0"/>
          <w:w w:val="100"/>
          <w:position w:val="0"/>
          <w:sz w:val="24"/>
          <w:szCs w:val="24"/>
          <w:lang w:val="en-US" w:eastAsia="zh-CN"/>
        </w:rPr>
        <w:t>足</w:t>
      </w:r>
      <w:r>
        <w:rPr>
          <w:rFonts w:hint="eastAsia" w:ascii="宋体" w:hAnsi="宋体" w:eastAsia="宋体" w:cs="宋体"/>
          <w:color w:val="000000"/>
          <w:spacing w:val="0"/>
          <w:w w:val="100"/>
          <w:position w:val="0"/>
          <w:sz w:val="24"/>
          <w:szCs w:val="24"/>
        </w:rPr>
        <w:t>性或更有利于采购人的响应</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供应商的响应文件将被视为无效。</w:t>
      </w:r>
    </w:p>
    <w:p w14:paraId="3F12CB2C">
      <w:pPr>
        <w:pStyle w:val="20"/>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w:t>
      </w:r>
      <w:r>
        <w:rPr>
          <w:rFonts w:hint="eastAsia" w:cs="宋体"/>
          <w:color w:val="0000FF"/>
          <w:spacing w:val="0"/>
          <w:w w:val="100"/>
          <w:position w:val="0"/>
          <w:sz w:val="24"/>
          <w:szCs w:val="24"/>
          <w:lang w:eastAsia="zh-CN"/>
        </w:rPr>
        <w:t>，</w:t>
      </w:r>
      <w:r>
        <w:rPr>
          <w:rFonts w:hint="eastAsia" w:ascii="宋体" w:hAnsi="宋体" w:eastAsia="宋体" w:cs="宋体"/>
          <w:color w:val="000000"/>
          <w:spacing w:val="0"/>
          <w:w w:val="100"/>
          <w:position w:val="0"/>
          <w:sz w:val="24"/>
          <w:szCs w:val="24"/>
        </w:rPr>
        <w:t>如响应文件存在的偏差超出上述范围或项数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将被视为无效。</w:t>
      </w:r>
    </w:p>
    <w:p w14:paraId="421278C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6" w:name="_Toc26032"/>
      <w:bookmarkStart w:id="127" w:name="_Toc2696"/>
      <w:bookmarkStart w:id="128" w:name="_Toc30847"/>
      <w:bookmarkStart w:id="129" w:name="_Toc31692"/>
      <w:bookmarkStart w:id="130" w:name="_Toc32332"/>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6"/>
      <w:bookmarkEnd w:id="127"/>
      <w:bookmarkEnd w:id="128"/>
      <w:bookmarkEnd w:id="129"/>
      <w:bookmarkEnd w:id="130"/>
    </w:p>
    <w:p w14:paraId="2CFCCEC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1" w:name="_Toc28504"/>
      <w:bookmarkStart w:id="132" w:name="_Toc2571"/>
      <w:bookmarkStart w:id="133" w:name="_Toc32168"/>
      <w:bookmarkStart w:id="134" w:name="_Toc24769"/>
      <w:bookmarkStart w:id="135" w:name="_Toc1403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31"/>
      <w:bookmarkEnd w:id="132"/>
      <w:bookmarkEnd w:id="133"/>
      <w:bookmarkEnd w:id="134"/>
      <w:bookmarkEnd w:id="135"/>
    </w:p>
    <w:p w14:paraId="6870086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14:paraId="633173CD">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）询比</w:t>
      </w:r>
      <w:r>
        <w:rPr>
          <w:rFonts w:hint="eastAsia" w:cs="宋体"/>
          <w:color w:val="000000"/>
          <w:spacing w:val="0"/>
          <w:w w:val="100"/>
          <w:position w:val="0"/>
          <w:sz w:val="24"/>
          <w:szCs w:val="24"/>
          <w:lang w:val="en-US" w:eastAsia="zh-CN"/>
        </w:rPr>
        <w:t>采</w:t>
      </w:r>
      <w:r>
        <w:rPr>
          <w:rFonts w:hint="eastAsia" w:ascii="宋体" w:hAnsi="宋体" w:eastAsia="宋体" w:cs="宋体"/>
          <w:color w:val="000000"/>
          <w:spacing w:val="0"/>
          <w:w w:val="100"/>
          <w:position w:val="0"/>
          <w:sz w:val="24"/>
          <w:szCs w:val="24"/>
        </w:rPr>
        <w:t>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14:paraId="494A3C4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w:t>
      </w:r>
    </w:p>
    <w:p w14:paraId="622C635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评审办法；</w:t>
      </w:r>
    </w:p>
    <w:p w14:paraId="53A30B9F">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14:paraId="00AC274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采购需求；</w:t>
      </w:r>
    </w:p>
    <w:p w14:paraId="542A29FB">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响应文件格式；</w:t>
      </w:r>
    </w:p>
    <w:p w14:paraId="23926CD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2D49413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对采购文件所作的澄清、修改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构成采购文件的组成部分。</w:t>
      </w:r>
    </w:p>
    <w:p w14:paraId="0412678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6" w:name="_Toc5023"/>
      <w:bookmarkStart w:id="137" w:name="_Toc17198"/>
      <w:bookmarkStart w:id="138" w:name="_Toc6010"/>
      <w:bookmarkStart w:id="139" w:name="_Toc4961"/>
      <w:bookmarkStart w:id="140" w:name="_Toc27043"/>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36"/>
      <w:bookmarkEnd w:id="137"/>
      <w:bookmarkEnd w:id="138"/>
      <w:bookmarkEnd w:id="139"/>
      <w:bookmarkEnd w:id="140"/>
    </w:p>
    <w:p w14:paraId="51C8CDA4">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应及时向采购人提出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以便补齐。如有疑问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应在供应商须知前附表规定的时间前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以书面形式要求采购人对采购文件予以澄清。</w:t>
      </w:r>
    </w:p>
    <w:p w14:paraId="65109F10">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采购人可根据供应商的要求或主动对采购文件进行澄清或修改。澄清或修改的内容以补充文件的形式</w:t>
      </w:r>
      <w:r>
        <w:rPr>
          <w:rFonts w:hint="eastAsia" w:cs="宋体"/>
          <w:color w:val="auto"/>
          <w:spacing w:val="0"/>
          <w:w w:val="100"/>
          <w:position w:val="0"/>
          <w:sz w:val="24"/>
          <w:szCs w:val="24"/>
          <w:lang w:val="en-US" w:eastAsia="zh-CN"/>
        </w:rPr>
        <w:t>在发布询比</w:t>
      </w:r>
      <w:r>
        <w:rPr>
          <w:rFonts w:hint="eastAsia" w:ascii="宋体" w:hAnsi="宋体" w:eastAsia="宋体" w:cs="宋体"/>
          <w:color w:val="auto"/>
          <w:spacing w:val="0"/>
          <w:w w:val="100"/>
          <w:position w:val="0"/>
          <w:sz w:val="24"/>
          <w:szCs w:val="24"/>
        </w:rPr>
        <w:t>采购公告</w:t>
      </w:r>
      <w:r>
        <w:rPr>
          <w:rFonts w:hint="eastAsia" w:cs="宋体"/>
          <w:color w:val="auto"/>
          <w:spacing w:val="0"/>
          <w:w w:val="100"/>
          <w:position w:val="0"/>
          <w:sz w:val="24"/>
          <w:szCs w:val="24"/>
          <w:lang w:val="en-US" w:eastAsia="zh-CN"/>
        </w:rPr>
        <w:t>相同的媒介上发布，一经发布便视为</w:t>
      </w:r>
      <w:r>
        <w:rPr>
          <w:rFonts w:hint="eastAsia" w:ascii="宋体" w:hAnsi="宋体" w:eastAsia="宋体" w:cs="宋体"/>
          <w:color w:val="auto"/>
          <w:spacing w:val="0"/>
          <w:w w:val="100"/>
          <w:position w:val="0"/>
          <w:sz w:val="24"/>
          <w:szCs w:val="24"/>
        </w:rPr>
        <w:t>供应商</w:t>
      </w:r>
      <w:r>
        <w:rPr>
          <w:rFonts w:hint="eastAsia" w:cs="宋体"/>
          <w:color w:val="auto"/>
          <w:spacing w:val="0"/>
          <w:w w:val="100"/>
          <w:position w:val="0"/>
          <w:sz w:val="24"/>
          <w:szCs w:val="24"/>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rPr>
        <w:t>。采购人可视具体情况在补充文件中通知供应商推迟递交响应文件的截止时间。</w:t>
      </w:r>
    </w:p>
    <w:p w14:paraId="139FA2D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3 </w:t>
      </w:r>
      <w:r>
        <w:rPr>
          <w:rFonts w:hint="eastAsia" w:ascii="宋体" w:hAnsi="宋体" w:eastAsia="宋体" w:cs="宋体"/>
          <w:color w:val="auto"/>
          <w:spacing w:val="0"/>
          <w:w w:val="100"/>
          <w:position w:val="0"/>
          <w:sz w:val="24"/>
          <w:szCs w:val="24"/>
        </w:rPr>
        <w:t>除非确有必要</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购人有权拒绝回复供应商在本章第</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1项规定的时间后提出</w:t>
      </w:r>
      <w:r>
        <w:rPr>
          <w:rFonts w:hint="eastAsia" w:ascii="宋体" w:hAnsi="宋体" w:eastAsia="宋体" w:cs="宋体"/>
          <w:color w:val="000000"/>
          <w:spacing w:val="0"/>
          <w:w w:val="100"/>
          <w:position w:val="0"/>
          <w:sz w:val="24"/>
          <w:szCs w:val="24"/>
        </w:rPr>
        <w:t>的任何澄清要求。</w:t>
      </w:r>
    </w:p>
    <w:p w14:paraId="18F2206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41" w:name="_Toc16900"/>
      <w:bookmarkStart w:id="142" w:name="_Toc1062"/>
      <w:bookmarkStart w:id="143" w:name="_Toc7544"/>
      <w:bookmarkStart w:id="144" w:name="_Toc7098"/>
      <w:bookmarkStart w:id="145" w:name="_Toc964"/>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41"/>
      <w:bookmarkEnd w:id="142"/>
      <w:bookmarkEnd w:id="143"/>
      <w:bookmarkEnd w:id="144"/>
      <w:bookmarkEnd w:id="145"/>
    </w:p>
    <w:p w14:paraId="44009B7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6" w:name="_Toc2516"/>
      <w:bookmarkStart w:id="147" w:name="_Toc1044"/>
      <w:bookmarkStart w:id="148" w:name="_Toc18800"/>
      <w:bookmarkStart w:id="149" w:name="_Toc19880"/>
      <w:bookmarkStart w:id="150" w:name="_Toc25228"/>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46"/>
      <w:bookmarkEnd w:id="147"/>
      <w:bookmarkEnd w:id="148"/>
      <w:bookmarkEnd w:id="149"/>
      <w:bookmarkEnd w:id="150"/>
    </w:p>
    <w:p w14:paraId="480E6EC3">
      <w:pPr>
        <w:pStyle w:val="20"/>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14:paraId="0D4867B3">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p>
    <w:p w14:paraId="14A163A5">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p>
    <w:p w14:paraId="0BFD788F">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p>
    <w:p w14:paraId="7D89A69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p>
    <w:p w14:paraId="1EB3324A">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p>
    <w:p w14:paraId="6B6D6958">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p>
    <w:p w14:paraId="7318691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p>
    <w:p w14:paraId="1FBE2D86">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p>
    <w:p w14:paraId="173994FA">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6004E18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购文件要求的澄清、说明和补正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构成响应文件的组成部分。</w:t>
      </w:r>
    </w:p>
    <w:p w14:paraId="476D7071">
      <w:pPr>
        <w:pStyle w:val="20"/>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或供应商没有组成联合体的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目所指的联合体协议书。供应商须知前附表未要求供应商递交响应保证金的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目所指的响应保证金。</w:t>
      </w:r>
    </w:p>
    <w:p w14:paraId="5785256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1" w:name="_Toc5938"/>
      <w:bookmarkStart w:id="152" w:name="_Toc14681"/>
      <w:bookmarkStart w:id="153" w:name="_Toc28231"/>
      <w:bookmarkStart w:id="154" w:name="_Toc10881"/>
      <w:bookmarkStart w:id="155" w:name="_Toc27876"/>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51"/>
      <w:bookmarkEnd w:id="152"/>
      <w:bookmarkEnd w:id="153"/>
      <w:bookmarkEnd w:id="154"/>
      <w:bookmarkEnd w:id="155"/>
    </w:p>
    <w:p w14:paraId="073E8E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3.2.1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供应商应按</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购文件提供的格式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见第六章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在响应函和报价表中进行报价</w:t>
      </w:r>
      <w:r>
        <w:rPr>
          <w:rFonts w:hint="eastAsia" w:cs="宋体"/>
          <w:color w:val="auto"/>
          <w:spacing w:val="0"/>
          <w:w w:val="100"/>
          <w:position w:val="0"/>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rPr>
        <w:t>。响应函中报价应为包含国家规定的增值税在内的含税价格</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同时应列明不含税价格</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税率</w:t>
      </w:r>
      <w:r>
        <w:rPr>
          <w:rFonts w:hint="eastAsia" w:ascii="宋体" w:hAnsi="宋体" w:eastAsia="宋体" w:cs="宋体"/>
          <w:color w:val="auto"/>
          <w:spacing w:val="0"/>
          <w:w w:val="100"/>
          <w:position w:val="0"/>
          <w:sz w:val="24"/>
          <w:szCs w:val="24"/>
        </w:rPr>
        <w:t>和增值税税额。采购人将根据项目情况</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在第三章</w:t>
      </w:r>
      <w:r>
        <w:rPr>
          <w:rFonts w:hint="eastAsia" w:ascii="宋体" w:hAnsi="宋体" w:eastAsia="宋体" w:cs="宋体"/>
          <w:color w:val="auto"/>
          <w:spacing w:val="0"/>
          <w:w w:val="100"/>
          <w:position w:val="0"/>
          <w:sz w:val="24"/>
          <w:szCs w:val="24"/>
          <w:lang w:val="zh-CN" w:eastAsia="zh-CN" w:bidi="zh-CN"/>
        </w:rPr>
        <w:t>“评审</w:t>
      </w:r>
      <w:r>
        <w:rPr>
          <w:rFonts w:hint="eastAsia" w:ascii="宋体" w:hAnsi="宋体" w:eastAsia="宋体" w:cs="宋体"/>
          <w:color w:val="auto"/>
          <w:spacing w:val="0"/>
          <w:w w:val="100"/>
          <w:position w:val="0"/>
          <w:sz w:val="24"/>
          <w:szCs w:val="24"/>
        </w:rPr>
        <w:t>办法”第</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rPr>
        <w:t>项中选择按照含税价格或不含税价格对供应商进行价格评审。</w:t>
      </w:r>
    </w:p>
    <w:p w14:paraId="0ECEEFC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购项目的总体情况以及影响报价的其他要素。采购人在签署采购合同时及合同履行过程中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有权对采购标的的数量进行增加或减少。</w:t>
      </w:r>
    </w:p>
    <w:p w14:paraId="46216B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购人设有最高限价的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含税）</w:t>
      </w:r>
      <w:r>
        <w:rPr>
          <w:rFonts w:hint="eastAsia" w:ascii="宋体" w:hAnsi="宋体" w:eastAsia="宋体" w:cs="宋体"/>
          <w:color w:val="000000"/>
          <w:spacing w:val="0"/>
          <w:w w:val="100"/>
          <w:position w:val="0"/>
          <w:sz w:val="24"/>
          <w:szCs w:val="24"/>
        </w:rPr>
        <w:t>不得超过最高限价。最高限价或最高限价计算方法在供应商须知前附表中载明。</w:t>
      </w:r>
    </w:p>
    <w:p w14:paraId="776D5CB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14:paraId="59F2E9E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6" w:name="_Toc13523"/>
      <w:bookmarkStart w:id="157" w:name="_Toc19794"/>
      <w:bookmarkStart w:id="158" w:name="_Toc15776"/>
      <w:bookmarkStart w:id="159" w:name="_Toc229"/>
      <w:bookmarkStart w:id="160" w:name="_Toc5815"/>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56"/>
      <w:bookmarkEnd w:id="157"/>
      <w:bookmarkEnd w:id="158"/>
      <w:bookmarkEnd w:id="159"/>
      <w:bookmarkEnd w:id="160"/>
    </w:p>
    <w:p w14:paraId="1BA93DE2">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响应文件有效期应为90日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从采购文件规定的递交响应文件的截止时间开始计算。</w:t>
      </w:r>
    </w:p>
    <w:p w14:paraId="7EB8151D">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采购人以书面形式通知所有供应商延长响应文件有效期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供应商应予以书面答复。同意延长的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应相应延长其响应保证金的有效期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但不得修改其响应文件；供应商拒绝延长的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其响应文件在原有效期届满后失效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但供应商有权收回其响应保证金。</w:t>
      </w:r>
    </w:p>
    <w:p w14:paraId="241C44E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61" w:name="_Toc29692"/>
      <w:bookmarkStart w:id="162" w:name="_Toc16692"/>
      <w:bookmarkStart w:id="163" w:name="_Toc12030"/>
      <w:bookmarkStart w:id="164" w:name="_Toc32120"/>
      <w:bookmarkStart w:id="165" w:name="_Toc26594"/>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61"/>
      <w:bookmarkEnd w:id="162"/>
      <w:bookmarkEnd w:id="163"/>
      <w:bookmarkEnd w:id="164"/>
      <w:bookmarkEnd w:id="165"/>
    </w:p>
    <w:p w14:paraId="0336EE5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供应商在递交响应文件的同时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并作为其响应文件的组成部分。供应商不按要求递交响应保证金的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FCFAF5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采购人将在发出成交通知书后5日内向除候选成交供应商外的其他供应商原额退还响应保证金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并在采购合同签订后5日内向成交供应商和未成交的其他候选成交供应商原额退还响应保证金。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用银行保函、担保机构担保函、保险机构保险单形式递交的响应保证金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经供应商同意后采购人可以不再退还。</w:t>
      </w:r>
    </w:p>
    <w:p w14:paraId="4E16175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响应保证金将不予退还：</w:t>
      </w:r>
    </w:p>
    <w:p w14:paraId="02989BD4">
      <w:pPr>
        <w:pStyle w:val="20"/>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供应商在响应文件有效期内撤销响应文件；</w:t>
      </w:r>
    </w:p>
    <w:p w14:paraId="36B4DDA9">
      <w:pPr>
        <w:pStyle w:val="20"/>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w:t>
      </w:r>
    </w:p>
    <w:p w14:paraId="58025CFE">
      <w:pPr>
        <w:pStyle w:val="20"/>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发生供应商须知前附表规定的其他不予退还响应保证金的情形。</w:t>
      </w:r>
    </w:p>
    <w:p w14:paraId="6F6E1BB3">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66" w:name="_Toc10476"/>
      <w:bookmarkStart w:id="167" w:name="_Toc31437"/>
      <w:bookmarkStart w:id="168" w:name="_Toc20267"/>
      <w:bookmarkStart w:id="169" w:name="_Toc14482"/>
      <w:bookmarkStart w:id="170" w:name="_Toc28443"/>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66"/>
      <w:bookmarkEnd w:id="167"/>
      <w:bookmarkEnd w:id="168"/>
      <w:bookmarkEnd w:id="169"/>
      <w:bookmarkEnd w:id="170"/>
    </w:p>
    <w:p w14:paraId="3598078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中规定的资格审查资料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14:paraId="6862D43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1" w:name="_Toc3578"/>
      <w:bookmarkStart w:id="172" w:name="_Toc8759"/>
      <w:bookmarkStart w:id="173" w:name="_Toc6941"/>
      <w:bookmarkStart w:id="174" w:name="_Toc15711"/>
      <w:bookmarkStart w:id="175" w:name="_Toc20237"/>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171"/>
      <w:bookmarkEnd w:id="172"/>
      <w:bookmarkEnd w:id="173"/>
      <w:bookmarkEnd w:id="174"/>
      <w:bookmarkEnd w:id="175"/>
    </w:p>
    <w:p w14:paraId="134D6C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响应文件应当对采购文件中的实质性内容作出响应。采购需求中明确为关键条款(标记</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供应商还应按照供应商须知前附表的规定提供有关证据或证明材料。</w:t>
      </w:r>
    </w:p>
    <w:p w14:paraId="7593D7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14:paraId="6F9F78E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均应在响应文件的商务和技术偏差表中列明。响应文件偏差表中未列明的内容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购文件的要求；但如发现响应文件的其他部分与商务和技术偏差表的描述不一致或供应商的响应缺乏支持性文件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并根据澄清结果对供应商的响应文件进行评审。</w:t>
      </w:r>
    </w:p>
    <w:p w14:paraId="304A7CB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6" w:name="_Toc12965"/>
      <w:bookmarkStart w:id="177" w:name="_Toc16410"/>
      <w:bookmarkStart w:id="178" w:name="_Toc26068"/>
      <w:bookmarkStart w:id="179" w:name="_Toc17388"/>
      <w:bookmarkStart w:id="180" w:name="_Toc16104"/>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176"/>
      <w:bookmarkEnd w:id="177"/>
      <w:bookmarkEnd w:id="178"/>
      <w:bookmarkEnd w:id="179"/>
      <w:bookmarkEnd w:id="180"/>
    </w:p>
    <w:p w14:paraId="0385D3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响应文件应按第六章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应文件格式”进行编写</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w:t>
      </w:r>
      <w:r>
        <w:rPr>
          <w:rFonts w:hint="eastAsia" w:ascii="宋体" w:hAnsi="宋体" w:eastAsia="宋体" w:cs="宋体"/>
          <w:color w:val="auto"/>
          <w:spacing w:val="0"/>
          <w:w w:val="100"/>
          <w:position w:val="0"/>
          <w:sz w:val="24"/>
          <w:szCs w:val="24"/>
        </w:rPr>
        <w:t>（单位负责人）</w:t>
      </w:r>
      <w:r>
        <w:rPr>
          <w:rFonts w:hint="eastAsia"/>
          <w:color w:val="auto"/>
          <w:sz w:val="24"/>
          <w:szCs w:val="24"/>
        </w:rPr>
        <w:t>或</w:t>
      </w:r>
      <w:r>
        <w:rPr>
          <w:rFonts w:hint="eastAsia" w:ascii="宋体" w:hAnsi="宋体" w:eastAsia="宋体" w:cs="宋体"/>
          <w:color w:val="auto"/>
          <w:spacing w:val="0"/>
          <w:w w:val="100"/>
          <w:position w:val="0"/>
          <w:sz w:val="24"/>
          <w:szCs w:val="24"/>
        </w:rPr>
        <w:t>其授权的</w:t>
      </w:r>
      <w:r>
        <w:rPr>
          <w:rFonts w:hint="eastAsia"/>
          <w:color w:val="auto"/>
          <w:sz w:val="24"/>
          <w:szCs w:val="24"/>
        </w:rPr>
        <w:t>代理人逐一签字</w:t>
      </w:r>
      <w:r>
        <w:rPr>
          <w:rFonts w:hint="eastAsia"/>
          <w:color w:val="auto"/>
          <w:sz w:val="24"/>
          <w:szCs w:val="24"/>
          <w:lang w:eastAsia="zh-CN"/>
        </w:rPr>
        <w:t>、</w:t>
      </w:r>
      <w:r>
        <w:rPr>
          <w:rFonts w:hint="eastAsia"/>
          <w:color w:val="auto"/>
          <w:sz w:val="24"/>
          <w:szCs w:val="24"/>
        </w:rPr>
        <w:t>加盖单位公章。</w:t>
      </w:r>
      <w:r>
        <w:rPr>
          <w:rFonts w:hint="eastAsia" w:ascii="宋体" w:hAnsi="宋体" w:eastAsia="宋体" w:cs="宋体"/>
          <w:color w:val="auto"/>
          <w:spacing w:val="0"/>
          <w:w w:val="100"/>
          <w:position w:val="0"/>
          <w:sz w:val="24"/>
          <w:szCs w:val="24"/>
        </w:rPr>
        <w:t>如有必要</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可以增加附页,作为响应文件的组成部分。</w:t>
      </w:r>
    </w:p>
    <w:p w14:paraId="08A8B9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响应文件应用不褪色的材料书写或打印。</w:t>
      </w:r>
    </w:p>
    <w:p w14:paraId="58B8318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响应函应由供应商的法定代表人（单位负责人）或其授权的代理人签字并加盖单位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4524CE8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联合体协议书（如有）应由联合体各方的法定代表人（单位负责人）或其授权的代理人签字并加盖单位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C5CCA5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响应函或联合体协议书（如有）由代理人签字的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应在响应文件中附授权委托书,授权委托书应由供应商或联合体各方的法定代表人（单位负责人）签字并加盖单位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6DAB91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738BFB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改动之处应由供应商的法定代表人（单位负责人）或其授权的代理人签字或加盖单位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9A8C6B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或电子版文件和纸质正本文件不一致时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以纸质正本文件为准。</w:t>
      </w:r>
    </w:p>
    <w:p w14:paraId="1B7259A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w:t>
      </w:r>
      <w:r>
        <w:rPr>
          <w:rFonts w:hint="eastAsia" w:cs="宋体"/>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并编制目录</w:t>
      </w:r>
      <w:r>
        <w:rPr>
          <w:rFonts w:hint="eastAsia" w:ascii="宋体" w:hAnsi="宋体" w:eastAsia="宋体" w:cs="宋体"/>
          <w:color w:val="000000"/>
          <w:spacing w:val="0"/>
          <w:w w:val="100"/>
          <w:position w:val="0"/>
          <w:sz w:val="24"/>
          <w:szCs w:val="24"/>
        </w:rPr>
        <w:t>。响应文件需分册装订的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具体分册装订要求见供应商须知前附表规定。</w:t>
      </w:r>
    </w:p>
    <w:p w14:paraId="2844A5BB">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81" w:name="_Toc12409"/>
      <w:bookmarkStart w:id="182" w:name="_Toc14448"/>
      <w:bookmarkStart w:id="183" w:name="_Toc25905"/>
      <w:bookmarkStart w:id="184" w:name="_Toc7232"/>
      <w:bookmarkStart w:id="185" w:name="_Toc4280"/>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181"/>
      <w:bookmarkEnd w:id="182"/>
      <w:bookmarkEnd w:id="183"/>
      <w:bookmarkEnd w:id="184"/>
      <w:bookmarkEnd w:id="185"/>
    </w:p>
    <w:p w14:paraId="0C92B83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6" w:name="_Toc10622"/>
      <w:bookmarkStart w:id="187" w:name="_Toc28219"/>
      <w:bookmarkStart w:id="188" w:name="_Toc20261"/>
      <w:bookmarkStart w:id="189" w:name="_Toc8730"/>
      <w:bookmarkStart w:id="190" w:name="_Toc15979"/>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186"/>
      <w:bookmarkEnd w:id="187"/>
      <w:bookmarkEnd w:id="188"/>
      <w:bookmarkEnd w:id="189"/>
      <w:bookmarkEnd w:id="190"/>
    </w:p>
    <w:p w14:paraId="5EFD26C1">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w:t>
      </w:r>
      <w:r>
        <w:rPr>
          <w:rFonts w:hint="eastAsia" w:cs="宋体"/>
          <w:color w:val="000000"/>
          <w:spacing w:val="0"/>
          <w:w w:val="100"/>
          <w:position w:val="0"/>
          <w:sz w:val="24"/>
          <w:szCs w:val="24"/>
          <w:lang w:val="en-US" w:eastAsia="zh-CN"/>
        </w:rPr>
        <w:t>不予受理。</w:t>
      </w:r>
    </w:p>
    <w:p w14:paraId="60A046C6">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14:paraId="6329B33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1" w:name="_Toc22671"/>
      <w:bookmarkStart w:id="192" w:name="_Toc20384"/>
      <w:bookmarkStart w:id="193" w:name="_Toc21412"/>
      <w:bookmarkStart w:id="194" w:name="_Toc22362"/>
      <w:bookmarkStart w:id="195" w:name="_Toc19191"/>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191"/>
      <w:bookmarkEnd w:id="192"/>
      <w:bookmarkEnd w:id="193"/>
      <w:bookmarkEnd w:id="194"/>
      <w:bookmarkEnd w:id="195"/>
    </w:p>
    <w:p w14:paraId="65573C84">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将响应文件递交到供应商须知前附表规定的地点。逾期送达的或者未送达指定地点的响应文件,采购人将</w:t>
      </w:r>
      <w:r>
        <w:rPr>
          <w:rFonts w:hint="eastAsia" w:cs="宋体"/>
          <w:color w:val="000000"/>
          <w:spacing w:val="0"/>
          <w:w w:val="100"/>
          <w:position w:val="0"/>
          <w:sz w:val="24"/>
          <w:szCs w:val="24"/>
          <w:lang w:val="en-US" w:eastAsia="zh-CN"/>
        </w:rPr>
        <w:t>不予受理</w:t>
      </w:r>
      <w:r>
        <w:rPr>
          <w:rFonts w:hint="eastAsia" w:ascii="宋体" w:hAnsi="宋体" w:eastAsia="宋体" w:cs="宋体"/>
          <w:color w:val="000000"/>
          <w:spacing w:val="0"/>
          <w:w w:val="100"/>
          <w:position w:val="0"/>
          <w:sz w:val="24"/>
          <w:szCs w:val="24"/>
        </w:rPr>
        <w:t>。</w:t>
      </w:r>
    </w:p>
    <w:p w14:paraId="4819AC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供应商所递交的响应文件不予退还。</w:t>
      </w:r>
    </w:p>
    <w:p w14:paraId="2D32D7C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6" w:name="_Toc17807"/>
      <w:bookmarkStart w:id="197" w:name="_Toc7808"/>
      <w:bookmarkStart w:id="198" w:name="_Toc16916"/>
      <w:bookmarkStart w:id="199" w:name="_Toc27921"/>
      <w:bookmarkStart w:id="200" w:name="_Toc23165"/>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196"/>
      <w:bookmarkEnd w:id="197"/>
      <w:bookmarkEnd w:id="198"/>
      <w:bookmarkEnd w:id="199"/>
      <w:bookmarkEnd w:id="200"/>
    </w:p>
    <w:p w14:paraId="6CA46D5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供应商可以修改或撤回已递交的响应文件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但应以书面形式通知采购人。</w:t>
      </w:r>
    </w:p>
    <w:p w14:paraId="1229EAE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响应文件的修改或撤回的书面通知应由供应商的法定代表人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购人收到供应商撤回响应文件的书面通知后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退回供应商的响应文件。</w:t>
      </w:r>
    </w:p>
    <w:p w14:paraId="0C19EEE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供应商撤回响应文件的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采购人应在5日内退还已收取的响应保证金。</w:t>
      </w:r>
    </w:p>
    <w:p w14:paraId="1A82A36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w:t>
      </w:r>
      <w:r>
        <w:rPr>
          <w:rFonts w:hint="eastAsia" w:cs="宋体"/>
          <w:color w:val="000000"/>
          <w:spacing w:val="0"/>
          <w:w w:val="100"/>
          <w:position w:val="0"/>
          <w:sz w:val="24"/>
          <w:szCs w:val="24"/>
          <w:lang w:val="en-US" w:eastAsia="zh-CN"/>
        </w:rPr>
        <w:t>撤回进行</w:t>
      </w:r>
      <w:r>
        <w:rPr>
          <w:rFonts w:hint="eastAsia" w:ascii="宋体" w:hAnsi="宋体" w:eastAsia="宋体" w:cs="宋体"/>
          <w:color w:val="000000"/>
          <w:spacing w:val="0"/>
          <w:w w:val="100"/>
          <w:position w:val="0"/>
          <w:sz w:val="24"/>
          <w:szCs w:val="24"/>
        </w:rPr>
        <w:t>修改</w:t>
      </w:r>
      <w:r>
        <w:rPr>
          <w:rFonts w:hint="eastAsia" w:cs="宋体"/>
          <w:color w:val="000000"/>
          <w:spacing w:val="0"/>
          <w:w w:val="100"/>
          <w:position w:val="0"/>
          <w:sz w:val="24"/>
          <w:szCs w:val="24"/>
          <w:lang w:val="en-US" w:eastAsia="zh-CN"/>
        </w:rPr>
        <w:t>并重新提交响应</w:t>
      </w:r>
      <w:r>
        <w:rPr>
          <w:rFonts w:hint="eastAsia" w:ascii="宋体" w:hAnsi="宋体" w:eastAsia="宋体" w:cs="宋体"/>
          <w:color w:val="000000"/>
          <w:spacing w:val="0"/>
          <w:w w:val="100"/>
          <w:position w:val="0"/>
          <w:sz w:val="24"/>
          <w:szCs w:val="24"/>
        </w:rPr>
        <w:t>文件</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应按照本章第3条、第4条的规定进行编制、包装、标记和递交</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仅补充修改的，应</w:t>
      </w:r>
      <w:r>
        <w:rPr>
          <w:rFonts w:hint="eastAsia" w:ascii="宋体" w:hAnsi="宋体" w:eastAsia="宋体" w:cs="宋体"/>
          <w:color w:val="000000"/>
          <w:spacing w:val="0"/>
          <w:w w:val="100"/>
          <w:position w:val="0"/>
          <w:sz w:val="24"/>
          <w:szCs w:val="24"/>
        </w:rPr>
        <w:t>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14:paraId="435D980C">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01" w:name="_Toc17513"/>
      <w:bookmarkStart w:id="202" w:name="_Toc1349"/>
      <w:bookmarkStart w:id="203" w:name="_Toc28184"/>
      <w:bookmarkStart w:id="204" w:name="_Toc24791"/>
      <w:bookmarkStart w:id="205" w:name="_Toc5678"/>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01"/>
      <w:bookmarkEnd w:id="202"/>
      <w:bookmarkEnd w:id="203"/>
      <w:bookmarkEnd w:id="204"/>
      <w:bookmarkEnd w:id="205"/>
    </w:p>
    <w:p w14:paraId="2065BF6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6" w:name="_Toc2928"/>
      <w:bookmarkStart w:id="207" w:name="_Toc9939"/>
      <w:bookmarkStart w:id="208" w:name="_Toc32384"/>
      <w:bookmarkStart w:id="209" w:name="_Toc20622"/>
      <w:bookmarkStart w:id="210" w:name="_Toc6503"/>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06"/>
      <w:bookmarkEnd w:id="207"/>
      <w:bookmarkEnd w:id="208"/>
      <w:bookmarkEnd w:id="209"/>
      <w:bookmarkEnd w:id="210"/>
    </w:p>
    <w:p w14:paraId="5BC8354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采购文件规定</w:t>
      </w:r>
      <w:r>
        <w:rPr>
          <w:rFonts w:hint="eastAsia" w:cs="宋体"/>
          <w:color w:val="000000"/>
          <w:spacing w:val="0"/>
          <w:w w:val="100"/>
          <w:position w:val="0"/>
          <w:sz w:val="24"/>
          <w:szCs w:val="24"/>
          <w:lang w:eastAsia="zh-CN"/>
        </w:rPr>
        <w:t>供应商</w:t>
      </w:r>
      <w:r>
        <w:rPr>
          <w:rFonts w:hint="eastAsia" w:cs="宋体"/>
          <w:color w:val="000000"/>
          <w:spacing w:val="0"/>
          <w:w w:val="100"/>
          <w:position w:val="0"/>
          <w:sz w:val="24"/>
          <w:szCs w:val="24"/>
          <w:lang w:val="en-US" w:eastAsia="zh-CN"/>
        </w:rPr>
        <w:t>需</w:t>
      </w:r>
      <w:r>
        <w:rPr>
          <w:rFonts w:hint="eastAsia" w:cs="宋体"/>
          <w:color w:val="000000"/>
          <w:spacing w:val="0"/>
          <w:w w:val="100"/>
          <w:position w:val="0"/>
          <w:sz w:val="24"/>
          <w:szCs w:val="24"/>
          <w:lang w:eastAsia="zh-CN"/>
        </w:rPr>
        <w:t>参加开启会议</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参加开启会议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供应商未派代表参加的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视为默认开启结果。</w:t>
      </w:r>
    </w:p>
    <w:p w14:paraId="1E64BDF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1" w:name="_Toc26690"/>
      <w:bookmarkStart w:id="212" w:name="_Toc8884"/>
      <w:bookmarkStart w:id="213" w:name="_Toc4455"/>
      <w:bookmarkStart w:id="214" w:name="_Toc9431"/>
      <w:bookmarkStart w:id="215" w:name="_Toc3266"/>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11"/>
      <w:bookmarkEnd w:id="212"/>
      <w:bookmarkEnd w:id="213"/>
      <w:bookmarkEnd w:id="214"/>
      <w:bookmarkEnd w:id="215"/>
    </w:p>
    <w:p w14:paraId="22BD67D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14:paraId="654741CC">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宣布开启会议纪律；</w:t>
      </w:r>
    </w:p>
    <w:p w14:paraId="40393B45">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供应商代表检查确认响应文件的密封情况；</w:t>
      </w:r>
    </w:p>
    <w:p w14:paraId="7B74D0B5">
      <w:pPr>
        <w:pStyle w:val="20"/>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按照供应商须知前附表规定的开启顺序开启响应文件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并记录在案；</w:t>
      </w:r>
    </w:p>
    <w:p w14:paraId="48376AF4">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供应商代表及相关工作人员等在响应文件开启记录上签字确认；</w:t>
      </w:r>
    </w:p>
    <w:p w14:paraId="2FB39762">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宣布有关注意事项；</w:t>
      </w:r>
    </w:p>
    <w:p w14:paraId="07A13D3E">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开启会议结束。</w:t>
      </w:r>
    </w:p>
    <w:p w14:paraId="4B329146">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采购人未要求供应商参加开启会议的，开启程序由采购人在开启前确定。</w:t>
      </w:r>
    </w:p>
    <w:p w14:paraId="4D2F1BF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bookmarkStart w:id="216" w:name="_Toc25131"/>
      <w:bookmarkStart w:id="217" w:name="_Toc16351"/>
      <w:bookmarkStart w:id="218" w:name="_Toc31426"/>
      <w:bookmarkStart w:id="219" w:name="_Toc11358"/>
      <w:bookmarkStart w:id="220" w:name="_Toc14323"/>
      <w:r>
        <w:rPr>
          <w:rFonts w:hint="eastAsia" w:ascii="宋体" w:hAnsi="宋体" w:eastAsia="宋体" w:cs="宋体"/>
          <w:sz w:val="24"/>
          <w:szCs w:val="24"/>
          <w:lang w:val="en-US" w:eastAsia="zh-CN"/>
        </w:rPr>
        <w:t>5.3 递交响应文件的供应商不足的情形</w:t>
      </w:r>
      <w:bookmarkEnd w:id="216"/>
      <w:bookmarkEnd w:id="217"/>
      <w:bookmarkEnd w:id="218"/>
      <w:bookmarkEnd w:id="219"/>
      <w:bookmarkEnd w:id="220"/>
    </w:p>
    <w:p w14:paraId="0658A6AF">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递交响应文件的供应商数量不足三家的，采购人终止询比并重新组织采购。</w:t>
      </w:r>
    </w:p>
    <w:p w14:paraId="109E09DE">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21" w:name="_Toc18132"/>
      <w:bookmarkStart w:id="222" w:name="_Toc31405"/>
      <w:bookmarkStart w:id="223" w:name="_Toc25985"/>
      <w:bookmarkStart w:id="224" w:name="_Toc7375"/>
      <w:bookmarkStart w:id="225" w:name="_Toc26458"/>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21"/>
      <w:bookmarkEnd w:id="222"/>
      <w:bookmarkEnd w:id="223"/>
      <w:bookmarkEnd w:id="224"/>
      <w:bookmarkEnd w:id="225"/>
    </w:p>
    <w:p w14:paraId="124AD47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6" w:name="_Toc6469"/>
      <w:bookmarkStart w:id="227" w:name="_Toc4699"/>
      <w:bookmarkStart w:id="228" w:name="_Toc25023"/>
      <w:bookmarkStart w:id="229" w:name="_Toc6848"/>
      <w:bookmarkStart w:id="230" w:name="_Toc31693"/>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26"/>
      <w:bookmarkEnd w:id="227"/>
      <w:bookmarkEnd w:id="228"/>
      <w:bookmarkEnd w:id="229"/>
      <w:bookmarkEnd w:id="230"/>
    </w:p>
    <w:p w14:paraId="59C0FE0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14:paraId="67356B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应当回避：</w:t>
      </w:r>
    </w:p>
    <w:p w14:paraId="4A1C5223">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供应商主要负责人或供应商主要负责人的近亲属；</w:t>
      </w:r>
    </w:p>
    <w:p w14:paraId="0AE09A36">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与供应商有经济利益关系或其他利害关系</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可能影响公正评审的。</w:t>
      </w:r>
    </w:p>
    <w:p w14:paraId="7CE92AC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14:paraId="6C8990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否则视为同意评审报告。</w:t>
      </w:r>
    </w:p>
    <w:p w14:paraId="7D4C793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1" w:name="_Toc29493"/>
      <w:bookmarkStart w:id="232" w:name="_Toc26482"/>
      <w:bookmarkStart w:id="233" w:name="_Toc2384"/>
      <w:bookmarkStart w:id="234" w:name="_Toc9185"/>
      <w:bookmarkStart w:id="235" w:name="_Toc18626"/>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31"/>
      <w:bookmarkEnd w:id="232"/>
      <w:bookmarkEnd w:id="233"/>
      <w:bookmarkEnd w:id="234"/>
      <w:bookmarkEnd w:id="235"/>
    </w:p>
    <w:p w14:paraId="289EAF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14:paraId="63D361C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评审完成后，评审小组应当向采购人提交书面评审报告并推荐不少于3家候选成交供应商名单。</w:t>
      </w:r>
    </w:p>
    <w:p w14:paraId="56335729">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36" w:name="_Toc22807"/>
      <w:bookmarkStart w:id="237" w:name="_Toc32647"/>
      <w:bookmarkStart w:id="238" w:name="_Toc16563"/>
      <w:bookmarkStart w:id="239" w:name="_Toc25703"/>
      <w:bookmarkStart w:id="240" w:name="_Toc21753"/>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36"/>
      <w:bookmarkEnd w:id="237"/>
      <w:bookmarkEnd w:id="238"/>
      <w:bookmarkEnd w:id="239"/>
      <w:bookmarkEnd w:id="240"/>
    </w:p>
    <w:p w14:paraId="0642BAD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1" w:name="_Toc11515"/>
      <w:bookmarkStart w:id="242" w:name="_Toc27342"/>
      <w:bookmarkStart w:id="243" w:name="_Toc22909"/>
      <w:bookmarkStart w:id="244" w:name="_Toc27009"/>
      <w:bookmarkStart w:id="245" w:name="_Toc12908"/>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241"/>
      <w:bookmarkEnd w:id="24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bookmarkEnd w:id="243"/>
      <w:bookmarkEnd w:id="244"/>
      <w:bookmarkEnd w:id="245"/>
    </w:p>
    <w:p w14:paraId="21416B2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000000"/>
          <w:spacing w:val="0"/>
          <w:w w:val="100"/>
          <w:position w:val="0"/>
          <w:sz w:val="24"/>
          <w:szCs w:val="24"/>
          <w:lang w:eastAsia="zh-CN"/>
        </w:rPr>
        <w:t>。</w:t>
      </w:r>
    </w:p>
    <w:p w14:paraId="59E3ADE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6" w:name="_Toc1083"/>
      <w:bookmarkStart w:id="247" w:name="_Toc30173"/>
      <w:bookmarkStart w:id="248" w:name="_Toc8207"/>
      <w:bookmarkStart w:id="249" w:name="_Toc16984"/>
      <w:bookmarkStart w:id="250" w:name="_Toc29524"/>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确定成交供应商</w:t>
      </w:r>
      <w:bookmarkEnd w:id="246"/>
      <w:bookmarkEnd w:id="247"/>
      <w:bookmarkEnd w:id="248"/>
      <w:bookmarkEnd w:id="249"/>
      <w:bookmarkEnd w:id="250"/>
    </w:p>
    <w:p w14:paraId="4CE93A0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采购人应当确定评审</w:t>
      </w:r>
      <w:r>
        <w:rPr>
          <w:rFonts w:hint="eastAsia" w:cs="宋体"/>
          <w:color w:val="000000"/>
          <w:spacing w:val="0"/>
          <w:w w:val="100"/>
          <w:position w:val="0"/>
          <w:sz w:val="24"/>
          <w:szCs w:val="24"/>
          <w:lang w:val="en-US" w:eastAsia="zh-CN"/>
        </w:rPr>
        <w:t>报告</w:t>
      </w:r>
      <w:r>
        <w:rPr>
          <w:rFonts w:hint="eastAsia" w:ascii="宋体" w:hAnsi="宋体" w:eastAsia="宋体" w:cs="宋体"/>
          <w:color w:val="000000"/>
          <w:spacing w:val="0"/>
          <w:w w:val="100"/>
          <w:position w:val="0"/>
          <w:sz w:val="24"/>
          <w:szCs w:val="24"/>
        </w:rPr>
        <w:t>推荐排名第一的候选成交供应商为成交供应商。排名第一的候选成交供应商放弃成交、不能履行合同，或采购文件规定应当提交</w:t>
      </w:r>
      <w:r>
        <w:rPr>
          <w:rFonts w:hint="eastAsia" w:cs="宋体"/>
          <w:color w:val="000000"/>
          <w:spacing w:val="0"/>
          <w:w w:val="100"/>
          <w:position w:val="0"/>
          <w:sz w:val="24"/>
          <w:szCs w:val="24"/>
          <w:lang w:val="en-US" w:eastAsia="zh-CN"/>
        </w:rPr>
        <w:t>履约</w:t>
      </w:r>
      <w:r>
        <w:rPr>
          <w:rFonts w:hint="eastAsia" w:ascii="宋体" w:hAnsi="宋体" w:eastAsia="宋体" w:cs="宋体"/>
          <w:color w:val="000000"/>
          <w:spacing w:val="0"/>
          <w:w w:val="100"/>
          <w:position w:val="0"/>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000000"/>
          <w:spacing w:val="0"/>
          <w:w w:val="100"/>
          <w:position w:val="0"/>
          <w:sz w:val="24"/>
          <w:szCs w:val="24"/>
          <w:lang w:val="en-US" w:eastAsia="zh-CN"/>
        </w:rPr>
        <w:t>述</w:t>
      </w:r>
      <w:r>
        <w:rPr>
          <w:rFonts w:hint="eastAsia" w:ascii="宋体" w:hAnsi="宋体" w:eastAsia="宋体" w:cs="宋体"/>
          <w:color w:val="000000"/>
          <w:spacing w:val="0"/>
          <w:w w:val="100"/>
          <w:position w:val="0"/>
          <w:sz w:val="24"/>
          <w:szCs w:val="24"/>
        </w:rPr>
        <w:t>同样原因不能签订合同的，采购人可以确定排名第三的候选成交供应商为成交供应商或重新采购。</w:t>
      </w:r>
    </w:p>
    <w:p w14:paraId="3D2C823D">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1" w:name="_Toc24060"/>
      <w:bookmarkStart w:id="252" w:name="_Toc28729"/>
      <w:bookmarkStart w:id="253" w:name="_Toc21253"/>
      <w:bookmarkStart w:id="254" w:name="_Toc31624"/>
      <w:bookmarkStart w:id="255" w:name="_Toc24804"/>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发布成交</w:t>
      </w:r>
      <w:r>
        <w:rPr>
          <w:rFonts w:hint="eastAsia" w:ascii="宋体" w:hAnsi="宋体" w:eastAsia="宋体" w:cs="宋体"/>
          <w:sz w:val="24"/>
          <w:szCs w:val="24"/>
          <w:lang w:val="en-US" w:eastAsia="zh-CN"/>
        </w:rPr>
        <w:t>结果</w:t>
      </w:r>
      <w:r>
        <w:rPr>
          <w:rFonts w:hint="eastAsia" w:ascii="宋体" w:hAnsi="宋体" w:eastAsia="宋体" w:cs="宋体"/>
          <w:sz w:val="24"/>
          <w:szCs w:val="24"/>
        </w:rPr>
        <w:t>公告</w:t>
      </w:r>
      <w:bookmarkEnd w:id="251"/>
      <w:bookmarkEnd w:id="252"/>
      <w:bookmarkEnd w:id="253"/>
      <w:bookmarkEnd w:id="254"/>
      <w:bookmarkEnd w:id="255"/>
    </w:p>
    <w:p w14:paraId="180D958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成交供应商确定后</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购人将在供应商须知前附表规定的公告媒介发布成交</w:t>
      </w:r>
      <w:r>
        <w:rPr>
          <w:rFonts w:hint="eastAsia" w:cs="宋体"/>
          <w:color w:val="000000"/>
          <w:spacing w:val="0"/>
          <w:w w:val="100"/>
          <w:position w:val="0"/>
          <w:sz w:val="24"/>
          <w:szCs w:val="24"/>
          <w:lang w:val="en-US" w:eastAsia="zh-CN"/>
        </w:rPr>
        <w:t>结果</w:t>
      </w:r>
      <w:r>
        <w:rPr>
          <w:rFonts w:hint="eastAsia" w:ascii="宋体" w:hAnsi="宋体" w:eastAsia="宋体" w:cs="宋体"/>
          <w:color w:val="000000"/>
          <w:spacing w:val="0"/>
          <w:w w:val="100"/>
          <w:position w:val="0"/>
          <w:sz w:val="24"/>
          <w:szCs w:val="24"/>
        </w:rPr>
        <w:t>公告</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公告信息</w:t>
      </w:r>
      <w:r>
        <w:rPr>
          <w:rFonts w:hint="eastAsia" w:cs="宋体"/>
          <w:color w:val="000000"/>
          <w:spacing w:val="0"/>
          <w:w w:val="100"/>
          <w:position w:val="0"/>
          <w:sz w:val="24"/>
          <w:szCs w:val="24"/>
          <w:lang w:val="en-US" w:eastAsia="zh-CN"/>
        </w:rPr>
        <w:t>一般</w:t>
      </w:r>
      <w:r>
        <w:rPr>
          <w:rFonts w:hint="eastAsia" w:ascii="宋体" w:hAnsi="宋体" w:eastAsia="宋体" w:cs="宋体"/>
          <w:color w:val="000000"/>
          <w:spacing w:val="0"/>
          <w:w w:val="100"/>
          <w:position w:val="0"/>
          <w:sz w:val="24"/>
          <w:szCs w:val="24"/>
        </w:rPr>
        <w:t>包括</w:t>
      </w:r>
      <w:r>
        <w:rPr>
          <w:rFonts w:hint="eastAsia" w:cs="宋体"/>
          <w:color w:val="000000"/>
          <w:spacing w:val="0"/>
          <w:w w:val="100"/>
          <w:position w:val="0"/>
          <w:sz w:val="24"/>
          <w:szCs w:val="24"/>
          <w:lang w:eastAsia="zh-CN"/>
        </w:rPr>
        <w:t>：</w:t>
      </w:r>
    </w:p>
    <w:p w14:paraId="265F04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（1）采购人和采购代理机构的名称、地址、联系方式；</w:t>
      </w:r>
    </w:p>
    <w:p w14:paraId="7706353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（2）项目名称和项目编号；</w:t>
      </w:r>
    </w:p>
    <w:p w14:paraId="21EC9CA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（3）成交供应商名称、响应价格或成交份额及工期/交货期/服务期限；</w:t>
      </w:r>
    </w:p>
    <w:p w14:paraId="0D184F5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（4）主要成交标的的名称、规格型号、数量、单价和服务要求等；</w:t>
      </w:r>
    </w:p>
    <w:p w14:paraId="4FE4A21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（5）供应商须知前附表规定的其他内容。</w:t>
      </w:r>
    </w:p>
    <w:p w14:paraId="7126B355">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6" w:name="_Toc25225"/>
      <w:bookmarkStart w:id="257" w:name="_Toc13261"/>
      <w:bookmarkStart w:id="258" w:name="_Toc13892"/>
      <w:bookmarkStart w:id="259" w:name="_Toc2791"/>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256"/>
      <w:bookmarkEnd w:id="257"/>
      <w:bookmarkEnd w:id="258"/>
      <w:bookmarkEnd w:id="259"/>
    </w:p>
    <w:p w14:paraId="78DFB13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发布</w:t>
      </w:r>
      <w:r>
        <w:rPr>
          <w:rFonts w:hint="eastAsia" w:ascii="宋体" w:hAnsi="宋体" w:eastAsia="宋体" w:cs="宋体"/>
          <w:color w:val="000000"/>
          <w:spacing w:val="0"/>
          <w:w w:val="100"/>
          <w:position w:val="0"/>
          <w:sz w:val="24"/>
          <w:szCs w:val="24"/>
        </w:rPr>
        <w:t>公</w:t>
      </w:r>
      <w:r>
        <w:rPr>
          <w:rFonts w:hint="eastAsia" w:cs="宋体"/>
          <w:color w:val="000000"/>
          <w:spacing w:val="0"/>
          <w:w w:val="100"/>
          <w:position w:val="0"/>
          <w:sz w:val="24"/>
          <w:szCs w:val="24"/>
          <w:lang w:val="en-US" w:eastAsia="zh-CN"/>
        </w:rPr>
        <w:t>告的同时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以书面形式向成交供应商发出成交通知书。</w:t>
      </w:r>
    </w:p>
    <w:p w14:paraId="2C62CAC9">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0" w:name="_Toc2722"/>
      <w:bookmarkStart w:id="261" w:name="_Toc2049"/>
      <w:bookmarkStart w:id="262" w:name="_Toc29237"/>
      <w:bookmarkStart w:id="263" w:name="_Toc14303"/>
      <w:bookmarkStart w:id="264" w:name="_Toc26855"/>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履约保证金</w:t>
      </w:r>
      <w:bookmarkEnd w:id="260"/>
      <w:bookmarkEnd w:id="261"/>
      <w:bookmarkEnd w:id="262"/>
      <w:bookmarkEnd w:id="263"/>
      <w:bookmarkEnd w:id="264"/>
    </w:p>
    <w:p w14:paraId="6A8DAA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成交供应商应按供应商须知前附表规定的</w:t>
      </w:r>
      <w:r>
        <w:rPr>
          <w:rFonts w:hint="eastAsia" w:cs="宋体"/>
          <w:color w:val="000000"/>
          <w:spacing w:val="0"/>
          <w:w w:val="100"/>
          <w:position w:val="0"/>
          <w:sz w:val="24"/>
          <w:szCs w:val="24"/>
          <w:lang w:val="en-US" w:eastAsia="zh-CN"/>
        </w:rPr>
        <w:t>金额、</w:t>
      </w:r>
      <w:r>
        <w:rPr>
          <w:rFonts w:hint="eastAsia" w:ascii="宋体" w:hAnsi="宋体" w:eastAsia="宋体" w:cs="宋体"/>
          <w:color w:val="000000"/>
          <w:spacing w:val="0"/>
          <w:w w:val="100"/>
          <w:position w:val="0"/>
          <w:sz w:val="24"/>
          <w:szCs w:val="24"/>
        </w:rPr>
        <w:t>形式、有效期限和递交时间向采购人递交履约保证金。</w:t>
      </w:r>
    </w:p>
    <w:p w14:paraId="37D933AC">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5" w:name="_Toc15232"/>
      <w:bookmarkStart w:id="266" w:name="_Toc13253"/>
      <w:bookmarkStart w:id="267" w:name="_Toc29942"/>
      <w:bookmarkStart w:id="268" w:name="_Toc6358"/>
      <w:bookmarkStart w:id="269" w:name="_Toc2234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签订合同</w:t>
      </w:r>
      <w:bookmarkEnd w:id="265"/>
      <w:bookmarkEnd w:id="266"/>
      <w:bookmarkEnd w:id="267"/>
      <w:bookmarkEnd w:id="268"/>
      <w:bookmarkEnd w:id="269"/>
    </w:p>
    <w:p w14:paraId="7D544DB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根据采购文件和成交供应商的响应文件订立书面合同。成交供应商无正当理由拒绝签订合同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采购人取消其成交资格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成交供应商还应当对超过部分予以赔偿。</w:t>
      </w:r>
    </w:p>
    <w:p w14:paraId="01F1449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2 </w:t>
      </w:r>
      <w:r>
        <w:rPr>
          <w:rFonts w:hint="eastAsia" w:ascii="宋体" w:hAnsi="宋体" w:eastAsia="宋体" w:cs="宋体"/>
          <w:color w:val="000000"/>
          <w:spacing w:val="0"/>
          <w:w w:val="100"/>
          <w:position w:val="0"/>
          <w:sz w:val="24"/>
          <w:szCs w:val="24"/>
        </w:rPr>
        <w:t>联合体成交的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联合体各方应当共同与采购人签订合同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就成交项目向采购人承担连带责任。</w:t>
      </w:r>
    </w:p>
    <w:p w14:paraId="464D5BB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3 </w:t>
      </w:r>
      <w:r>
        <w:rPr>
          <w:rFonts w:hint="eastAsia"/>
          <w:sz w:val="24"/>
          <w:szCs w:val="24"/>
          <w:lang w:val="en-US" w:eastAsia="zh-CN"/>
        </w:rPr>
        <w:t>采购人应按照评审报告确定的成交价格与成交供应商签订合同。</w:t>
      </w:r>
    </w:p>
    <w:p w14:paraId="0055360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70" w:name="_Toc17161"/>
      <w:bookmarkStart w:id="271" w:name="_Toc151"/>
      <w:bookmarkStart w:id="272" w:name="_Toc15761"/>
      <w:bookmarkStart w:id="273" w:name="_Toc16700"/>
      <w:bookmarkStart w:id="274" w:name="_Toc21039"/>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特殊情形处理</w:t>
      </w:r>
      <w:bookmarkEnd w:id="270"/>
      <w:bookmarkEnd w:id="271"/>
      <w:bookmarkEnd w:id="272"/>
      <w:bookmarkEnd w:id="273"/>
      <w:bookmarkEnd w:id="274"/>
    </w:p>
    <w:p w14:paraId="6DC90F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采购人应按照本</w:t>
      </w:r>
      <w:r>
        <w:rPr>
          <w:rFonts w:hint="eastAsia" w:cs="宋体"/>
          <w:color w:val="000000"/>
          <w:spacing w:val="0"/>
          <w:w w:val="100"/>
          <w:position w:val="0"/>
          <w:sz w:val="24"/>
          <w:szCs w:val="24"/>
          <w:lang w:val="en-US" w:eastAsia="zh-CN"/>
        </w:rPr>
        <w:t>章7.2款</w:t>
      </w:r>
      <w:r>
        <w:rPr>
          <w:rFonts w:hint="eastAsia" w:ascii="宋体" w:hAnsi="宋体" w:eastAsia="宋体" w:cs="宋体"/>
          <w:color w:val="000000"/>
          <w:spacing w:val="0"/>
          <w:w w:val="100"/>
          <w:position w:val="0"/>
          <w:sz w:val="24"/>
          <w:szCs w:val="24"/>
        </w:rPr>
        <w:t>规定的程序重新选择确定成交供应商。</w:t>
      </w:r>
    </w:p>
    <w:p w14:paraId="21CA337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275" w:name="_Toc23970"/>
      <w:bookmarkStart w:id="276" w:name="_Toc17996"/>
      <w:bookmarkStart w:id="277" w:name="_Toc26228"/>
      <w:bookmarkStart w:id="278" w:name="_Toc23851"/>
      <w:bookmarkStart w:id="279" w:name="_Toc341"/>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275"/>
      <w:bookmarkEnd w:id="276"/>
      <w:bookmarkEnd w:id="277"/>
      <w:bookmarkEnd w:id="278"/>
      <w:bookmarkEnd w:id="279"/>
    </w:p>
    <w:p w14:paraId="341999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0" w:name="_Toc31140"/>
      <w:bookmarkStart w:id="281" w:name="_Toc26444"/>
      <w:bookmarkStart w:id="282" w:name="_Toc22223"/>
      <w:bookmarkStart w:id="283" w:name="_Toc26193"/>
      <w:bookmarkStart w:id="284" w:name="_Toc32244"/>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280"/>
      <w:bookmarkEnd w:id="281"/>
      <w:bookmarkEnd w:id="282"/>
      <w:bookmarkEnd w:id="283"/>
      <w:bookmarkEnd w:id="284"/>
    </w:p>
    <w:p w14:paraId="3A0590D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供应商或者其他利害关系人可以对成交结果提出异议。异议应在成交结果公</w:t>
      </w:r>
      <w:r>
        <w:rPr>
          <w:rFonts w:hint="eastAsia" w:cs="宋体"/>
          <w:color w:val="000000"/>
          <w:spacing w:val="0"/>
          <w:w w:val="100"/>
          <w:position w:val="0"/>
          <w:sz w:val="24"/>
          <w:szCs w:val="24"/>
          <w:lang w:val="en-US" w:eastAsia="zh-CN"/>
        </w:rPr>
        <w:t>告发布之日起七个工作日内</w:t>
      </w:r>
      <w:r>
        <w:rPr>
          <w:rFonts w:hint="eastAsia" w:ascii="宋体" w:hAnsi="宋体" w:eastAsia="宋体" w:cs="宋体"/>
          <w:color w:val="000000"/>
          <w:spacing w:val="0"/>
          <w:w w:val="100"/>
          <w:position w:val="0"/>
          <w:sz w:val="24"/>
          <w:szCs w:val="24"/>
        </w:rPr>
        <w:t>通过供应商须知前附表规定的异议渠道提出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并递交异议函和必要的证明材料。异议函包括但不限于下列内容：</w:t>
      </w:r>
    </w:p>
    <w:p w14:paraId="1145FD04">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异议人名称、地址、邮政编码、联系人及联系电话；</w:t>
      </w:r>
    </w:p>
    <w:p w14:paraId="5A012F4C">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具体、明确的异议事项、事实依据及与异议事项相关的请求。</w:t>
      </w:r>
    </w:p>
    <w:p w14:paraId="2B99791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31FE246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5" w:name="_Toc15001"/>
      <w:bookmarkStart w:id="286" w:name="_Toc20640"/>
      <w:bookmarkStart w:id="287" w:name="_Toc18594"/>
      <w:bookmarkStart w:id="288" w:name="_Toc12113"/>
      <w:bookmarkStart w:id="289" w:name="_Toc31190"/>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285"/>
      <w:bookmarkEnd w:id="286"/>
      <w:bookmarkEnd w:id="287"/>
      <w:bookmarkEnd w:id="288"/>
      <w:bookmarkEnd w:id="289"/>
    </w:p>
    <w:p w14:paraId="5E6B3CE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经过核查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发现异议人对相关问题理解有误的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应作出解释；发现采购活动中确实存在错误或不当行为的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应及时予以改正或补救。</w:t>
      </w:r>
    </w:p>
    <w:p w14:paraId="2E45AF1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可以继续进行采购活动。</w:t>
      </w:r>
    </w:p>
    <w:p w14:paraId="352355B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0" w:name="_Toc9142"/>
      <w:bookmarkStart w:id="291" w:name="_Toc20218"/>
      <w:bookmarkStart w:id="292" w:name="_Toc27073"/>
      <w:bookmarkStart w:id="293" w:name="_Toc18836"/>
      <w:bookmarkStart w:id="294" w:name="_Toc22627"/>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290"/>
      <w:bookmarkEnd w:id="291"/>
      <w:bookmarkEnd w:id="292"/>
      <w:bookmarkEnd w:id="293"/>
      <w:bookmarkEnd w:id="294"/>
    </w:p>
    <w:p w14:paraId="5ED7826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5" w:name="_Toc7365"/>
      <w:bookmarkStart w:id="296" w:name="_Toc30118"/>
      <w:bookmarkStart w:id="297" w:name="_Toc19512"/>
      <w:bookmarkStart w:id="298" w:name="_Toc2436"/>
      <w:bookmarkStart w:id="299" w:name="_Toc16911"/>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295"/>
      <w:bookmarkEnd w:id="296"/>
      <w:bookmarkEnd w:id="297"/>
      <w:bookmarkEnd w:id="298"/>
      <w:bookmarkEnd w:id="299"/>
    </w:p>
    <w:p w14:paraId="261EF8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购活动中应当保密的情况和资料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不得与供应商串通损害国家利益、社会公共利益</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集团利益</w:t>
      </w:r>
      <w:r>
        <w:rPr>
          <w:rFonts w:hint="eastAsia" w:ascii="宋体" w:hAnsi="宋体" w:eastAsia="宋体" w:cs="宋体"/>
          <w:color w:val="000000"/>
          <w:spacing w:val="0"/>
          <w:w w:val="100"/>
          <w:position w:val="0"/>
          <w:sz w:val="24"/>
          <w:szCs w:val="24"/>
        </w:rPr>
        <w:t>或者他人合法权益。</w:t>
      </w:r>
    </w:p>
    <w:p w14:paraId="7829794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0" w:name="_Toc26648"/>
      <w:bookmarkStart w:id="301" w:name="_Toc12332"/>
      <w:bookmarkStart w:id="302" w:name="_Toc14170"/>
      <w:bookmarkStart w:id="303" w:name="_Toc3600"/>
      <w:bookmarkStart w:id="304" w:name="_Toc8594"/>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300"/>
      <w:bookmarkEnd w:id="301"/>
      <w:bookmarkEnd w:id="302"/>
      <w:bookmarkEnd w:id="303"/>
      <w:bookmarkEnd w:id="304"/>
    </w:p>
    <w:p w14:paraId="42A0FE6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14:paraId="41B1B49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5" w:name="_Toc11056"/>
      <w:bookmarkStart w:id="306" w:name="_Toc31199"/>
      <w:bookmarkStart w:id="307" w:name="_Toc21091"/>
      <w:bookmarkStart w:id="308" w:name="_Toc828"/>
      <w:bookmarkStart w:id="309" w:name="_Toc721"/>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305"/>
      <w:bookmarkEnd w:id="306"/>
      <w:bookmarkEnd w:id="307"/>
      <w:bookmarkEnd w:id="308"/>
      <w:bookmarkEnd w:id="309"/>
    </w:p>
    <w:p w14:paraId="3F1EE14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遵守职业道德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14:paraId="12A465C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0" w:name="_Toc24678"/>
      <w:bookmarkStart w:id="311" w:name="_Toc20089"/>
      <w:bookmarkStart w:id="312" w:name="_Toc5893"/>
      <w:bookmarkStart w:id="313" w:name="_Toc1080"/>
      <w:bookmarkStart w:id="314" w:name="_Toc27781"/>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310"/>
      <w:bookmarkEnd w:id="311"/>
      <w:bookmarkEnd w:id="312"/>
      <w:bookmarkEnd w:id="313"/>
      <w:bookmarkEnd w:id="314"/>
    </w:p>
    <w:p w14:paraId="0CE57F9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14:paraId="11C971F0">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15" w:name="_Toc28794"/>
      <w:bookmarkStart w:id="316" w:name="_Toc13071"/>
      <w:bookmarkStart w:id="317" w:name="_Toc21562"/>
      <w:bookmarkStart w:id="318" w:name="_Toc17724"/>
      <w:bookmarkStart w:id="319" w:name="_Toc19365"/>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315"/>
      <w:bookmarkEnd w:id="316"/>
      <w:bookmarkEnd w:id="317"/>
      <w:bookmarkEnd w:id="318"/>
      <w:bookmarkEnd w:id="319"/>
    </w:p>
    <w:p w14:paraId="5C0E56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0" w:name="_Toc13702"/>
      <w:bookmarkStart w:id="321" w:name="_Toc19938"/>
      <w:bookmarkStart w:id="322" w:name="_Toc23730"/>
      <w:bookmarkStart w:id="323" w:name="_Toc26812"/>
      <w:bookmarkStart w:id="324" w:name="_Toc29264"/>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320"/>
      <w:bookmarkEnd w:id="321"/>
      <w:bookmarkEnd w:id="322"/>
      <w:bookmarkEnd w:id="323"/>
      <w:bookmarkEnd w:id="324"/>
    </w:p>
    <w:p w14:paraId="56F653B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成交</w:t>
      </w:r>
      <w:r>
        <w:rPr>
          <w:rFonts w:hint="eastAsia" w:ascii="宋体" w:hAnsi="宋体" w:eastAsia="宋体" w:cs="宋体"/>
          <w:color w:val="000000"/>
          <w:spacing w:val="0"/>
          <w:w w:val="100"/>
          <w:position w:val="0"/>
          <w:sz w:val="24"/>
          <w:szCs w:val="24"/>
        </w:rPr>
        <w:t>供应商应按照供应商须知前附表规定的费用标准或金额、交费时间和方式向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购代理机构支付代理服务费。</w:t>
      </w:r>
    </w:p>
    <w:p w14:paraId="1247BD62">
      <w:pPr>
        <w:pStyle w:val="4"/>
        <w:spacing w:before="0" w:beforeLines="0" w:after="0" w:afterLines="0" w:line="360" w:lineRule="auto"/>
        <w:rPr>
          <w:rFonts w:hint="default" w:ascii="宋体" w:hAnsi="宋体" w:eastAsia="宋体" w:cs="宋体"/>
          <w:color w:val="000000"/>
          <w:spacing w:val="0"/>
          <w:w w:val="100"/>
          <w:position w:val="0"/>
          <w:sz w:val="24"/>
          <w:szCs w:val="24"/>
          <w:lang w:val="en-US" w:eastAsia="zh-CN"/>
        </w:rPr>
      </w:pPr>
      <w:bookmarkStart w:id="325" w:name="_Toc3452"/>
      <w:bookmarkStart w:id="326" w:name="_Toc3953"/>
      <w:bookmarkStart w:id="327" w:name="_Toc22008"/>
      <w:bookmarkStart w:id="328" w:name="_Toc13970"/>
      <w:r>
        <w:rPr>
          <w:rFonts w:hint="eastAsia" w:ascii="宋体" w:hAnsi="宋体" w:eastAsia="宋体" w:cs="宋体"/>
          <w:color w:val="000000"/>
          <w:spacing w:val="0"/>
          <w:w w:val="100"/>
          <w:position w:val="0"/>
          <w:sz w:val="24"/>
          <w:szCs w:val="24"/>
          <w:lang w:val="en-US" w:eastAsia="en-US"/>
        </w:rPr>
        <w:t>10.</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sz w:val="24"/>
          <w:szCs w:val="24"/>
          <w:lang w:val="en-US" w:eastAsia="zh-CN"/>
        </w:rPr>
        <w:t xml:space="preserve"> </w:t>
      </w:r>
      <w:bookmarkEnd w:id="325"/>
      <w:r>
        <w:rPr>
          <w:rFonts w:hint="eastAsia" w:ascii="宋体" w:hAnsi="宋体" w:eastAsia="宋体" w:cs="宋体"/>
          <w:color w:val="000000"/>
          <w:spacing w:val="0"/>
          <w:w w:val="100"/>
          <w:position w:val="0"/>
          <w:sz w:val="24"/>
          <w:szCs w:val="24"/>
          <w:lang w:val="en-US" w:eastAsia="zh-CN"/>
        </w:rPr>
        <w:t>响应无效的情形</w:t>
      </w:r>
      <w:bookmarkEnd w:id="326"/>
      <w:bookmarkEnd w:id="327"/>
      <w:bookmarkEnd w:id="328"/>
    </w:p>
    <w:p w14:paraId="51054A73">
      <w:pPr>
        <w:pStyle w:val="20"/>
        <w:spacing w:line="360" w:lineRule="auto"/>
        <w:ind w:firstLine="0"/>
        <w:rPr>
          <w:rFonts w:hint="eastAsia"/>
          <w:sz w:val="24"/>
          <w:szCs w:val="24"/>
          <w:lang w:val="en-US" w:eastAsia="zh-CN" w:bidi="en-US"/>
        </w:rPr>
      </w:pPr>
      <w:r>
        <w:rPr>
          <w:rFonts w:hint="eastAsia" w:cs="宋体"/>
          <w:color w:val="000000"/>
          <w:spacing w:val="0"/>
          <w:w w:val="100"/>
          <w:position w:val="0"/>
          <w:sz w:val="24"/>
          <w:szCs w:val="24"/>
          <w:lang w:val="en-US" w:eastAsia="en-US" w:bidi="en-US"/>
        </w:rPr>
        <w:t>10.</w:t>
      </w:r>
      <w:r>
        <w:rPr>
          <w:rFonts w:hint="eastAsia" w:cs="宋体"/>
          <w:color w:val="000000"/>
          <w:spacing w:val="0"/>
          <w:w w:val="100"/>
          <w:position w:val="0"/>
          <w:sz w:val="24"/>
          <w:szCs w:val="24"/>
          <w:lang w:val="en-US" w:eastAsia="zh-CN" w:bidi="en-US"/>
        </w:rPr>
        <w:t>2</w:t>
      </w:r>
      <w:r>
        <w:rPr>
          <w:rFonts w:hint="eastAsia"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 xml:space="preserve"> </w:t>
      </w:r>
      <w:r>
        <w:rPr>
          <w:rFonts w:hint="eastAsia"/>
          <w:sz w:val="24"/>
          <w:szCs w:val="24"/>
          <w:lang w:val="en-US" w:eastAsia="zh-CN" w:bidi="en-US"/>
        </w:rPr>
        <w:t>供应商或其响应文件有下列情形之一的，作无效响应处理：</w:t>
      </w:r>
    </w:p>
    <w:p w14:paraId="548D2F6E">
      <w:pPr>
        <w:pStyle w:val="20"/>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sz w:val="24"/>
          <w:szCs w:val="24"/>
          <w:lang w:val="en-US" w:eastAsia="zh-CN"/>
        </w:rPr>
        <w:t>响应文件逾期送达的或者未送达指定地点的；</w:t>
      </w:r>
    </w:p>
    <w:p w14:paraId="66589597">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4E9426EA">
      <w:pPr>
        <w:pStyle w:val="20"/>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2A1918B">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41A99B90">
      <w:pPr>
        <w:pStyle w:val="20"/>
        <w:numPr>
          <w:ilvl w:val="0"/>
          <w:numId w:val="0"/>
        </w:numPr>
        <w:spacing w:line="360" w:lineRule="auto"/>
        <w:ind w:firstLine="480" w:firstLineChars="200"/>
        <w:rPr>
          <w:rFonts w:hint="eastAsia"/>
          <w:sz w:val="24"/>
          <w:szCs w:val="24"/>
          <w:highlight w:val="none"/>
          <w:lang w:val="en-US" w:eastAsia="zh-CN"/>
        </w:rPr>
      </w:pPr>
      <w:r>
        <w:rPr>
          <w:rFonts w:hint="eastAsia"/>
          <w:sz w:val="24"/>
          <w:szCs w:val="24"/>
          <w:lang w:val="en-US" w:eastAsia="zh-CN"/>
        </w:rPr>
        <w:t>（5）不按第二章“供应</w:t>
      </w:r>
      <w:r>
        <w:rPr>
          <w:rFonts w:hint="eastAsia"/>
          <w:sz w:val="24"/>
          <w:szCs w:val="24"/>
          <w:highlight w:val="none"/>
          <w:lang w:val="en-US" w:eastAsia="zh-CN"/>
        </w:rPr>
        <w:t>商须知”第3.2款和3.7款规定编制响应文件的；</w:t>
      </w:r>
    </w:p>
    <w:p w14:paraId="78CAEAB8">
      <w:pPr>
        <w:pStyle w:val="20"/>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（6）供应商响应报价（含税）超过（不含等于）</w:t>
      </w:r>
      <w:r>
        <w:rPr>
          <w:rFonts w:hint="eastAsia"/>
          <w:sz w:val="24"/>
          <w:szCs w:val="24"/>
          <w:lang w:val="en-US" w:eastAsia="zh-CN"/>
        </w:rPr>
        <w:t>第一章“询比采购公告/询比采购邀请书”第1条规定的最高限价的；</w:t>
      </w:r>
    </w:p>
    <w:p w14:paraId="5FFA3E41">
      <w:pPr>
        <w:pStyle w:val="20"/>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5247C620">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1F7097BE">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77D67D1D">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1552DE19">
      <w:pPr>
        <w:pStyle w:val="20"/>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11）</w:t>
      </w:r>
      <w:r>
        <w:rPr>
          <w:rFonts w:hint="eastAsia"/>
          <w:sz w:val="24"/>
          <w:szCs w:val="24"/>
          <w:lang w:val="en-US" w:eastAsia="zh-CN"/>
        </w:rPr>
        <w:t>有弄虚作假或有其他违法行为的；</w:t>
      </w:r>
    </w:p>
    <w:p w14:paraId="1A0C5384">
      <w:pPr>
        <w:pStyle w:val="20"/>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13DD79AB">
      <w:pPr>
        <w:pStyle w:val="20"/>
        <w:spacing w:line="360" w:lineRule="auto"/>
        <w:ind w:firstLine="0"/>
        <w:rPr>
          <w:rFonts w:hint="eastAsia" w:ascii="宋体" w:hAnsi="宋体" w:eastAsia="宋体" w:cs="宋体"/>
          <w:color w:val="000000"/>
          <w:spacing w:val="0"/>
          <w:w w:val="100"/>
          <w:position w:val="0"/>
          <w:sz w:val="24"/>
          <w:szCs w:val="24"/>
          <w:lang w:val="en-US" w:eastAsia="en-US" w:bidi="en-US"/>
        </w:rPr>
      </w:pPr>
      <w:r>
        <w:rPr>
          <w:rFonts w:hint="eastAsia" w:cs="宋体"/>
          <w:color w:val="000000"/>
          <w:spacing w:val="0"/>
          <w:w w:val="100"/>
          <w:position w:val="0"/>
          <w:sz w:val="24"/>
          <w:szCs w:val="24"/>
          <w:lang w:val="en-US" w:eastAsia="zh-CN" w:bidi="en-US"/>
        </w:rPr>
        <w:t>10.2.2</w:t>
      </w:r>
      <w:r>
        <w:rPr>
          <w:rFonts w:hint="eastAsia" w:ascii="宋体" w:hAnsi="宋体" w:eastAsia="宋体" w:cs="宋体"/>
          <w:color w:val="000000"/>
          <w:spacing w:val="0"/>
          <w:w w:val="100"/>
          <w:position w:val="0"/>
          <w:sz w:val="24"/>
          <w:szCs w:val="24"/>
          <w:lang w:val="en-US" w:eastAsia="en-US" w:bidi="en-US"/>
        </w:rPr>
        <w:t>有下列情形之一的，属于相互串通，响应文件将被视为无效：</w:t>
      </w:r>
    </w:p>
    <w:p w14:paraId="42BE4710">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供应商直接或者间接从采购人或者采购代理机构处获得其他供应商的相关情况并修改其响应文件；</w:t>
      </w:r>
    </w:p>
    <w:p w14:paraId="498BFE32">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供应商按照采购人或者采购代理机构的授意撤换、修改响应文件；</w:t>
      </w:r>
    </w:p>
    <w:p w14:paraId="4D026A5C">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供应商之间协商报价、技术方案等响应文件的实质性内容；</w:t>
      </w:r>
    </w:p>
    <w:p w14:paraId="072B26B3">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属于同一集团、协会、商会等组织成员的供应商按照该组织要求协同参加采购活动；</w:t>
      </w:r>
    </w:p>
    <w:p w14:paraId="732C2ED8">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供应商之间事先约定由某一特定供应商成交；</w:t>
      </w:r>
    </w:p>
    <w:p w14:paraId="21D029FE">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供应商之间商定部分供应商放弃参加采购活动或者放弃成交；</w:t>
      </w:r>
    </w:p>
    <w:p w14:paraId="414A8DBE">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lang w:eastAsia="zh-CN"/>
        </w:rPr>
        <w:t>供应商与采购人或者采购代理机构之间、供应商相互之间，为谋求特定供应商成交或者排斥其他供应商的其他串通行为。</w:t>
      </w:r>
    </w:p>
    <w:p w14:paraId="313D06D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10.2.3</w:t>
      </w:r>
      <w:r>
        <w:rPr>
          <w:rFonts w:hint="eastAsia" w:ascii="宋体" w:hAnsi="宋体" w:eastAsia="宋体" w:cs="宋体"/>
          <w:color w:val="000000"/>
          <w:spacing w:val="0"/>
          <w:w w:val="100"/>
          <w:position w:val="0"/>
          <w:sz w:val="24"/>
          <w:szCs w:val="24"/>
        </w:rPr>
        <w:t>有下列情形之一的，视为供应商相互串通，响应文件将被视为无效：</w:t>
      </w:r>
    </w:p>
    <w:p w14:paraId="3B3E6B3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不同供应商的响应文件由同一单位或者个人编制；</w:t>
      </w:r>
    </w:p>
    <w:p w14:paraId="72D0CC9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不同供应商委托同一单位或者个人办理竞标事宜；</w:t>
      </w:r>
    </w:p>
    <w:p w14:paraId="4952C19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不同供应商的响应文件载明的项目管理成员为同一人；</w:t>
      </w:r>
    </w:p>
    <w:p w14:paraId="35E311E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不同供应商的响应文件异常一致或者报价呈规律性差异；</w:t>
      </w:r>
    </w:p>
    <w:p w14:paraId="6F6B8A0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不同供应商的响应文件相互混装；</w:t>
      </w:r>
    </w:p>
    <w:p w14:paraId="7E18960A">
      <w:pPr>
        <w:pStyle w:val="20"/>
        <w:spacing w:line="360" w:lineRule="auto"/>
        <w:ind w:firstLine="480" w:firstLineChars="200"/>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不同供应商的竞标保证金从同一单位或者个人的账户转出。</w:t>
      </w:r>
    </w:p>
    <w:p w14:paraId="0BA627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9" w:name="_Toc29934"/>
      <w:bookmarkStart w:id="330" w:name="_Toc24207"/>
      <w:bookmarkStart w:id="331" w:name="_Toc12784"/>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TW" w:eastAsia="zh-TW"/>
        </w:rPr>
        <w:t>其他</w:t>
      </w:r>
      <w:bookmarkEnd w:id="329"/>
      <w:bookmarkEnd w:id="330"/>
      <w:bookmarkEnd w:id="331"/>
    </w:p>
    <w:p w14:paraId="57DBC05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p>
    <w:p w14:paraId="291669A9">
      <w:pPr>
        <w:pStyle w:val="20"/>
        <w:spacing w:line="360" w:lineRule="auto"/>
        <w:ind w:firstLine="480" w:firstLineChars="200"/>
        <w:rPr>
          <w:rFonts w:hint="eastAsia" w:cs="宋体"/>
          <w:color w:val="000000"/>
          <w:spacing w:val="0"/>
          <w:w w:val="100"/>
          <w:position w:val="0"/>
          <w:sz w:val="24"/>
          <w:szCs w:val="24"/>
          <w:lang w:eastAsia="zh-CN"/>
        </w:rPr>
      </w:pPr>
    </w:p>
    <w:p w14:paraId="5D8DD227">
      <w:pPr>
        <w:rPr>
          <w:rFonts w:hint="eastAsia" w:ascii="宋体" w:hAnsi="宋体" w:eastAsia="宋体" w:cs="宋体"/>
        </w:rPr>
      </w:pPr>
      <w:bookmarkStart w:id="332" w:name="_Toc13949"/>
      <w:bookmarkStart w:id="333" w:name="_Toc28448"/>
      <w:r>
        <w:rPr>
          <w:rFonts w:hint="eastAsia" w:ascii="宋体" w:hAnsi="宋体" w:eastAsia="宋体" w:cs="宋体"/>
        </w:rPr>
        <w:br w:type="page"/>
      </w:r>
    </w:p>
    <w:bookmarkEnd w:id="332"/>
    <w:bookmarkEnd w:id="333"/>
    <w:p w14:paraId="6191C11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E178171">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7A3594F">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E54CA87">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38E8687">
      <w:pPr>
        <w:pStyle w:val="2"/>
        <w:bidi w:val="0"/>
        <w:jc w:val="center"/>
        <w:rPr>
          <w:rFonts w:hint="eastAsia" w:ascii="宋体" w:hAnsi="宋体" w:eastAsia="宋体" w:cs="宋体"/>
          <w:color w:val="000000"/>
          <w:spacing w:val="0"/>
          <w:w w:val="100"/>
          <w:position w:val="0"/>
          <w:sz w:val="52"/>
          <w:szCs w:val="52"/>
          <w:lang w:val="en-US" w:eastAsia="zh-CN"/>
        </w:rPr>
      </w:pPr>
      <w:bookmarkStart w:id="334" w:name="_Toc14819"/>
      <w:bookmarkStart w:id="335" w:name="_Toc7411"/>
      <w:bookmarkStart w:id="336" w:name="_Toc16043"/>
      <w:bookmarkStart w:id="337" w:name="_Toc13556"/>
      <w:bookmarkStart w:id="338" w:name="_Toc31023"/>
      <w:r>
        <w:rPr>
          <w:rFonts w:hint="eastAsia" w:ascii="宋体" w:hAnsi="宋体" w:eastAsia="宋体" w:cs="宋体"/>
          <w:sz w:val="52"/>
          <w:szCs w:val="52"/>
          <w:lang w:val="en-US" w:eastAsia="zh-CN"/>
        </w:rPr>
        <w:t>第三章   评审办法</w:t>
      </w:r>
      <w:bookmarkEnd w:id="334"/>
      <w:bookmarkEnd w:id="335"/>
      <w:bookmarkEnd w:id="336"/>
      <w:bookmarkEnd w:id="337"/>
      <w:bookmarkEnd w:id="338"/>
    </w:p>
    <w:p w14:paraId="257846D1">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61ED6CCA">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17A04E4C">
      <w:pPr>
        <w:pStyle w:val="3"/>
        <w:bidi w:val="0"/>
        <w:spacing w:after="0" w:line="413" w:lineRule="auto"/>
        <w:jc w:val="center"/>
        <w:rPr>
          <w:rFonts w:hint="eastAsia"/>
          <w:sz w:val="28"/>
          <w:szCs w:val="28"/>
        </w:rPr>
      </w:pPr>
      <w:bookmarkStart w:id="339" w:name="_Toc22396"/>
      <w:bookmarkStart w:id="340" w:name="_Toc17949"/>
      <w:bookmarkStart w:id="341" w:name="_Toc15939"/>
      <w:bookmarkStart w:id="342" w:name="_Toc21075"/>
      <w:bookmarkStart w:id="343" w:name="_Toc22498"/>
      <w:r>
        <w:rPr>
          <w:rFonts w:hint="eastAsia"/>
          <w:sz w:val="28"/>
          <w:szCs w:val="28"/>
        </w:rPr>
        <w:t>评审办法前附表</w:t>
      </w:r>
      <w:bookmarkEnd w:id="339"/>
      <w:bookmarkEnd w:id="340"/>
      <w:bookmarkEnd w:id="341"/>
      <w:bookmarkEnd w:id="342"/>
      <w:bookmarkEnd w:id="343"/>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79B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45474D5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2823" w:type="dxa"/>
            <w:vAlign w:val="center"/>
          </w:tcPr>
          <w:p w14:paraId="3184863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评审因素</w:t>
            </w:r>
          </w:p>
        </w:tc>
        <w:tc>
          <w:tcPr>
            <w:tcW w:w="3792" w:type="dxa"/>
            <w:vAlign w:val="center"/>
          </w:tcPr>
          <w:p w14:paraId="56A0EF3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评审标准</w:t>
            </w:r>
          </w:p>
        </w:tc>
      </w:tr>
      <w:tr w14:paraId="6158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EA59D4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732" w:type="dxa"/>
            <w:vAlign w:val="center"/>
          </w:tcPr>
          <w:p w14:paraId="1D38803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2823" w:type="dxa"/>
            <w:vAlign w:val="center"/>
          </w:tcPr>
          <w:p w14:paraId="7AC52AB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3792" w:type="dxa"/>
            <w:vAlign w:val="center"/>
          </w:tcPr>
          <w:p w14:paraId="7CF26D8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最低价法</w:t>
            </w:r>
          </w:p>
          <w:p w14:paraId="271F251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综合评分法</w:t>
            </w:r>
          </w:p>
          <w:p w14:paraId="554AA17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投票法</w:t>
            </w:r>
          </w:p>
        </w:tc>
      </w:tr>
      <w:tr w14:paraId="3B1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C126F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2.1.1</w:t>
            </w:r>
          </w:p>
        </w:tc>
        <w:tc>
          <w:tcPr>
            <w:tcW w:w="1732" w:type="dxa"/>
            <w:vMerge w:val="restart"/>
            <w:vAlign w:val="center"/>
          </w:tcPr>
          <w:p w14:paraId="4B346EF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形式评审标准</w:t>
            </w:r>
          </w:p>
        </w:tc>
        <w:tc>
          <w:tcPr>
            <w:tcW w:w="2823" w:type="dxa"/>
            <w:vAlign w:val="center"/>
          </w:tcPr>
          <w:p w14:paraId="2852EDA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供应商名称</w:t>
            </w:r>
          </w:p>
        </w:tc>
        <w:tc>
          <w:tcPr>
            <w:tcW w:w="3792" w:type="dxa"/>
            <w:vAlign w:val="center"/>
          </w:tcPr>
          <w:p w14:paraId="1109F76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与市场监管部门或其他行政机关颁发的可以合法开展业务的执照或证书一致</w:t>
            </w:r>
          </w:p>
        </w:tc>
      </w:tr>
      <w:tr w14:paraId="563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BA9A9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AB02D4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2FB83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响应文件签字、盖公章</w:t>
            </w:r>
          </w:p>
        </w:tc>
        <w:tc>
          <w:tcPr>
            <w:tcW w:w="3792" w:type="dxa"/>
            <w:vAlign w:val="center"/>
          </w:tcPr>
          <w:p w14:paraId="38B5FDA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符合第二章3.7.1项、3.7.2项及3.7.3项的规定</w:t>
            </w:r>
          </w:p>
        </w:tc>
      </w:tr>
      <w:tr w14:paraId="7DF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31FDEC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BA14C3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1CCF6E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联合体协议书</w:t>
            </w:r>
          </w:p>
        </w:tc>
        <w:tc>
          <w:tcPr>
            <w:tcW w:w="3792" w:type="dxa"/>
            <w:vAlign w:val="center"/>
          </w:tcPr>
          <w:p w14:paraId="5D0AB5C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递交联合体协议书，并明确联合体牵头人</w:t>
            </w:r>
          </w:p>
        </w:tc>
      </w:tr>
      <w:tr w14:paraId="3108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8F549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303E0AE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ED9265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响应函中实质性内容</w:t>
            </w:r>
          </w:p>
        </w:tc>
        <w:tc>
          <w:tcPr>
            <w:tcW w:w="3792" w:type="dxa"/>
            <w:vAlign w:val="center"/>
          </w:tcPr>
          <w:p w14:paraId="19E21EF7">
            <w:pPr>
              <w:jc w:val="center"/>
              <w:rPr>
                <w:rFonts w:hint="eastAsia" w:ascii="宋体" w:hAnsi="宋体" w:eastAsia="宋体" w:cs="宋体"/>
                <w:b w:val="0"/>
                <w:bCs w:val="0"/>
                <w:sz w:val="21"/>
                <w:szCs w:val="21"/>
                <w:u w:val="none"/>
                <w:vertAlign w:val="baseline"/>
                <w:lang w:val="en-US" w:eastAsia="zh-CN"/>
              </w:rPr>
            </w:pPr>
          </w:p>
        </w:tc>
      </w:tr>
      <w:tr w14:paraId="09C3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95B9AF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397C1E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7FD77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0BC4A5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099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D1A780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2.1.2</w:t>
            </w:r>
          </w:p>
        </w:tc>
        <w:tc>
          <w:tcPr>
            <w:tcW w:w="1732" w:type="dxa"/>
            <w:vMerge w:val="restart"/>
            <w:vAlign w:val="center"/>
          </w:tcPr>
          <w:p w14:paraId="0BACF82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资格评审标准</w:t>
            </w:r>
          </w:p>
        </w:tc>
        <w:tc>
          <w:tcPr>
            <w:tcW w:w="2823" w:type="dxa"/>
            <w:vAlign w:val="center"/>
          </w:tcPr>
          <w:p w14:paraId="1F9BD24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依法设立</w:t>
            </w:r>
          </w:p>
        </w:tc>
        <w:tc>
          <w:tcPr>
            <w:tcW w:w="3792" w:type="dxa"/>
            <w:vAlign w:val="center"/>
          </w:tcPr>
          <w:p w14:paraId="0717AAC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符合第一章第3.1款及供应商须知前附表第3.5（1）款规定</w:t>
            </w:r>
          </w:p>
        </w:tc>
      </w:tr>
      <w:tr w14:paraId="7A94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CEE457">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D36486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D7002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w:t>
            </w:r>
          </w:p>
        </w:tc>
        <w:tc>
          <w:tcPr>
            <w:tcW w:w="3792" w:type="dxa"/>
            <w:vAlign w:val="center"/>
          </w:tcPr>
          <w:p w14:paraId="4998C7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符合第一章第3.1款及供应商须知前附表第3.5（2）款规定</w:t>
            </w:r>
          </w:p>
        </w:tc>
      </w:tr>
      <w:tr w14:paraId="6593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5C7F3C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7D8582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2908B2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财务要求</w:t>
            </w:r>
          </w:p>
        </w:tc>
        <w:tc>
          <w:tcPr>
            <w:tcW w:w="3792" w:type="dxa"/>
            <w:vAlign w:val="center"/>
          </w:tcPr>
          <w:p w14:paraId="5809D23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符合第一章第3.1款及供应商须知前附表第3.5（3）款规定</w:t>
            </w:r>
          </w:p>
        </w:tc>
      </w:tr>
      <w:tr w14:paraId="0887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D5A0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5569C4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44E1D6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业绩要求</w:t>
            </w:r>
          </w:p>
        </w:tc>
        <w:tc>
          <w:tcPr>
            <w:tcW w:w="3792" w:type="dxa"/>
            <w:vAlign w:val="center"/>
          </w:tcPr>
          <w:p w14:paraId="2E3EFF2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符合第一章第3.1款及供应商须知前附表第3.5（4）款规定</w:t>
            </w:r>
          </w:p>
        </w:tc>
      </w:tr>
      <w:tr w14:paraId="29D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D72A8C4">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103A7E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0F4CB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信誉要求</w:t>
            </w:r>
          </w:p>
        </w:tc>
        <w:tc>
          <w:tcPr>
            <w:tcW w:w="3792" w:type="dxa"/>
            <w:vAlign w:val="center"/>
          </w:tcPr>
          <w:p w14:paraId="7D55319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符合第一章第3.1款及供应商须知前附表第3.5（5）款规定</w:t>
            </w:r>
          </w:p>
        </w:tc>
      </w:tr>
      <w:tr w14:paraId="4C6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E08B7E5">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A79CD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858F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人员要求</w:t>
            </w:r>
          </w:p>
        </w:tc>
        <w:tc>
          <w:tcPr>
            <w:tcW w:w="3792" w:type="dxa"/>
            <w:vAlign w:val="center"/>
          </w:tcPr>
          <w:p w14:paraId="478951C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符合第一章第3.1款及供应商须知前附表第3.5（6）款规定</w:t>
            </w:r>
          </w:p>
        </w:tc>
      </w:tr>
      <w:tr w14:paraId="779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4F803B">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61A8BC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22A07B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其他要求</w:t>
            </w:r>
          </w:p>
        </w:tc>
        <w:tc>
          <w:tcPr>
            <w:tcW w:w="3792" w:type="dxa"/>
            <w:vAlign w:val="center"/>
          </w:tcPr>
          <w:p w14:paraId="7605491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符合第一章第3.1款及供应商须知前附表第3.5（7）款规定</w:t>
            </w:r>
          </w:p>
        </w:tc>
      </w:tr>
      <w:tr w14:paraId="1E7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6EEADCF">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CEC83F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F80181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不存在第一章第3.2款情形</w:t>
            </w:r>
          </w:p>
        </w:tc>
        <w:tc>
          <w:tcPr>
            <w:tcW w:w="3792" w:type="dxa"/>
            <w:vAlign w:val="center"/>
          </w:tcPr>
          <w:p w14:paraId="5A41763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符合第一章第3.1款及供应商须知前附表第3.5（8）款规定</w:t>
            </w:r>
          </w:p>
        </w:tc>
      </w:tr>
      <w:tr w14:paraId="3E3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FF604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429648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9888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联合体供应商</w:t>
            </w:r>
          </w:p>
        </w:tc>
        <w:tc>
          <w:tcPr>
            <w:tcW w:w="3792" w:type="dxa"/>
            <w:vAlign w:val="center"/>
          </w:tcPr>
          <w:p w14:paraId="79B0B66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符合第一章第3.1款及供应商须知前附表第3.5（9）款规定</w:t>
            </w:r>
          </w:p>
        </w:tc>
      </w:tr>
      <w:tr w14:paraId="28D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551A14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0C06CC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1AFCED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3FF1000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791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C4E15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2.1.3</w:t>
            </w:r>
          </w:p>
        </w:tc>
        <w:tc>
          <w:tcPr>
            <w:tcW w:w="1732" w:type="dxa"/>
            <w:vMerge w:val="restart"/>
            <w:vAlign w:val="center"/>
          </w:tcPr>
          <w:p w14:paraId="2072152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响应性评审标准</w:t>
            </w:r>
          </w:p>
        </w:tc>
        <w:tc>
          <w:tcPr>
            <w:tcW w:w="2823" w:type="dxa"/>
            <w:vAlign w:val="center"/>
          </w:tcPr>
          <w:p w14:paraId="677A278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p>
        </w:tc>
        <w:tc>
          <w:tcPr>
            <w:tcW w:w="3792" w:type="dxa"/>
            <w:vAlign w:val="center"/>
          </w:tcPr>
          <w:p w14:paraId="2BC3320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符合第二章第3.2款规定</w:t>
            </w:r>
          </w:p>
        </w:tc>
      </w:tr>
      <w:tr w14:paraId="7729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A39D32">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81932D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9524EE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响应文件有效期</w:t>
            </w:r>
          </w:p>
        </w:tc>
        <w:tc>
          <w:tcPr>
            <w:tcW w:w="3792" w:type="dxa"/>
            <w:vAlign w:val="center"/>
          </w:tcPr>
          <w:p w14:paraId="17DF5AF3">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符合第二章第3.3.1项规定</w:t>
            </w:r>
          </w:p>
        </w:tc>
      </w:tr>
      <w:tr w14:paraId="79D5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2C68F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F898DD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AA8CD4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响应保证金</w:t>
            </w:r>
          </w:p>
        </w:tc>
        <w:tc>
          <w:tcPr>
            <w:tcW w:w="3792" w:type="dxa"/>
            <w:vAlign w:val="center"/>
          </w:tcPr>
          <w:p w14:paraId="6E021FF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符合第二章第3.4.1项规定</w:t>
            </w:r>
          </w:p>
        </w:tc>
      </w:tr>
      <w:tr w14:paraId="5BE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1611E3">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805DD9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9E42E1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响应方案</w:t>
            </w:r>
          </w:p>
        </w:tc>
        <w:tc>
          <w:tcPr>
            <w:tcW w:w="3792" w:type="dxa"/>
            <w:vAlign w:val="center"/>
          </w:tcPr>
          <w:p w14:paraId="722B068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符合第二章第3.6款规定</w:t>
            </w:r>
          </w:p>
        </w:tc>
      </w:tr>
      <w:tr w14:paraId="763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E63A93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54C93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882346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质量标准</w:t>
            </w:r>
          </w:p>
        </w:tc>
        <w:tc>
          <w:tcPr>
            <w:tcW w:w="3792" w:type="dxa"/>
            <w:vAlign w:val="center"/>
          </w:tcPr>
          <w:p w14:paraId="295A9E1F">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53E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641B6B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CFC24A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A4C43C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完成期限</w:t>
            </w:r>
          </w:p>
        </w:tc>
        <w:tc>
          <w:tcPr>
            <w:tcW w:w="3792" w:type="dxa"/>
            <w:vAlign w:val="center"/>
          </w:tcPr>
          <w:p w14:paraId="66E0927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323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13C55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ACEF20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6CDDA5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合同条款</w:t>
            </w:r>
          </w:p>
        </w:tc>
        <w:tc>
          <w:tcPr>
            <w:tcW w:w="3792" w:type="dxa"/>
            <w:vAlign w:val="center"/>
          </w:tcPr>
          <w:p w14:paraId="02412B7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符合第二章第1.10.1项的规定</w:t>
            </w:r>
          </w:p>
        </w:tc>
      </w:tr>
      <w:tr w14:paraId="11F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A97BBA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D7BDB1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D977C4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对非关键条款的偏差</w:t>
            </w:r>
          </w:p>
        </w:tc>
        <w:tc>
          <w:tcPr>
            <w:tcW w:w="3792" w:type="dxa"/>
            <w:vAlign w:val="center"/>
          </w:tcPr>
          <w:p w14:paraId="2052F7C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偏差范围和偏差项数符合第二章第1.10.2项的规定</w:t>
            </w:r>
          </w:p>
        </w:tc>
      </w:tr>
      <w:tr w14:paraId="3C1E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DCC22F0">
            <w:pPr>
              <w:jc w:val="left"/>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296F996">
            <w:pPr>
              <w:jc w:val="left"/>
              <w:rPr>
                <w:rFonts w:hint="eastAsia" w:ascii="宋体" w:hAnsi="宋体" w:eastAsia="宋体" w:cs="宋体"/>
                <w:b w:val="0"/>
                <w:bCs w:val="0"/>
                <w:sz w:val="21"/>
                <w:szCs w:val="21"/>
                <w:u w:val="none"/>
                <w:vertAlign w:val="baseline"/>
                <w:lang w:val="en-US" w:eastAsia="zh-CN"/>
              </w:rPr>
            </w:pPr>
          </w:p>
        </w:tc>
        <w:tc>
          <w:tcPr>
            <w:tcW w:w="2823" w:type="dxa"/>
            <w:vAlign w:val="center"/>
          </w:tcPr>
          <w:p w14:paraId="6D81CF8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244BE83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18E1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50F784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2.2.2</w:t>
            </w:r>
          </w:p>
        </w:tc>
        <w:tc>
          <w:tcPr>
            <w:tcW w:w="1732" w:type="dxa"/>
            <w:vAlign w:val="center"/>
          </w:tcPr>
          <w:p w14:paraId="147B928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评审价格</w:t>
            </w:r>
          </w:p>
        </w:tc>
        <w:tc>
          <w:tcPr>
            <w:tcW w:w="6615" w:type="dxa"/>
            <w:gridSpan w:val="2"/>
            <w:vAlign w:val="center"/>
          </w:tcPr>
          <w:p w14:paraId="5AD67D5A">
            <w:pPr>
              <w:jc w:val="center"/>
              <w:rPr>
                <w:rFonts w:hint="eastAsia" w:ascii="宋体" w:hAnsi="宋体" w:eastAsia="宋体" w:cs="宋体"/>
                <w:b w:val="0"/>
                <w:bCs w:val="0"/>
                <w:sz w:val="21"/>
                <w:szCs w:val="21"/>
                <w:u w:val="none"/>
                <w:vertAlign w:val="baseline"/>
                <w:lang w:val="en-US" w:eastAsia="zh-CN"/>
              </w:rPr>
            </w:pPr>
          </w:p>
        </w:tc>
      </w:tr>
    </w:tbl>
    <w:p w14:paraId="38AA7F3E">
      <w:r>
        <w:br w:type="page"/>
      </w:r>
    </w:p>
    <w:p w14:paraId="7194815D"/>
    <w:p w14:paraId="3DC52D2F">
      <w:pPr>
        <w:jc w:val="left"/>
        <w:rPr>
          <w:rFonts w:hint="eastAsia" w:ascii="宋体" w:hAnsi="宋体" w:eastAsia="宋体" w:cs="宋体"/>
          <w:b w:val="0"/>
          <w:bCs w:val="0"/>
          <w:sz w:val="18"/>
          <w:szCs w:val="18"/>
          <w:u w:val="none"/>
          <w:vertAlign w:val="baseline"/>
          <w:lang w:val="en-US" w:eastAsia="zh-CN"/>
        </w:rPr>
      </w:pPr>
    </w:p>
    <w:tbl>
      <w:tblPr>
        <w:tblStyle w:val="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0B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602DC0F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bCs/>
                <w:sz w:val="21"/>
                <w:szCs w:val="21"/>
                <w:u w:val="none"/>
                <w:vertAlign w:val="baseline"/>
                <w:lang w:val="en-US" w:eastAsia="zh-CN"/>
              </w:rPr>
              <w:t>3   详细评审标准和程序（综合评分法）</w:t>
            </w:r>
          </w:p>
        </w:tc>
      </w:tr>
      <w:tr w14:paraId="561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AE832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3.1</w:t>
            </w:r>
          </w:p>
        </w:tc>
        <w:tc>
          <w:tcPr>
            <w:tcW w:w="1704" w:type="dxa"/>
            <w:vAlign w:val="center"/>
          </w:tcPr>
          <w:p w14:paraId="2E5D14A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分值构成</w:t>
            </w:r>
          </w:p>
          <w:p w14:paraId="55E1417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（总分100分）</w:t>
            </w:r>
          </w:p>
        </w:tc>
        <w:tc>
          <w:tcPr>
            <w:tcW w:w="6614" w:type="dxa"/>
            <w:gridSpan w:val="2"/>
            <w:vAlign w:val="center"/>
          </w:tcPr>
          <w:p w14:paraId="5795DA18">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商务部分：</w:t>
            </w:r>
            <w:r>
              <w:rPr>
                <w:rFonts w:hint="eastAsia" w:ascii="宋体" w:hAnsi="宋体" w:eastAsia="宋体" w:cs="宋体"/>
                <w:b w:val="0"/>
                <w:bCs w:val="0"/>
                <w:sz w:val="21"/>
                <w:szCs w:val="21"/>
                <w:u w:val="single"/>
                <w:vertAlign w:val="baseline"/>
                <w:lang w:val="en-US" w:eastAsia="zh-CN"/>
              </w:rPr>
              <w:t xml:space="preserve">      10       </w:t>
            </w:r>
            <w:r>
              <w:rPr>
                <w:rFonts w:hint="eastAsia" w:ascii="宋体" w:hAnsi="宋体" w:eastAsia="宋体" w:cs="宋体"/>
                <w:b w:val="0"/>
                <w:bCs w:val="0"/>
                <w:sz w:val="21"/>
                <w:szCs w:val="21"/>
                <w:u w:val="none"/>
                <w:vertAlign w:val="baseline"/>
                <w:lang w:val="en-US" w:eastAsia="zh-CN"/>
              </w:rPr>
              <w:t>分</w:t>
            </w:r>
          </w:p>
          <w:p w14:paraId="798A6FF7">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技术部分：</w:t>
            </w:r>
            <w:r>
              <w:rPr>
                <w:rFonts w:hint="eastAsia" w:ascii="宋体" w:hAnsi="宋体" w:eastAsia="宋体" w:cs="宋体"/>
                <w:b w:val="0"/>
                <w:bCs w:val="0"/>
                <w:sz w:val="21"/>
                <w:szCs w:val="21"/>
                <w:u w:val="single"/>
                <w:vertAlign w:val="baseline"/>
                <w:lang w:val="en-US" w:eastAsia="zh-CN"/>
              </w:rPr>
              <w:t xml:space="preserve">       60      </w:t>
            </w:r>
            <w:r>
              <w:rPr>
                <w:rFonts w:hint="eastAsia" w:ascii="宋体" w:hAnsi="宋体" w:eastAsia="宋体" w:cs="宋体"/>
                <w:b w:val="0"/>
                <w:bCs w:val="0"/>
                <w:sz w:val="21"/>
                <w:szCs w:val="21"/>
                <w:u w:val="none"/>
                <w:vertAlign w:val="baseline"/>
                <w:lang w:val="en-US" w:eastAsia="zh-CN"/>
              </w:rPr>
              <w:t>分</w:t>
            </w:r>
          </w:p>
          <w:p w14:paraId="7F9BADB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r>
              <w:rPr>
                <w:rFonts w:hint="eastAsia" w:ascii="宋体" w:hAnsi="宋体" w:eastAsia="宋体" w:cs="宋体"/>
                <w:b w:val="0"/>
                <w:bCs w:val="0"/>
                <w:sz w:val="21"/>
                <w:szCs w:val="21"/>
                <w:u w:val="single"/>
                <w:vertAlign w:val="baseline"/>
                <w:lang w:val="en-US" w:eastAsia="zh-CN"/>
              </w:rPr>
              <w:t xml:space="preserve">           30      </w:t>
            </w:r>
            <w:r>
              <w:rPr>
                <w:rFonts w:hint="eastAsia" w:ascii="宋体" w:hAnsi="宋体" w:eastAsia="宋体" w:cs="宋体"/>
                <w:b w:val="0"/>
                <w:bCs w:val="0"/>
                <w:sz w:val="21"/>
                <w:szCs w:val="21"/>
                <w:u w:val="none"/>
                <w:vertAlign w:val="baseline"/>
                <w:lang w:val="en-US" w:eastAsia="zh-CN"/>
              </w:rPr>
              <w:t>分</w:t>
            </w:r>
          </w:p>
          <w:p w14:paraId="7001287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其它评分因素：</w:t>
            </w:r>
            <w:r>
              <w:rPr>
                <w:rFonts w:hint="eastAsia" w:ascii="宋体" w:hAnsi="宋体" w:eastAsia="宋体" w:cs="宋体"/>
                <w:b w:val="0"/>
                <w:bCs w:val="0"/>
                <w:sz w:val="21"/>
                <w:szCs w:val="21"/>
                <w:u w:val="single"/>
                <w:vertAlign w:val="baseline"/>
                <w:lang w:val="en-US" w:eastAsia="zh-CN"/>
              </w:rPr>
              <w:t xml:space="preserve">     0    </w:t>
            </w:r>
            <w:r>
              <w:rPr>
                <w:rFonts w:hint="eastAsia" w:ascii="宋体" w:hAnsi="宋体" w:eastAsia="宋体" w:cs="宋体"/>
                <w:b w:val="0"/>
                <w:bCs w:val="0"/>
                <w:sz w:val="21"/>
                <w:szCs w:val="21"/>
                <w:u w:val="none"/>
                <w:vertAlign w:val="baseline"/>
                <w:lang w:val="en-US" w:eastAsia="zh-CN"/>
              </w:rPr>
              <w:t>分（如有）</w:t>
            </w:r>
          </w:p>
        </w:tc>
      </w:tr>
      <w:tr w14:paraId="11C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1F455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3.2（2）</w:t>
            </w:r>
          </w:p>
        </w:tc>
        <w:tc>
          <w:tcPr>
            <w:tcW w:w="1704" w:type="dxa"/>
            <w:vAlign w:val="center"/>
          </w:tcPr>
          <w:p w14:paraId="1FCFBB9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评审基准价计算方法</w:t>
            </w:r>
          </w:p>
        </w:tc>
        <w:tc>
          <w:tcPr>
            <w:tcW w:w="6614" w:type="dxa"/>
            <w:gridSpan w:val="2"/>
            <w:vAlign w:val="center"/>
          </w:tcPr>
          <w:p w14:paraId="53DE325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w:t>
            </w:r>
            <w:r>
              <w:rPr>
                <w:rFonts w:hint="eastAsia" w:ascii="宋体" w:hAnsi="宋体" w:eastAsia="宋体" w:cs="宋体"/>
                <w:sz w:val="21"/>
                <w:szCs w:val="21"/>
                <w:lang w:eastAsia="zh-CN"/>
              </w:rPr>
              <w:t>评审价格平均值（即通过初步评审的所有供应商评审价格的算术平均值）。</w:t>
            </w:r>
          </w:p>
          <w:p w14:paraId="3E8248F1">
            <w:pPr>
              <w:jc w:val="both"/>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77A250A6">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方法三：</w:t>
            </w:r>
            <w:r>
              <w:rPr>
                <w:rFonts w:hint="eastAsia" w:ascii="宋体" w:hAnsi="宋体" w:eastAsia="宋体" w:cs="宋体"/>
                <w:sz w:val="21"/>
                <w:szCs w:val="21"/>
                <w:lang w:eastAsia="zh-CN"/>
              </w:rPr>
              <w:t>通过初步评审的所有供应商的最低评审价格。</w:t>
            </w:r>
          </w:p>
          <w:p w14:paraId="4369B9A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方法四：具体方法为</w:t>
            </w:r>
            <w:r>
              <w:rPr>
                <w:rFonts w:hint="eastAsia" w:ascii="宋体" w:hAnsi="宋体" w:eastAsia="宋体" w:cs="宋体"/>
                <w:b w:val="0"/>
                <w:bCs w:val="0"/>
                <w:sz w:val="21"/>
                <w:szCs w:val="21"/>
                <w:u w:val="single"/>
                <w:vertAlign w:val="baseline"/>
                <w:lang w:val="en-US" w:eastAsia="zh-CN"/>
              </w:rPr>
              <w:t xml:space="preserve">                   </w:t>
            </w:r>
          </w:p>
        </w:tc>
      </w:tr>
      <w:tr w14:paraId="42C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57BE5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1704" w:type="dxa"/>
            <w:vAlign w:val="center"/>
          </w:tcPr>
          <w:p w14:paraId="0247C57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评分因素</w:t>
            </w:r>
          </w:p>
        </w:tc>
        <w:tc>
          <w:tcPr>
            <w:tcW w:w="6614" w:type="dxa"/>
            <w:gridSpan w:val="2"/>
            <w:vAlign w:val="center"/>
          </w:tcPr>
          <w:p w14:paraId="0F57761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评分标准</w:t>
            </w:r>
          </w:p>
        </w:tc>
      </w:tr>
      <w:tr w14:paraId="7D2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0FADF35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3.3（1）</w:t>
            </w:r>
          </w:p>
        </w:tc>
        <w:tc>
          <w:tcPr>
            <w:tcW w:w="1704" w:type="dxa"/>
            <w:vAlign w:val="center"/>
          </w:tcPr>
          <w:p w14:paraId="499F04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商务评分标准</w:t>
            </w:r>
          </w:p>
        </w:tc>
        <w:tc>
          <w:tcPr>
            <w:tcW w:w="2147" w:type="dxa"/>
            <w:vAlign w:val="center"/>
          </w:tcPr>
          <w:p w14:paraId="4B386113">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4467" w:type="dxa"/>
            <w:vAlign w:val="center"/>
          </w:tcPr>
          <w:p w14:paraId="1783B9B6">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2022年至2025年水土保持方案编制或监测项目</w:t>
            </w:r>
            <w:r>
              <w:rPr>
                <w:rFonts w:hint="eastAsia" w:ascii="宋体" w:hAnsi="宋体" w:eastAsia="宋体" w:cs="宋体"/>
                <w:sz w:val="21"/>
                <w:szCs w:val="21"/>
                <w:lang w:eastAsia="zh-CN"/>
              </w:rPr>
              <w:t>（提供合同书或中标通知书复印件为准）</w:t>
            </w:r>
            <w:r>
              <w:rPr>
                <w:rFonts w:hint="eastAsia" w:ascii="宋体" w:hAnsi="宋体" w:eastAsia="宋体" w:cs="宋体"/>
                <w:sz w:val="21"/>
                <w:szCs w:val="21"/>
                <w:lang w:val="en-US" w:eastAsia="zh-CN"/>
              </w:rPr>
              <w:t>每个</w:t>
            </w:r>
            <w:r>
              <w:rPr>
                <w:rFonts w:hint="eastAsia" w:ascii="宋体" w:hAnsi="宋体" w:eastAsia="宋体" w:cs="宋体"/>
                <w:sz w:val="21"/>
                <w:szCs w:val="21"/>
                <w:lang w:eastAsia="zh-CN"/>
              </w:rPr>
              <w:t>5分，满分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r>
      <w:tr w14:paraId="460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4C3982F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3.3（2）</w:t>
            </w:r>
          </w:p>
        </w:tc>
        <w:tc>
          <w:tcPr>
            <w:tcW w:w="1704" w:type="dxa"/>
            <w:vMerge w:val="restart"/>
            <w:vAlign w:val="center"/>
          </w:tcPr>
          <w:p w14:paraId="12C09C5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技术评分标准</w:t>
            </w:r>
          </w:p>
        </w:tc>
        <w:tc>
          <w:tcPr>
            <w:tcW w:w="2147" w:type="dxa"/>
            <w:vAlign w:val="center"/>
          </w:tcPr>
          <w:p w14:paraId="3C341085">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实施方案（</w:t>
            </w:r>
            <w:r>
              <w:rPr>
                <w:rFonts w:hint="eastAsia" w:ascii="宋体" w:hAnsi="宋体" w:eastAsia="宋体" w:cs="宋体"/>
                <w:bCs/>
                <w:color w:val="auto"/>
                <w:sz w:val="21"/>
                <w:szCs w:val="21"/>
                <w:lang w:val="en-US" w:eastAsia="zh-CN"/>
              </w:rPr>
              <w:t>25</w:t>
            </w:r>
            <w:r>
              <w:rPr>
                <w:rFonts w:hint="eastAsia" w:ascii="宋体" w:hAnsi="宋体" w:eastAsia="宋体" w:cs="宋体"/>
                <w:bCs/>
                <w:color w:val="auto"/>
                <w:sz w:val="21"/>
                <w:szCs w:val="21"/>
                <w:lang w:eastAsia="zh-CN"/>
              </w:rPr>
              <w:t>分）</w:t>
            </w:r>
          </w:p>
        </w:tc>
        <w:tc>
          <w:tcPr>
            <w:tcW w:w="4467" w:type="dxa"/>
            <w:vAlign w:val="center"/>
          </w:tcPr>
          <w:p w14:paraId="69BF53CF">
            <w:pPr>
              <w:spacing w:line="400" w:lineRule="exact"/>
              <w:ind w:firstLine="416" w:firstLineChars="200"/>
              <w:jc w:val="both"/>
              <w:rPr>
                <w:rFonts w:hint="eastAsia" w:ascii="宋体" w:hAnsi="宋体" w:eastAsia="宋体" w:cs="宋体"/>
                <w:spacing w:val="-1"/>
                <w:sz w:val="21"/>
                <w:szCs w:val="21"/>
                <w:lang w:eastAsia="zh-CN"/>
              </w:rPr>
            </w:pPr>
            <w:r>
              <w:rPr>
                <w:rFonts w:hint="eastAsia" w:hAnsi="宋体" w:eastAsia="宋体" w:cs="宋体"/>
                <w:spacing w:val="-1"/>
                <w:sz w:val="21"/>
                <w:szCs w:val="21"/>
                <w:lang w:val="en-US" w:eastAsia="zh-CN"/>
              </w:rPr>
              <w:t>优：</w:t>
            </w:r>
            <w:r>
              <w:rPr>
                <w:rFonts w:hint="eastAsia" w:ascii="宋体" w:hAnsi="宋体" w:eastAsia="宋体" w:cs="宋体"/>
                <w:sz w:val="21"/>
                <w:szCs w:val="21"/>
                <w:lang w:eastAsia="zh-CN"/>
              </w:rPr>
              <w:t>提供的方案合理可行且全面详细，对项目分析、理解准确到位，能良好满足项目需求，具体实施步骤和要求描述全面，实施方案完整</w:t>
            </w:r>
            <w:r>
              <w:rPr>
                <w:rFonts w:hint="eastAsia" w:ascii="宋体" w:hAnsi="宋体" w:eastAsia="宋体" w:cs="宋体"/>
                <w:spacing w:val="-1"/>
                <w:sz w:val="21"/>
                <w:szCs w:val="21"/>
                <w:lang w:eastAsia="zh-CN"/>
              </w:rPr>
              <w:t>的得</w:t>
            </w:r>
            <w:r>
              <w:rPr>
                <w:rFonts w:hint="eastAsia" w:ascii="宋体" w:hAnsi="宋体" w:eastAsia="宋体" w:cs="宋体"/>
                <w:spacing w:val="-1"/>
                <w:sz w:val="21"/>
                <w:szCs w:val="21"/>
                <w:lang w:val="en-US" w:eastAsia="zh-CN"/>
              </w:rPr>
              <w:t>25</w:t>
            </w:r>
            <w:r>
              <w:rPr>
                <w:rFonts w:hint="eastAsia" w:ascii="宋体" w:hAnsi="宋体" w:eastAsia="宋体" w:cs="宋体"/>
                <w:spacing w:val="-1"/>
                <w:sz w:val="21"/>
                <w:szCs w:val="21"/>
                <w:lang w:eastAsia="zh-CN"/>
              </w:rPr>
              <w:t>分。</w:t>
            </w:r>
          </w:p>
          <w:p w14:paraId="53A0E7FA">
            <w:pPr>
              <w:pStyle w:val="10"/>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良：</w:t>
            </w:r>
            <w:r>
              <w:rPr>
                <w:rFonts w:hint="eastAsia" w:hAnsi="宋体" w:eastAsia="宋体" w:cs="宋体"/>
                <w:sz w:val="21"/>
                <w:szCs w:val="21"/>
                <w:lang w:eastAsia="zh-CN"/>
              </w:rPr>
              <w:t>提供的方案合理可行，对项目分析、理解满足项目需求，具体实施步骤和要求描述较好，实施方案较完整</w:t>
            </w:r>
            <w:r>
              <w:rPr>
                <w:rFonts w:hint="eastAsia" w:hAnsi="宋体" w:eastAsia="宋体" w:cs="宋体"/>
                <w:spacing w:val="-1"/>
                <w:sz w:val="21"/>
                <w:szCs w:val="21"/>
                <w:lang w:eastAsia="zh-CN"/>
              </w:rPr>
              <w:t>的得</w:t>
            </w:r>
            <w:r>
              <w:rPr>
                <w:rFonts w:hint="eastAsia" w:hAnsi="宋体" w:eastAsia="宋体" w:cs="宋体"/>
                <w:spacing w:val="-1"/>
                <w:sz w:val="21"/>
                <w:szCs w:val="21"/>
                <w:lang w:val="en-US" w:eastAsia="zh-CN"/>
              </w:rPr>
              <w:t>18</w:t>
            </w:r>
            <w:r>
              <w:rPr>
                <w:rFonts w:hint="eastAsia" w:hAnsi="宋体" w:eastAsia="宋体" w:cs="宋体"/>
                <w:spacing w:val="-1"/>
                <w:sz w:val="21"/>
                <w:szCs w:val="21"/>
                <w:lang w:eastAsia="zh-CN"/>
              </w:rPr>
              <w:t>分；</w:t>
            </w:r>
          </w:p>
          <w:p w14:paraId="6D14BEA2">
            <w:pPr>
              <w:pStyle w:val="10"/>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中：</w:t>
            </w:r>
            <w:r>
              <w:rPr>
                <w:rFonts w:hint="eastAsia" w:hAnsi="宋体" w:eastAsia="宋体" w:cs="宋体"/>
                <w:sz w:val="21"/>
                <w:szCs w:val="21"/>
                <w:lang w:eastAsia="zh-CN"/>
              </w:rPr>
              <w:t>提供的方案基本可行，对项目分析、理解基本满足项目需求，具体实施步骤和要求描述简单，实施方案一般的</w:t>
            </w:r>
            <w:r>
              <w:rPr>
                <w:rFonts w:hint="eastAsia" w:hAnsi="宋体" w:eastAsia="宋体" w:cs="宋体"/>
                <w:spacing w:val="-1"/>
                <w:sz w:val="21"/>
                <w:szCs w:val="21"/>
                <w:lang w:eastAsia="zh-CN"/>
              </w:rPr>
              <w:t>得10分；</w:t>
            </w:r>
          </w:p>
          <w:p w14:paraId="586F8625">
            <w:pPr>
              <w:pStyle w:val="10"/>
              <w:spacing w:line="440" w:lineRule="exact"/>
              <w:ind w:firstLine="416" w:firstLineChars="20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次：</w:t>
            </w:r>
            <w:r>
              <w:rPr>
                <w:rFonts w:hint="eastAsia" w:hAnsi="宋体" w:eastAsia="宋体" w:cs="宋体"/>
                <w:sz w:val="21"/>
                <w:szCs w:val="21"/>
                <w:lang w:eastAsia="zh-CN"/>
              </w:rPr>
              <w:t>提供的方案基本可行，对项目分析、理解</w:t>
            </w:r>
            <w:r>
              <w:rPr>
                <w:rFonts w:hint="eastAsia" w:hAnsi="宋体" w:eastAsia="宋体" w:cs="宋体"/>
                <w:sz w:val="21"/>
                <w:szCs w:val="21"/>
                <w:lang w:val="en-US" w:eastAsia="zh-CN"/>
              </w:rPr>
              <w:t>与</w:t>
            </w:r>
            <w:r>
              <w:rPr>
                <w:rFonts w:hint="eastAsia" w:hAnsi="宋体" w:eastAsia="宋体" w:cs="宋体"/>
                <w:sz w:val="21"/>
                <w:szCs w:val="21"/>
                <w:lang w:eastAsia="zh-CN"/>
              </w:rPr>
              <w:t>项目需求</w:t>
            </w:r>
            <w:r>
              <w:rPr>
                <w:rFonts w:hint="eastAsia" w:hAnsi="宋体" w:eastAsia="宋体" w:cs="宋体"/>
                <w:sz w:val="21"/>
                <w:szCs w:val="21"/>
                <w:lang w:val="en-US" w:eastAsia="zh-CN"/>
              </w:rPr>
              <w:t>有差异</w:t>
            </w:r>
            <w:r>
              <w:rPr>
                <w:rFonts w:hint="eastAsia" w:hAnsi="宋体" w:eastAsia="宋体" w:cs="宋体"/>
                <w:sz w:val="21"/>
                <w:szCs w:val="21"/>
                <w:lang w:eastAsia="zh-CN"/>
              </w:rPr>
              <w:t>，具体实施步骤和要求描述</w:t>
            </w:r>
            <w:r>
              <w:rPr>
                <w:rFonts w:hint="eastAsia" w:hAnsi="宋体" w:eastAsia="宋体" w:cs="宋体"/>
                <w:sz w:val="21"/>
                <w:szCs w:val="21"/>
                <w:lang w:val="en-US" w:eastAsia="zh-CN"/>
              </w:rPr>
              <w:t>不到位</w:t>
            </w:r>
            <w:r>
              <w:rPr>
                <w:rFonts w:hint="eastAsia" w:hAnsi="宋体" w:eastAsia="宋体" w:cs="宋体"/>
                <w:sz w:val="21"/>
                <w:szCs w:val="21"/>
                <w:lang w:eastAsia="zh-CN"/>
              </w:rPr>
              <w:t>，实施方案一般的</w:t>
            </w:r>
            <w:r>
              <w:rPr>
                <w:rFonts w:hint="eastAsia" w:hAnsi="宋体" w:eastAsia="宋体" w:cs="宋体"/>
                <w:spacing w:val="-1"/>
                <w:sz w:val="21"/>
                <w:szCs w:val="21"/>
                <w:lang w:eastAsia="zh-CN"/>
              </w:rPr>
              <w:t>得</w:t>
            </w:r>
            <w:r>
              <w:rPr>
                <w:rFonts w:hint="eastAsia" w:hAnsi="宋体" w:eastAsia="宋体" w:cs="宋体"/>
                <w:spacing w:val="-1"/>
                <w:sz w:val="21"/>
                <w:szCs w:val="21"/>
                <w:lang w:val="en-US" w:eastAsia="zh-CN"/>
              </w:rPr>
              <w:t>5</w:t>
            </w:r>
            <w:r>
              <w:rPr>
                <w:rFonts w:hint="eastAsia" w:hAnsi="宋体" w:eastAsia="宋体" w:cs="宋体"/>
                <w:spacing w:val="-1"/>
                <w:sz w:val="21"/>
                <w:szCs w:val="21"/>
                <w:lang w:eastAsia="zh-CN"/>
              </w:rPr>
              <w:t>分</w:t>
            </w:r>
          </w:p>
          <w:p w14:paraId="746BEFAF">
            <w:pPr>
              <w:pStyle w:val="10"/>
              <w:spacing w:line="440" w:lineRule="exact"/>
              <w:ind w:firstLine="315" w:firstLineChars="150"/>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tc>
      </w:tr>
      <w:tr w14:paraId="03B3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EB915DF">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703C7302">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7164DA03">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售后服务承诺（</w:t>
            </w:r>
            <w:r>
              <w:rPr>
                <w:rFonts w:hint="eastAsia" w:ascii="宋体" w:hAnsi="宋体" w:eastAsia="宋体" w:cs="宋体"/>
                <w:bCs/>
                <w:color w:val="auto"/>
                <w:sz w:val="21"/>
                <w:szCs w:val="21"/>
                <w:lang w:val="en-US" w:eastAsia="zh-CN"/>
              </w:rPr>
              <w:t>2</w:t>
            </w:r>
            <w:r>
              <w:rPr>
                <w:rFonts w:hint="default" w:ascii="宋体" w:hAnsi="宋体" w:eastAsia="宋体" w:cs="宋体"/>
                <w:bCs/>
                <w:color w:val="auto"/>
                <w:sz w:val="21"/>
                <w:szCs w:val="21"/>
                <w:lang w:val="en-US" w:eastAsia="zh-CN"/>
              </w:rPr>
              <w:t>0</w:t>
            </w:r>
            <w:r>
              <w:rPr>
                <w:rFonts w:hint="eastAsia" w:ascii="宋体" w:hAnsi="宋体" w:eastAsia="宋体" w:cs="宋体"/>
                <w:bCs/>
                <w:color w:val="auto"/>
                <w:sz w:val="21"/>
                <w:szCs w:val="21"/>
                <w:lang w:eastAsia="zh-CN"/>
              </w:rPr>
              <w:t>分）</w:t>
            </w:r>
          </w:p>
        </w:tc>
        <w:tc>
          <w:tcPr>
            <w:tcW w:w="4467" w:type="dxa"/>
            <w:vAlign w:val="center"/>
          </w:tcPr>
          <w:p w14:paraId="2635219E">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优：</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完整，内容详细，</w:t>
            </w:r>
            <w:r>
              <w:rPr>
                <w:rFonts w:hint="eastAsia" w:ascii="宋体" w:hAnsi="宋体" w:eastAsia="宋体" w:cs="宋体"/>
                <w:sz w:val="21"/>
                <w:szCs w:val="21"/>
                <w:lang w:val="en-US" w:eastAsia="zh-CN"/>
              </w:rPr>
              <w:t>可行</w:t>
            </w:r>
            <w:r>
              <w:rPr>
                <w:rFonts w:hint="eastAsia" w:ascii="宋体" w:hAnsi="宋体" w:eastAsia="宋体" w:cs="宋体"/>
                <w:sz w:val="21"/>
                <w:szCs w:val="21"/>
                <w:lang w:eastAsia="zh-CN"/>
              </w:rPr>
              <w:t>性强，有专职人员得</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w:t>
            </w:r>
          </w:p>
          <w:p w14:paraId="51E76969">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良：</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较完整，可行性较强，承诺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内对出现的问题响应及时，</w:t>
            </w:r>
            <w:r>
              <w:rPr>
                <w:rFonts w:hint="eastAsia" w:ascii="宋体" w:hAnsi="宋体" w:eastAsia="宋体" w:cs="宋体"/>
                <w:sz w:val="21"/>
                <w:szCs w:val="21"/>
                <w:lang w:val="en-US" w:eastAsia="zh-CN"/>
              </w:rPr>
              <w:t>设有专职人员</w:t>
            </w:r>
            <w:r>
              <w:rPr>
                <w:rFonts w:hint="eastAsia" w:ascii="宋体" w:hAnsi="宋体" w:eastAsia="宋体" w:cs="宋体"/>
                <w:sz w:val="21"/>
                <w:szCs w:val="21"/>
                <w:lang w:eastAsia="zh-CN"/>
              </w:rPr>
              <w:t>得1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14:paraId="28586D8A">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val="en-US" w:eastAsia="zh-CN"/>
              </w:rPr>
              <w:t>一般，</w:t>
            </w:r>
            <w:r>
              <w:rPr>
                <w:rFonts w:hint="eastAsia" w:ascii="宋体" w:hAnsi="宋体" w:eastAsia="宋体" w:cs="宋体"/>
                <w:sz w:val="21"/>
                <w:szCs w:val="21"/>
                <w:lang w:eastAsia="zh-CN"/>
              </w:rPr>
              <w:t>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对出现的</w:t>
            </w:r>
            <w:r>
              <w:rPr>
                <w:rFonts w:hint="eastAsia" w:ascii="宋体" w:hAnsi="宋体" w:eastAsia="宋体" w:cs="宋体"/>
                <w:sz w:val="21"/>
                <w:szCs w:val="21"/>
                <w:lang w:val="en-US" w:eastAsia="zh-CN"/>
              </w:rPr>
              <w:t>问题作出响应得10分；</w:t>
            </w:r>
          </w:p>
          <w:p w14:paraId="5AF64BE6">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不完整，可行性不强得</w:t>
            </w:r>
            <w:r>
              <w:rPr>
                <w:rFonts w:hint="eastAsia" w:ascii="宋体" w:hAnsi="宋体" w:eastAsia="宋体" w:cs="宋体"/>
                <w:sz w:val="21"/>
                <w:szCs w:val="21"/>
                <w:lang w:val="en-US" w:eastAsia="zh-CN"/>
              </w:rPr>
              <w:t>5分；</w:t>
            </w:r>
          </w:p>
          <w:p w14:paraId="71092EF7">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1910FFA5">
            <w:pPr>
              <w:spacing w:line="400" w:lineRule="exact"/>
              <w:ind w:left="0" w:leftChars="0" w:right="0" w:rightChars="0" w:firstLine="420" w:firstLineChars="200"/>
              <w:jc w:val="both"/>
              <w:rPr>
                <w:rFonts w:hint="eastAsia" w:ascii="宋体" w:hAnsi="宋体" w:eastAsia="宋体" w:cs="宋体"/>
                <w:b w:val="0"/>
                <w:bCs w:val="0"/>
                <w:sz w:val="21"/>
                <w:szCs w:val="21"/>
                <w:u w:val="none"/>
                <w:vertAlign w:val="baseline"/>
                <w:lang w:val="en-US" w:eastAsia="zh-CN"/>
              </w:rPr>
            </w:pPr>
          </w:p>
        </w:tc>
      </w:tr>
      <w:tr w14:paraId="40C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693E739B">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2FAA2A36">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30442995">
            <w:pPr>
              <w:spacing w:line="400" w:lineRule="exact"/>
              <w:jc w:val="center"/>
              <w:rPr>
                <w:rFonts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拟投入人员情况</w:t>
            </w:r>
          </w:p>
          <w:p w14:paraId="094AD49B">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（15分）</w:t>
            </w:r>
          </w:p>
        </w:tc>
        <w:tc>
          <w:tcPr>
            <w:tcW w:w="4467" w:type="dxa"/>
            <w:vAlign w:val="center"/>
          </w:tcPr>
          <w:p w14:paraId="7BD48A20">
            <w:pPr>
              <w:spacing w:line="440" w:lineRule="exact"/>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拟投入本项目的</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eastAsia="zh-CN"/>
              </w:rPr>
              <w:t>具有高级职称以上</w:t>
            </w:r>
            <w:r>
              <w:rPr>
                <w:rFonts w:hint="eastAsia" w:ascii="宋体" w:hAnsi="宋体" w:eastAsia="宋体" w:cs="宋体"/>
                <w:sz w:val="21"/>
                <w:szCs w:val="21"/>
                <w:highlight w:val="none"/>
                <w:lang w:val="en-US" w:eastAsia="zh-CN"/>
              </w:rPr>
              <w:t>，得5分；</w:t>
            </w:r>
            <w:r>
              <w:rPr>
                <w:rFonts w:hint="eastAsia" w:ascii="宋体" w:hAnsi="宋体" w:eastAsia="宋体" w:cs="宋体"/>
                <w:sz w:val="21"/>
                <w:szCs w:val="21"/>
                <w:highlight w:val="none"/>
                <w:lang w:eastAsia="zh-CN"/>
              </w:rPr>
              <w:t>拟投入本项目技术人员（</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含项目负责人），具有高级职称以上（含）</w:t>
            </w:r>
            <w:r>
              <w:rPr>
                <w:rFonts w:hint="eastAsia" w:ascii="宋体" w:hAnsi="宋体" w:eastAsia="宋体" w:cs="宋体"/>
                <w:sz w:val="21"/>
                <w:szCs w:val="21"/>
                <w:highlight w:val="none"/>
                <w:lang w:val="en-US" w:eastAsia="zh-CN"/>
              </w:rPr>
              <w:t>每人得3分；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lang w:val="en-US" w:eastAsia="zh-CN"/>
              </w:rPr>
              <w:t>中级</w:t>
            </w:r>
            <w:r>
              <w:rPr>
                <w:rFonts w:hint="eastAsia" w:ascii="宋体" w:hAnsi="宋体" w:eastAsia="宋体" w:cs="宋体"/>
                <w:sz w:val="21"/>
                <w:szCs w:val="21"/>
                <w:highlight w:val="none"/>
                <w:lang w:eastAsia="zh-CN"/>
              </w:rPr>
              <w:t>职称以上（含）</w:t>
            </w:r>
            <w:r>
              <w:rPr>
                <w:rFonts w:hint="eastAsia" w:ascii="宋体" w:hAnsi="宋体" w:eastAsia="宋体" w:cs="宋体"/>
                <w:sz w:val="21"/>
                <w:szCs w:val="21"/>
                <w:highlight w:val="none"/>
                <w:lang w:val="en-US" w:eastAsia="zh-CN"/>
              </w:rPr>
              <w:t>，每人得2分；</w:t>
            </w:r>
            <w:r>
              <w:rPr>
                <w:rFonts w:hint="eastAsia" w:ascii="宋体" w:hAnsi="宋体" w:eastAsia="宋体" w:cs="宋体"/>
                <w:sz w:val="21"/>
                <w:szCs w:val="21"/>
                <w:highlight w:val="none"/>
                <w:lang w:eastAsia="zh-CN"/>
              </w:rPr>
              <w:t>本项满分15分。（不重复计算）</w:t>
            </w:r>
          </w:p>
          <w:p w14:paraId="6BB6123C">
            <w:pPr>
              <w:pStyle w:val="10"/>
              <w:spacing w:line="440" w:lineRule="exact"/>
              <w:ind w:firstLine="420"/>
              <w:jc w:val="both"/>
              <w:rPr>
                <w:rFonts w:hAnsi="宋体" w:eastAsia="宋体" w:cs="宋体"/>
                <w:kern w:val="2"/>
                <w:sz w:val="21"/>
                <w:szCs w:val="21"/>
                <w:lang w:eastAsia="zh-CN" w:bidi="ar-SA"/>
              </w:rPr>
            </w:pPr>
            <w:r>
              <w:rPr>
                <w:rFonts w:hint="eastAsia" w:hAnsi="宋体" w:eastAsia="宋体" w:cs="宋体"/>
                <w:kern w:val="2"/>
                <w:sz w:val="21"/>
                <w:szCs w:val="21"/>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15F248D7">
            <w:pPr>
              <w:spacing w:line="400" w:lineRule="exact"/>
              <w:ind w:left="0" w:leftChars="0" w:right="0" w:rightChars="0" w:firstLine="0" w:firstLineChars="0"/>
              <w:jc w:val="both"/>
              <w:rPr>
                <w:rFonts w:hint="eastAsia" w:ascii="宋体" w:hAnsi="宋体" w:eastAsia="宋体" w:cs="宋体"/>
                <w:b w:val="0"/>
                <w:bCs w:val="0"/>
                <w:sz w:val="21"/>
                <w:szCs w:val="21"/>
                <w:u w:val="none"/>
                <w:vertAlign w:val="baseline"/>
                <w:lang w:val="en-US" w:eastAsia="zh-CN"/>
              </w:rPr>
            </w:pPr>
          </w:p>
        </w:tc>
      </w:tr>
      <w:tr w14:paraId="63E2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992CD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3.3（3）</w:t>
            </w:r>
          </w:p>
        </w:tc>
        <w:tc>
          <w:tcPr>
            <w:tcW w:w="1704" w:type="dxa"/>
            <w:vAlign w:val="center"/>
          </w:tcPr>
          <w:p w14:paraId="0840C37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报价评分标准</w:t>
            </w:r>
          </w:p>
        </w:tc>
        <w:tc>
          <w:tcPr>
            <w:tcW w:w="6614" w:type="dxa"/>
            <w:gridSpan w:val="2"/>
            <w:vAlign w:val="center"/>
          </w:tcPr>
          <w:p w14:paraId="69D2ED5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方法一：E</w:t>
            </w:r>
            <w:r>
              <w:rPr>
                <w:rFonts w:hint="eastAsia" w:ascii="宋体" w:hAnsi="宋体" w:eastAsia="宋体" w:cs="宋体"/>
                <w:b w:val="0"/>
                <w:bCs w:val="0"/>
                <w:sz w:val="21"/>
                <w:szCs w:val="21"/>
                <w:u w:val="none"/>
                <w:vertAlign w:val="subscript"/>
                <w:lang w:val="en-US" w:eastAsia="zh-CN"/>
              </w:rPr>
              <w:t>1</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u w:val="none"/>
                <w:vertAlign w:val="baseline"/>
                <w:lang w:val="en-US" w:eastAsia="zh-CN"/>
              </w:rPr>
              <w:t>， E</w:t>
            </w:r>
            <w:r>
              <w:rPr>
                <w:rFonts w:hint="eastAsia" w:ascii="宋体" w:hAnsi="宋体" w:eastAsia="宋体" w:cs="宋体"/>
                <w:b w:val="0"/>
                <w:bCs w:val="0"/>
                <w:sz w:val="21"/>
                <w:szCs w:val="21"/>
                <w:u w:val="none"/>
                <w:vertAlign w:val="subscript"/>
                <w:lang w:val="en-US" w:eastAsia="zh-CN"/>
              </w:rPr>
              <w:t>2</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p>
          <w:p w14:paraId="5668A8E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低价优先法，报价得分=（通过初步评审的所有供应商的最低评审价格/供应商评审价格）×</w:t>
            </w:r>
            <w:r>
              <w:rPr>
                <w:rFonts w:hint="eastAsia" w:ascii="宋体" w:hAnsi="宋体" w:eastAsia="宋体" w:cs="宋体"/>
                <w:sz w:val="21"/>
                <w:szCs w:val="21"/>
                <w:lang w:val="en-US" w:eastAsia="zh-CN"/>
              </w:rPr>
              <w:t>30</w:t>
            </w:r>
          </w:p>
          <w:p w14:paraId="73B010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方法三：具体方法为：</w:t>
            </w:r>
            <w:r>
              <w:rPr>
                <w:rFonts w:hint="eastAsia" w:ascii="宋体" w:hAnsi="宋体" w:eastAsia="宋体" w:cs="宋体"/>
                <w:b w:val="0"/>
                <w:bCs w:val="0"/>
                <w:sz w:val="21"/>
                <w:szCs w:val="21"/>
                <w:u w:val="single"/>
                <w:vertAlign w:val="baseline"/>
                <w:lang w:val="en-US" w:eastAsia="zh-CN"/>
              </w:rPr>
              <w:t xml:space="preserve">                      </w:t>
            </w:r>
          </w:p>
        </w:tc>
      </w:tr>
      <w:tr w14:paraId="13D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362A39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3.3（4）</w:t>
            </w:r>
          </w:p>
        </w:tc>
        <w:tc>
          <w:tcPr>
            <w:tcW w:w="1704" w:type="dxa"/>
            <w:vAlign w:val="center"/>
          </w:tcPr>
          <w:p w14:paraId="7B0F088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其他因素评分标准</w:t>
            </w:r>
          </w:p>
        </w:tc>
        <w:tc>
          <w:tcPr>
            <w:tcW w:w="2147" w:type="dxa"/>
            <w:vAlign w:val="center"/>
          </w:tcPr>
          <w:p w14:paraId="13A316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c>
          <w:tcPr>
            <w:tcW w:w="4467" w:type="dxa"/>
            <w:vAlign w:val="center"/>
          </w:tcPr>
          <w:p w14:paraId="282D8FE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r>
      <w:tr w14:paraId="1E6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2953E9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w:t>
            </w:r>
          </w:p>
        </w:tc>
        <w:tc>
          <w:tcPr>
            <w:tcW w:w="1704" w:type="dxa"/>
            <w:vAlign w:val="center"/>
          </w:tcPr>
          <w:p w14:paraId="0CEC1C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条款内容</w:t>
            </w:r>
          </w:p>
        </w:tc>
        <w:tc>
          <w:tcPr>
            <w:tcW w:w="6614" w:type="dxa"/>
            <w:gridSpan w:val="2"/>
            <w:vAlign w:val="center"/>
          </w:tcPr>
          <w:p w14:paraId="7C6D212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编列内容</w:t>
            </w:r>
          </w:p>
        </w:tc>
      </w:tr>
      <w:tr w14:paraId="444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BE3761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3.6</w:t>
            </w:r>
          </w:p>
        </w:tc>
        <w:tc>
          <w:tcPr>
            <w:tcW w:w="1704" w:type="dxa"/>
            <w:vAlign w:val="center"/>
          </w:tcPr>
          <w:p w14:paraId="40FCB96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供应商并列时确定供应商优先顺序的规则</w:t>
            </w:r>
          </w:p>
        </w:tc>
        <w:tc>
          <w:tcPr>
            <w:tcW w:w="6614" w:type="dxa"/>
            <w:gridSpan w:val="2"/>
            <w:vAlign w:val="center"/>
          </w:tcPr>
          <w:p w14:paraId="3B5BBCB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由评审小组投票决定</w:t>
            </w:r>
          </w:p>
          <w:p w14:paraId="43CC773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由评审小组抽签决定</w:t>
            </w:r>
          </w:p>
          <w:p w14:paraId="0544D09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其他方法：</w:t>
            </w:r>
            <w:r>
              <w:rPr>
                <w:rFonts w:hint="eastAsia" w:ascii="宋体" w:hAnsi="宋体" w:eastAsia="宋体" w:cs="宋体"/>
                <w:b w:val="0"/>
                <w:bCs w:val="0"/>
                <w:sz w:val="21"/>
                <w:szCs w:val="21"/>
                <w:u w:val="single"/>
                <w:vertAlign w:val="baseline"/>
                <w:lang w:val="en-US" w:eastAsia="zh-CN"/>
              </w:rPr>
              <w:t xml:space="preserve">        </w:t>
            </w:r>
          </w:p>
        </w:tc>
      </w:tr>
    </w:tbl>
    <w:p w14:paraId="2D9E2EA6"/>
    <w:p w14:paraId="7617874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Cs w:val="24"/>
        </w:rPr>
      </w:pPr>
      <w:bookmarkStart w:id="344" w:name="_Toc15092"/>
      <w:bookmarkStart w:id="345" w:name="_Toc6671"/>
      <w:bookmarkStart w:id="346" w:name="_Toc3129"/>
      <w:bookmarkStart w:id="347" w:name="_Toc26627"/>
      <w:bookmarkStart w:id="348" w:name="_Toc30377"/>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评审方法（综合评分法）</w:t>
      </w:r>
      <w:bookmarkEnd w:id="344"/>
      <w:bookmarkEnd w:id="345"/>
      <w:bookmarkEnd w:id="346"/>
      <w:bookmarkEnd w:id="347"/>
      <w:bookmarkEnd w:id="348"/>
    </w:p>
    <w:p w14:paraId="30792B5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本次评审采用综合评分法。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按照本章第</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条</w:t>
      </w:r>
      <w:r>
        <w:rPr>
          <w:rFonts w:hint="eastAsia" w:ascii="宋体" w:hAnsi="宋体" w:eastAsia="宋体" w:cs="宋体"/>
          <w:color w:val="000000"/>
          <w:spacing w:val="0"/>
          <w:w w:val="100"/>
          <w:position w:val="0"/>
          <w:sz w:val="24"/>
          <w:szCs w:val="24"/>
        </w:rPr>
        <w:t>规定的评分标准进行打分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并按得分由高到低的顺序推荐候选成交供应商。</w:t>
      </w:r>
    </w:p>
    <w:p w14:paraId="65A8604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49" w:name="_Toc28537"/>
      <w:bookmarkStart w:id="350" w:name="_Toc29906"/>
      <w:bookmarkStart w:id="351" w:name="_Toc17370"/>
      <w:bookmarkStart w:id="352" w:name="_Toc12457"/>
      <w:bookmarkStart w:id="353" w:name="_Toc25380"/>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349"/>
      <w:bookmarkEnd w:id="350"/>
      <w:bookmarkEnd w:id="351"/>
      <w:bookmarkEnd w:id="352"/>
      <w:bookmarkEnd w:id="353"/>
    </w:p>
    <w:p w14:paraId="11032BE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4" w:name="_Toc17200"/>
      <w:bookmarkStart w:id="355" w:name="_Toc27730"/>
      <w:bookmarkStart w:id="356" w:name="_Toc26490"/>
      <w:bookmarkStart w:id="357" w:name="_Toc25579"/>
      <w:bookmarkStart w:id="358" w:name="_Toc1687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354"/>
      <w:bookmarkEnd w:id="355"/>
      <w:bookmarkEnd w:id="356"/>
      <w:bookmarkEnd w:id="357"/>
      <w:bookmarkEnd w:id="358"/>
    </w:p>
    <w:p w14:paraId="0C4FE6D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14:paraId="5888508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14:paraId="31601772">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14:paraId="24585449">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9" w:name="_Toc12376"/>
      <w:bookmarkStart w:id="360" w:name="_Toc12116"/>
      <w:bookmarkStart w:id="361" w:name="_Toc10625"/>
      <w:bookmarkStart w:id="362" w:name="_Toc17074"/>
      <w:bookmarkStart w:id="363" w:name="_Toc11161"/>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359"/>
      <w:bookmarkEnd w:id="360"/>
      <w:bookmarkEnd w:id="361"/>
      <w:bookmarkEnd w:id="362"/>
      <w:bookmarkEnd w:id="363"/>
    </w:p>
    <w:p w14:paraId="7E840E7E">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判断响应文件的形式是否符合要求、供应商是否符合资格条件、响应文件是否实质性响应采购文件的要求。只有以上评审合格的响应文件才可通过初步评审。</w:t>
      </w:r>
    </w:p>
    <w:p w14:paraId="512893A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en-US" w:bidi="en-US"/>
        </w:rPr>
        <w:t>2.2.2</w:t>
      </w:r>
      <w:r>
        <w:rPr>
          <w:rFonts w:hint="eastAsia" w:cs="宋体"/>
          <w:color w:val="auto"/>
          <w:spacing w:val="0"/>
          <w:w w:val="100"/>
          <w:position w:val="0"/>
          <w:sz w:val="24"/>
          <w:szCs w:val="24"/>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lang w:eastAsia="zh-CN"/>
        </w:rPr>
        <w:t>将被视为无效。</w:t>
      </w:r>
    </w:p>
    <w:p w14:paraId="7C8FEBC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各</w:t>
      </w:r>
      <w:r>
        <w:rPr>
          <w:rFonts w:hint="eastAsia" w:cs="宋体"/>
          <w:color w:val="000000"/>
          <w:spacing w:val="0"/>
          <w:w w:val="100"/>
          <w:position w:val="0"/>
          <w:sz w:val="24"/>
          <w:szCs w:val="24"/>
          <w:lang w:eastAsia="zh-CN"/>
        </w:rPr>
        <w:t>供应商在响应函</w:t>
      </w:r>
      <w:r>
        <w:rPr>
          <w:rFonts w:hint="eastAsia" w:cs="宋体"/>
          <w:color w:val="000000"/>
          <w:spacing w:val="0"/>
          <w:w w:val="100"/>
          <w:position w:val="0"/>
          <w:sz w:val="24"/>
          <w:szCs w:val="24"/>
          <w:lang w:val="en-US" w:eastAsia="zh-CN"/>
        </w:rPr>
        <w:t>或报价表</w:t>
      </w:r>
      <w:r>
        <w:rPr>
          <w:rFonts w:hint="eastAsia" w:cs="宋体"/>
          <w:color w:val="000000"/>
          <w:spacing w:val="0"/>
          <w:w w:val="100"/>
          <w:position w:val="0"/>
          <w:sz w:val="24"/>
          <w:szCs w:val="24"/>
          <w:lang w:eastAsia="zh-CN"/>
        </w:rPr>
        <w:t>中载明的税率相同的，以含税报价作为评审价格，税率不同的，以不含税报价作为评审价格。</w:t>
      </w:r>
    </w:p>
    <w:p w14:paraId="225A3BB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可能对其履约造成影响时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应当要求该供应商作岀书面说明并提供相应的证明材料。供应商不能合理说明或者不能提供相应证明材料的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2523516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评审小组可要求供应商在规定时间内进行澄清、说明和补正。供应商澄清、说明和补正的内容应由法定代表人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章。澄清、说明和补正不得超出响应文件的范围且不得改变响应文件的实质性内容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并构成响应文件的组成部分。</w:t>
      </w:r>
      <w:bookmarkStart w:id="364" w:name="bookmark1167"/>
      <w:bookmarkEnd w:id="364"/>
    </w:p>
    <w:p w14:paraId="6B7F28C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修正的</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价经</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书面确认后具有约束力。供应商不接受修正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其响应文件</w:t>
      </w:r>
      <w:r>
        <w:rPr>
          <w:rFonts w:hint="eastAsia" w:cs="宋体"/>
          <w:color w:val="000000"/>
          <w:spacing w:val="0"/>
          <w:w w:val="100"/>
          <w:position w:val="0"/>
          <w:sz w:val="24"/>
          <w:szCs w:val="24"/>
          <w:lang w:val="en-US" w:eastAsia="zh-CN"/>
        </w:rPr>
        <w:t>作</w:t>
      </w:r>
      <w:r>
        <w:rPr>
          <w:rFonts w:hint="eastAsia" w:ascii="宋体" w:hAnsi="宋体" w:eastAsia="宋体" w:cs="宋体"/>
          <w:color w:val="000000"/>
          <w:spacing w:val="0"/>
          <w:w w:val="100"/>
          <w:position w:val="0"/>
          <w:sz w:val="24"/>
          <w:szCs w:val="24"/>
        </w:rPr>
        <w:t>无效</w:t>
      </w:r>
      <w:r>
        <w:rPr>
          <w:rFonts w:hint="eastAsia" w:cs="宋体"/>
          <w:color w:val="000000"/>
          <w:spacing w:val="0"/>
          <w:w w:val="100"/>
          <w:position w:val="0"/>
          <w:sz w:val="24"/>
          <w:szCs w:val="24"/>
          <w:lang w:val="en-US" w:eastAsia="zh-CN"/>
        </w:rPr>
        <w:t>处理</w:t>
      </w:r>
      <w:r>
        <w:rPr>
          <w:rFonts w:hint="eastAsia" w:ascii="宋体" w:hAnsi="宋体" w:eastAsia="宋体" w:cs="宋体"/>
          <w:color w:val="000000"/>
          <w:spacing w:val="0"/>
          <w:w w:val="100"/>
          <w:position w:val="0"/>
          <w:sz w:val="24"/>
          <w:szCs w:val="24"/>
        </w:rPr>
        <w:t>：</w:t>
      </w:r>
    </w:p>
    <w:p w14:paraId="46BA909B">
      <w:pPr>
        <w:pStyle w:val="20"/>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大写金额与小写金额不一致的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以大写金额为准；</w:t>
      </w:r>
    </w:p>
    <w:p w14:paraId="3A3D7355">
      <w:pPr>
        <w:pStyle w:val="20"/>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总价金额与单价金额不一致的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以单价金额为准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但单价金额小数点有明显错误的除外；</w:t>
      </w:r>
    </w:p>
    <w:p w14:paraId="1FAFDEAA">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报价表中合计报价与分项报价的合价不一致的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以各分项报价的合价累计数为准；</w:t>
      </w:r>
    </w:p>
    <w:p w14:paraId="77AA6BD7">
      <w:pPr>
        <w:pStyle w:val="20"/>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如果分项报价中存在缺漏项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且缺漏项内容不属于实质性偏差的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则视为缺漏项内容的价格已包含在其他分项报价之中</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供应商应完成报价中</w:t>
      </w:r>
      <w:r>
        <w:rPr>
          <w:rFonts w:hint="eastAsia" w:ascii="宋体" w:hAnsi="宋体" w:eastAsia="宋体" w:cs="宋体"/>
          <w:color w:val="000000"/>
          <w:spacing w:val="0"/>
          <w:w w:val="100"/>
          <w:position w:val="0"/>
          <w:sz w:val="24"/>
          <w:szCs w:val="24"/>
        </w:rPr>
        <w:t>缺漏项内容</w:t>
      </w:r>
      <w:r>
        <w:rPr>
          <w:rFonts w:hint="eastAsia" w:cs="宋体"/>
          <w:color w:val="000000"/>
          <w:spacing w:val="0"/>
          <w:w w:val="100"/>
          <w:position w:val="0"/>
          <w:sz w:val="24"/>
          <w:szCs w:val="24"/>
          <w:lang w:val="en-US" w:eastAsia="zh-CN"/>
        </w:rPr>
        <w:t>的工作但结算时不予计价</w:t>
      </w:r>
      <w:r>
        <w:rPr>
          <w:rFonts w:hint="eastAsia" w:ascii="宋体" w:hAnsi="宋体" w:eastAsia="宋体" w:cs="宋体"/>
          <w:color w:val="000000"/>
          <w:spacing w:val="0"/>
          <w:w w:val="100"/>
          <w:position w:val="0"/>
          <w:sz w:val="24"/>
          <w:szCs w:val="24"/>
        </w:rPr>
        <w:t>。</w:t>
      </w:r>
    </w:p>
    <w:p w14:paraId="5A823D0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000000"/>
          <w:spacing w:val="0"/>
          <w:w w:val="100"/>
          <w:position w:val="0"/>
          <w:sz w:val="24"/>
          <w:szCs w:val="24"/>
          <w:lang w:val="en-US" w:eastAsia="zh-CN"/>
        </w:rPr>
      </w:pPr>
      <w:r>
        <w:rPr>
          <w:rFonts w:hint="eastAsia"/>
          <w:sz w:val="24"/>
          <w:szCs w:val="24"/>
          <w:lang w:eastAsia="zh-CN"/>
        </w:rPr>
        <w:t>修正的</w:t>
      </w:r>
      <w:r>
        <w:rPr>
          <w:rFonts w:hint="eastAsia"/>
          <w:b w:val="0"/>
          <w:bCs w:val="0"/>
          <w:sz w:val="24"/>
          <w:szCs w:val="24"/>
          <w:lang w:val="en-US" w:eastAsia="zh-CN"/>
        </w:rPr>
        <w:t>报</w:t>
      </w:r>
      <w:r>
        <w:rPr>
          <w:rFonts w:hint="eastAsia"/>
          <w:sz w:val="24"/>
          <w:szCs w:val="24"/>
          <w:lang w:eastAsia="zh-CN"/>
        </w:rPr>
        <w:t>价经供应商书面确认</w:t>
      </w:r>
      <w:r>
        <w:rPr>
          <w:rFonts w:hint="eastAsia"/>
          <w:b w:val="0"/>
          <w:bCs w:val="0"/>
          <w:sz w:val="24"/>
          <w:szCs w:val="24"/>
          <w:lang w:val="en-US" w:eastAsia="zh-CN"/>
        </w:rPr>
        <w:t>的，</w:t>
      </w:r>
      <w:r>
        <w:rPr>
          <w:rFonts w:hint="eastAsia" w:ascii="宋体" w:hAnsi="宋体" w:eastAsia="宋体" w:cs="宋体"/>
          <w:color w:val="000000"/>
          <w:spacing w:val="0"/>
          <w:w w:val="100"/>
          <w:position w:val="0"/>
          <w:sz w:val="24"/>
          <w:szCs w:val="24"/>
          <w:lang w:eastAsia="zh-CN"/>
        </w:rPr>
        <w:t>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lang w:eastAsia="zh-CN"/>
        </w:rPr>
        <w:t>价</w:t>
      </w:r>
      <w:r>
        <w:rPr>
          <w:rFonts w:hint="eastAsia" w:cs="宋体"/>
          <w:color w:val="000000"/>
          <w:spacing w:val="0"/>
          <w:w w:val="100"/>
          <w:position w:val="0"/>
          <w:sz w:val="24"/>
          <w:szCs w:val="24"/>
          <w:lang w:eastAsia="zh-CN"/>
        </w:rPr>
        <w:t>作为评审价格，</w:t>
      </w:r>
      <w:r>
        <w:rPr>
          <w:rFonts w:hint="eastAsia" w:cs="宋体"/>
          <w:color w:val="000000"/>
          <w:spacing w:val="0"/>
          <w:w w:val="100"/>
          <w:position w:val="0"/>
          <w:sz w:val="24"/>
          <w:szCs w:val="24"/>
          <w:lang w:val="en-US" w:eastAsia="zh-CN"/>
        </w:rPr>
        <w:t>按本章2.2.2项规定执行</w:t>
      </w:r>
      <w:r>
        <w:rPr>
          <w:rFonts w:hint="eastAsia" w:cs="宋体"/>
          <w:color w:val="000000"/>
          <w:spacing w:val="0"/>
          <w:w w:val="100"/>
          <w:position w:val="0"/>
          <w:sz w:val="24"/>
          <w:szCs w:val="24"/>
          <w:lang w:val="en-US" w:eastAsia="zh-CN" w:bidi="en-US"/>
        </w:rPr>
        <w:t>。</w:t>
      </w:r>
    </w:p>
    <w:p w14:paraId="6BFAD0E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CB022A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lang w:val="en-US" w:eastAsia="en-US" w:bidi="en-US"/>
        </w:rPr>
        <w:t>2.2.5</w:t>
      </w:r>
      <w:r>
        <w:rPr>
          <w:rFonts w:hint="eastAsia" w:cs="宋体"/>
          <w:color w:val="000000"/>
          <w:spacing w:val="0"/>
          <w:w w:val="100"/>
          <w:position w:val="0"/>
          <w:sz w:val="24"/>
          <w:szCs w:val="24"/>
          <w:highlight w:val="none"/>
          <w:lang w:val="en-US" w:eastAsia="zh-CN" w:bidi="en-US"/>
        </w:rPr>
        <w:t xml:space="preserve"> </w:t>
      </w:r>
      <w:r>
        <w:rPr>
          <w:rFonts w:hint="eastAsia" w:ascii="宋体" w:hAnsi="宋体" w:eastAsia="宋体" w:cs="宋体"/>
          <w:color w:val="000000"/>
          <w:spacing w:val="0"/>
          <w:w w:val="100"/>
          <w:position w:val="0"/>
          <w:sz w:val="24"/>
          <w:szCs w:val="24"/>
          <w:highlight w:val="none"/>
        </w:rPr>
        <w:t>特殊情形处理</w:t>
      </w:r>
    </w:p>
    <w:p w14:paraId="070231C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highlight w:val="none"/>
        </w:rPr>
      </w:pPr>
      <w:r>
        <w:rPr>
          <w:rFonts w:hint="eastAsia" w:cs="宋体"/>
          <w:color w:val="000000"/>
          <w:spacing w:val="0"/>
          <w:w w:val="100"/>
          <w:position w:val="0"/>
          <w:sz w:val="24"/>
          <w:szCs w:val="24"/>
          <w:highlight w:val="none"/>
          <w:lang w:val="en-US" w:eastAsia="zh-CN"/>
        </w:rPr>
        <w:t>通过</w:t>
      </w:r>
      <w:r>
        <w:rPr>
          <w:rFonts w:hint="eastAsia" w:ascii="宋体" w:hAnsi="宋体" w:eastAsia="宋体" w:cs="宋体"/>
          <w:color w:val="000000"/>
          <w:spacing w:val="0"/>
          <w:w w:val="100"/>
          <w:position w:val="0"/>
          <w:sz w:val="24"/>
          <w:szCs w:val="24"/>
          <w:highlight w:val="none"/>
        </w:rPr>
        <w:t>初步评审</w:t>
      </w:r>
      <w:r>
        <w:rPr>
          <w:rFonts w:hint="eastAsia" w:cs="宋体"/>
          <w:color w:val="000000"/>
          <w:spacing w:val="0"/>
          <w:w w:val="100"/>
          <w:position w:val="0"/>
          <w:sz w:val="24"/>
          <w:szCs w:val="24"/>
          <w:highlight w:val="none"/>
          <w:lang w:val="en-US" w:eastAsia="zh-CN"/>
        </w:rPr>
        <w:t>的供应商不足3家的</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评审小组应当终止评审。</w:t>
      </w:r>
    </w:p>
    <w:p w14:paraId="4FBC8262">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65" w:name="_Toc31474"/>
      <w:bookmarkStart w:id="366" w:name="_Toc7515"/>
      <w:bookmarkStart w:id="367" w:name="_Toc27987"/>
      <w:bookmarkStart w:id="368" w:name="_Toc3947"/>
      <w:bookmarkStart w:id="369" w:name="_Toc22006"/>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（综合评分法）</w:t>
      </w:r>
      <w:bookmarkEnd w:id="365"/>
      <w:bookmarkEnd w:id="366"/>
      <w:bookmarkEnd w:id="367"/>
      <w:bookmarkEnd w:id="368"/>
      <w:bookmarkEnd w:id="369"/>
    </w:p>
    <w:p w14:paraId="5F1BBEBC">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lang w:eastAsia="zh-CN"/>
        </w:rPr>
      </w:pPr>
      <w:bookmarkStart w:id="370" w:name="_Toc8241"/>
      <w:bookmarkStart w:id="371" w:name="_Toc21938"/>
      <w:bookmarkStart w:id="372" w:name="_Toc16091"/>
      <w:bookmarkStart w:id="373" w:name="_Toc329"/>
      <w:bookmarkStart w:id="374" w:name="_Toc16918"/>
      <w:r>
        <w:rPr>
          <w:rFonts w:hint="eastAsia" w:ascii="宋体" w:hAnsi="宋体" w:eastAsia="宋体" w:cs="宋体"/>
          <w:sz w:val="24"/>
          <w:szCs w:val="24"/>
          <w:lang w:val="en-US" w:eastAsia="en-US"/>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分值构成</w:t>
      </w:r>
      <w:bookmarkEnd w:id="370"/>
      <w:bookmarkEnd w:id="371"/>
      <w:bookmarkEnd w:id="372"/>
      <w:bookmarkEnd w:id="373"/>
      <w:bookmarkEnd w:id="374"/>
    </w:p>
    <w:p w14:paraId="5F59B2A8">
      <w:pPr>
        <w:pStyle w:val="20"/>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商务部分：见评审办法前附表；</w:t>
      </w:r>
    </w:p>
    <w:p w14:paraId="5CE4A17E">
      <w:pPr>
        <w:pStyle w:val="20"/>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技术部分：见评审办法前附表；</w:t>
      </w:r>
    </w:p>
    <w:p w14:paraId="5200309D">
      <w:pPr>
        <w:pStyle w:val="20"/>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报价：见评审办法前附表；</w:t>
      </w:r>
    </w:p>
    <w:p w14:paraId="395A61B6">
      <w:pPr>
        <w:pStyle w:val="20"/>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其他评分因素：见评审办法前附表。</w:t>
      </w:r>
    </w:p>
    <w:p w14:paraId="622A388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5" w:name="_Toc24597"/>
      <w:bookmarkStart w:id="376" w:name="_Toc9005"/>
      <w:bookmarkStart w:id="377" w:name="_Toc12991"/>
      <w:bookmarkStart w:id="378" w:name="_Toc27027"/>
      <w:bookmarkStart w:id="379" w:name="_Toc1810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评审基准价计算</w:t>
      </w:r>
      <w:bookmarkEnd w:id="375"/>
      <w:bookmarkEnd w:id="376"/>
      <w:bookmarkEnd w:id="377"/>
      <w:bookmarkEnd w:id="378"/>
      <w:bookmarkEnd w:id="379"/>
    </w:p>
    <w:p w14:paraId="1F56F364">
      <w:pPr>
        <w:pStyle w:val="20"/>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评审价格：评审价格为按照本章第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w:t>
      </w:r>
      <w:r>
        <w:rPr>
          <w:rFonts w:hint="eastAsia" w:cs="宋体"/>
          <w:color w:val="000000"/>
          <w:spacing w:val="0"/>
          <w:w w:val="100"/>
          <w:position w:val="0"/>
          <w:sz w:val="24"/>
          <w:szCs w:val="24"/>
          <w:lang w:val="en-US" w:eastAsia="zh-CN"/>
        </w:rPr>
        <w:t>和</w:t>
      </w: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项</w:t>
      </w:r>
      <w:r>
        <w:rPr>
          <w:rFonts w:hint="eastAsia" w:ascii="宋体" w:hAnsi="宋体" w:eastAsia="宋体" w:cs="宋体"/>
          <w:color w:val="000000"/>
          <w:spacing w:val="0"/>
          <w:w w:val="100"/>
          <w:position w:val="0"/>
          <w:sz w:val="24"/>
          <w:szCs w:val="24"/>
        </w:rPr>
        <w:t>规定确定的价格。</w:t>
      </w:r>
    </w:p>
    <w:p w14:paraId="3D0F89D3">
      <w:pPr>
        <w:pStyle w:val="20"/>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评审基准价计算方法：</w:t>
      </w:r>
    </w:p>
    <w:p w14:paraId="1D220F7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所有供应商评审价格的算术平均值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p>
    <w:p w14:paraId="764AAD2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审价格的算术平均值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评审基准价系数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评审基准价系数的取值见评审办法前附表。</w:t>
      </w:r>
    </w:p>
    <w:p w14:paraId="327D789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方法三：评审基准价=</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所有供应商的最低评审价格。</w:t>
      </w:r>
    </w:p>
    <w:p w14:paraId="0A44821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方法四：</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购人确定的其他方法。</w:t>
      </w:r>
    </w:p>
    <w:p w14:paraId="61CE721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评审基准价计算方法的选择见评审办法前附表。</w:t>
      </w:r>
    </w:p>
    <w:p w14:paraId="08899991">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0" w:name="_Toc11879"/>
      <w:bookmarkStart w:id="381" w:name="_Toc1536"/>
      <w:bookmarkStart w:id="382" w:name="_Toc30714"/>
      <w:bookmarkStart w:id="383" w:name="_Toc16613"/>
      <w:bookmarkStart w:id="384" w:name="_Toc1395"/>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评分标准</w:t>
      </w:r>
      <w:bookmarkEnd w:id="380"/>
      <w:bookmarkEnd w:id="381"/>
      <w:bookmarkEnd w:id="382"/>
      <w:bookmarkEnd w:id="383"/>
      <w:bookmarkEnd w:id="384"/>
    </w:p>
    <w:p w14:paraId="129A5305">
      <w:pPr>
        <w:pStyle w:val="20"/>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商务评分标准：见评审办法前附表；</w:t>
      </w:r>
    </w:p>
    <w:p w14:paraId="5C6FAFEC">
      <w:pPr>
        <w:pStyle w:val="20"/>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技术评分标准：见评审办法前附表；</w:t>
      </w:r>
    </w:p>
    <w:p w14:paraId="654CD919">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报价评分标准：</w:t>
      </w:r>
    </w:p>
    <w:p w14:paraId="401C47F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报价得分可采用如下方法计算：</w:t>
      </w:r>
    </w:p>
    <w:p w14:paraId="664143F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方法一：偏差率=</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供应商评审价格-评审基准价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p>
    <w:p w14:paraId="7DEC5AE4">
      <w:pPr>
        <w:pStyle w:val="20"/>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①</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w:t>
      </w:r>
      <w:r>
        <w:rPr>
          <w:rFonts w:hint="eastAsia" w:ascii="宋体" w:hAnsi="宋体" w:eastAsia="宋体" w:cs="宋体"/>
          <w:color w:val="000000"/>
          <w:spacing w:val="0"/>
          <w:w w:val="100"/>
          <w:position w:val="0"/>
          <w:sz w:val="24"/>
          <w:szCs w:val="24"/>
          <w:lang w:val="zh-CN" w:eastAsia="zh-CN" w:bidi="zh-CN"/>
        </w:rPr>
        <w:t>价格</w:t>
      </w:r>
      <w:r>
        <w:rPr>
          <w:rFonts w:hint="eastAsia"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w:t>
      </w:r>
    </w:p>
    <w:p w14:paraId="6439EB7D">
      <w:pPr>
        <w:pStyle w:val="20"/>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如果供应商的评审价格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100</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w:t>
      </w:r>
    </w:p>
    <w:p w14:paraId="2CFE9A0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规定的报价所占的分值；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是评审价格每高于评审基准价一个百分点的扣分值、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2</w:t>
      </w:r>
      <w:r>
        <w:rPr>
          <w:rFonts w:hint="eastAsia" w:ascii="宋体" w:hAnsi="宋体" w:eastAsia="宋体" w:cs="宋体"/>
          <w:color w:val="000000"/>
          <w:spacing w:val="0"/>
          <w:w w:val="100"/>
          <w:position w:val="0"/>
          <w:sz w:val="24"/>
          <w:szCs w:val="24"/>
        </w:rPr>
        <w:t>是评审价格每低于评审基准价一个百分点的扣分值,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可大于或等于</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的取值见评审办法前附表。</w:t>
      </w:r>
    </w:p>
    <w:p w14:paraId="19B00D1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方法二：报价得分=</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的所有供应商的最低评审价格/供应商评审价格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rPr>
        <w:t>×</w:t>
      </w:r>
      <w:r>
        <w:rPr>
          <w:rFonts w:hint="eastAsia" w:ascii="宋体" w:hAnsi="宋体" w:eastAsia="宋体" w:cs="宋体"/>
          <w:color w:val="000000"/>
          <w:spacing w:val="0"/>
          <w:w w:val="100"/>
          <w:position w:val="0"/>
          <w:sz w:val="24"/>
          <w:szCs w:val="24"/>
          <w:lang w:val="en-US" w:eastAsia="en-US" w:bidi="en-US"/>
        </w:rPr>
        <w:t>F</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目规定的报价所占的分值。</w:t>
      </w:r>
    </w:p>
    <w:p w14:paraId="4B308A0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方法三：采购人确定的其他方法。</w:t>
      </w:r>
    </w:p>
    <w:p w14:paraId="418FAA9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报价得分计算方法见评审办法前附表。</w:t>
      </w:r>
    </w:p>
    <w:p w14:paraId="18953A96">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其他因素评分标准：见评审办法前附表。</w:t>
      </w:r>
    </w:p>
    <w:p w14:paraId="345DABEE">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5" w:name="_Toc7929"/>
      <w:bookmarkStart w:id="386" w:name="_Toc27703"/>
      <w:bookmarkStart w:id="387" w:name="_Toc17402"/>
      <w:bookmarkStart w:id="388" w:name="_Toc6240"/>
      <w:bookmarkStart w:id="389" w:name="_Toc23225"/>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w:t>
      </w:r>
      <w:bookmarkEnd w:id="385"/>
      <w:bookmarkEnd w:id="386"/>
      <w:bookmarkEnd w:id="387"/>
      <w:bookmarkEnd w:id="388"/>
      <w:bookmarkEnd w:id="389"/>
    </w:p>
    <w:p w14:paraId="4F2730C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小组成员按照评分标准独立对供应商的商务、技术和其他因素进行评分。报价评分由</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小组统一计算。各项得分汇总后为该成员给供应商的评分总分。评分分值计算保留小数点后两位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小数点后第三位</w:t>
      </w:r>
      <w:r>
        <w:rPr>
          <w:rFonts w:hint="eastAsia" w:ascii="宋体" w:hAnsi="宋体" w:eastAsia="宋体" w:cs="宋体"/>
          <w:color w:val="000000"/>
          <w:spacing w:val="0"/>
          <w:w w:val="100"/>
          <w:position w:val="0"/>
          <w:sz w:val="24"/>
          <w:szCs w:val="24"/>
          <w:lang w:val="zh-CN" w:eastAsia="zh-CN" w:bidi="zh-CN"/>
        </w:rPr>
        <w:t>“四</w:t>
      </w:r>
      <w:r>
        <w:rPr>
          <w:rFonts w:hint="eastAsia" w:ascii="宋体" w:hAnsi="宋体" w:eastAsia="宋体" w:cs="宋体"/>
          <w:color w:val="000000"/>
          <w:spacing w:val="0"/>
          <w:w w:val="100"/>
          <w:position w:val="0"/>
          <w:sz w:val="24"/>
          <w:szCs w:val="24"/>
        </w:rPr>
        <w:t>舍五入”。</w:t>
      </w:r>
    </w:p>
    <w:p w14:paraId="45F1B71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90" w:name="_Toc15811"/>
      <w:bookmarkStart w:id="391" w:name="_Toc11904"/>
      <w:bookmarkStart w:id="392" w:name="_Toc15869"/>
      <w:bookmarkStart w:id="393" w:name="_Toc7510"/>
      <w:bookmarkStart w:id="394" w:name="_Toc115"/>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汇总</w:t>
      </w:r>
      <w:bookmarkEnd w:id="390"/>
      <w:bookmarkEnd w:id="391"/>
      <w:bookmarkEnd w:id="392"/>
      <w:bookmarkEnd w:id="393"/>
      <w:bookmarkEnd w:id="394"/>
    </w:p>
    <w:p w14:paraId="71C1D52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小组汇总每个成员对供应商的评分总分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每个供应商的评分总分的算术平均值为供应商最终得分。</w:t>
      </w:r>
    </w:p>
    <w:p w14:paraId="77041A1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95" w:name="_Toc11025"/>
      <w:bookmarkStart w:id="396" w:name="_Toc32147"/>
      <w:bookmarkStart w:id="397" w:name="_Toc27607"/>
      <w:bookmarkStart w:id="398" w:name="_Toc2645"/>
      <w:bookmarkStart w:id="399" w:name="_Toc476"/>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排序</w:t>
      </w:r>
      <w:bookmarkEnd w:id="395"/>
      <w:bookmarkEnd w:id="396"/>
      <w:bookmarkEnd w:id="397"/>
      <w:bookmarkEnd w:id="398"/>
      <w:bookmarkEnd w:id="399"/>
    </w:p>
    <w:p w14:paraId="1C6F393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小组对供应商最终得分进行比较后</w:t>
      </w:r>
      <w:r>
        <w:rPr>
          <w:rFonts w:hint="eastAsia" w:cs="宋体"/>
          <w:color w:val="000000"/>
          <w:spacing w:val="0"/>
          <w:w w:val="100"/>
          <w:position w:val="0"/>
          <w:sz w:val="24"/>
          <w:szCs w:val="24"/>
          <w:lang w:eastAsia="zh-CN"/>
        </w:rPr>
        <w:t>，可以</w:t>
      </w:r>
      <w:r>
        <w:rPr>
          <w:rFonts w:hint="eastAsia" w:ascii="宋体" w:hAnsi="宋体" w:eastAsia="宋体" w:cs="宋体"/>
          <w:color w:val="000000"/>
          <w:spacing w:val="0"/>
          <w:w w:val="100"/>
          <w:position w:val="0"/>
          <w:sz w:val="24"/>
          <w:szCs w:val="24"/>
        </w:rPr>
        <w:t>按照供应商最终得分由高到低的顺序对供应商排序。最终得分相等时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以评审价格低的优先；评审价格也相等的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以技术得分高的优先；如果技术得分也相等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按照评审办法前附表的规定确定供应商优先顺序。</w:t>
      </w:r>
    </w:p>
    <w:p w14:paraId="62C01E8E">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400" w:name="_Toc13841"/>
      <w:bookmarkStart w:id="401" w:name="_Toc6582"/>
      <w:bookmarkStart w:id="402" w:name="_Toc2422"/>
      <w:bookmarkStart w:id="403" w:name="_Toc8610"/>
      <w:bookmarkStart w:id="404" w:name="_Toc11695"/>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400"/>
      <w:bookmarkEnd w:id="401"/>
      <w:bookmarkEnd w:id="402"/>
      <w:bookmarkEnd w:id="403"/>
      <w:bookmarkEnd w:id="404"/>
    </w:p>
    <w:p w14:paraId="708F36F5">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05" w:name="_Toc29624"/>
      <w:bookmarkStart w:id="406" w:name="_Toc23600"/>
      <w:bookmarkStart w:id="407" w:name="_Toc1529"/>
      <w:bookmarkStart w:id="408" w:name="_Toc21408"/>
      <w:bookmarkStart w:id="409" w:name="_Toc30393"/>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405"/>
      <w:bookmarkEnd w:id="406"/>
      <w:bookmarkEnd w:id="407"/>
      <w:bookmarkEnd w:id="408"/>
      <w:bookmarkEnd w:id="409"/>
    </w:p>
    <w:p w14:paraId="0753F92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应当向采购人递交书面评审报告。</w:t>
      </w:r>
    </w:p>
    <w:p w14:paraId="1BABA412">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10" w:name="_Toc29380"/>
      <w:bookmarkStart w:id="411" w:name="_Toc28429"/>
      <w:bookmarkStart w:id="412" w:name="_Toc9364"/>
      <w:bookmarkStart w:id="413" w:name="_Toc23961"/>
      <w:bookmarkStart w:id="414" w:name="_Toc29612"/>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410"/>
      <w:bookmarkEnd w:id="411"/>
      <w:bookmarkEnd w:id="412"/>
      <w:bookmarkEnd w:id="413"/>
      <w:bookmarkEnd w:id="414"/>
    </w:p>
    <w:p w14:paraId="3E8334E2">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lang w:eastAsia="zh-CN"/>
        </w:rPr>
        <w:t>小组应在书面评审报告中按照供应商排列的优先顺序向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lang w:eastAsia="zh-CN"/>
        </w:rPr>
        <w:t>购人推荐候选成交供应商</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highlight w:val="none"/>
          <w:lang w:val="en-US" w:eastAsia="zh-CN"/>
        </w:rPr>
        <w:t>除</w:t>
      </w:r>
      <w:r>
        <w:rPr>
          <w:rFonts w:hint="eastAsia" w:ascii="宋体" w:hAnsi="宋体" w:eastAsia="宋体" w:cs="宋体"/>
          <w:color w:val="000000"/>
          <w:spacing w:val="0"/>
          <w:w w:val="100"/>
          <w:position w:val="0"/>
          <w:sz w:val="24"/>
          <w:szCs w:val="24"/>
          <w:lang w:eastAsia="zh-CN"/>
        </w:rPr>
        <w:t>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lang w:eastAsia="zh-CN"/>
        </w:rPr>
        <w:t>应商须知”</w:t>
      </w:r>
      <w:r>
        <w:rPr>
          <w:rFonts w:hint="eastAsia" w:cs="宋体"/>
          <w:color w:val="000000"/>
          <w:spacing w:val="0"/>
          <w:w w:val="100"/>
          <w:position w:val="0"/>
          <w:sz w:val="24"/>
          <w:szCs w:val="24"/>
          <w:highlight w:val="none"/>
          <w:lang w:val="en-US" w:eastAsia="zh-CN"/>
        </w:rPr>
        <w:t>中对</w:t>
      </w:r>
      <w:r>
        <w:rPr>
          <w:rFonts w:hint="eastAsia" w:ascii="宋体" w:hAnsi="宋体" w:eastAsia="宋体" w:cs="宋体"/>
          <w:color w:val="000000"/>
          <w:spacing w:val="0"/>
          <w:w w:val="100"/>
          <w:position w:val="0"/>
          <w:sz w:val="24"/>
          <w:szCs w:val="24"/>
          <w:lang w:eastAsia="zh-CN"/>
        </w:rPr>
        <w:t>候选成交供应商</w:t>
      </w:r>
      <w:r>
        <w:rPr>
          <w:rFonts w:hint="eastAsia" w:cs="宋体"/>
          <w:color w:val="000000"/>
          <w:spacing w:val="0"/>
          <w:w w:val="100"/>
          <w:position w:val="0"/>
          <w:sz w:val="24"/>
          <w:szCs w:val="24"/>
          <w:highlight w:val="none"/>
          <w:lang w:val="en-US" w:eastAsia="zh-CN"/>
        </w:rPr>
        <w:t>数量有规定外，一般不少于3家</w:t>
      </w:r>
      <w:r>
        <w:rPr>
          <w:rFonts w:hint="eastAsia" w:ascii="宋体" w:hAnsi="宋体" w:eastAsia="宋体" w:cs="宋体"/>
          <w:color w:val="000000"/>
          <w:spacing w:val="0"/>
          <w:w w:val="100"/>
          <w:position w:val="0"/>
          <w:sz w:val="24"/>
          <w:szCs w:val="24"/>
          <w:lang w:eastAsia="zh-CN"/>
        </w:rPr>
        <w:t>。</w:t>
      </w:r>
    </w:p>
    <w:p w14:paraId="42D96F9F">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7EB338D">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B285445">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692CF92">
      <w:pPr>
        <w:pStyle w:val="2"/>
        <w:bidi w:val="0"/>
        <w:jc w:val="center"/>
        <w:rPr>
          <w:rFonts w:hint="eastAsia" w:ascii="宋体" w:hAnsi="宋体" w:eastAsia="宋体" w:cs="宋体"/>
          <w:color w:val="000000"/>
          <w:spacing w:val="0"/>
          <w:w w:val="100"/>
          <w:position w:val="0"/>
          <w:sz w:val="52"/>
          <w:szCs w:val="52"/>
          <w:lang w:val="en-US" w:eastAsia="zh-CN"/>
        </w:rPr>
      </w:pPr>
      <w:bookmarkStart w:id="415" w:name="_Toc1259"/>
      <w:bookmarkStart w:id="416" w:name="_Toc7315"/>
      <w:bookmarkStart w:id="417" w:name="_Toc32210"/>
      <w:bookmarkStart w:id="418" w:name="_Toc29622"/>
      <w:bookmarkStart w:id="419" w:name="_Toc6678"/>
      <w:r>
        <w:rPr>
          <w:rFonts w:hint="eastAsia" w:ascii="宋体" w:hAnsi="宋体" w:eastAsia="宋体" w:cs="宋体"/>
          <w:sz w:val="52"/>
          <w:szCs w:val="52"/>
          <w:lang w:val="en-US" w:eastAsia="zh-CN"/>
        </w:rPr>
        <w:t>第四章   合同条款及格式</w:t>
      </w:r>
      <w:bookmarkEnd w:id="415"/>
      <w:bookmarkEnd w:id="416"/>
      <w:bookmarkEnd w:id="417"/>
      <w:bookmarkEnd w:id="418"/>
      <w:bookmarkEnd w:id="419"/>
    </w:p>
    <w:p w14:paraId="4B3A0BE4">
      <w:pPr>
        <w:bidi w:val="0"/>
        <w:jc w:val="center"/>
        <w:rPr>
          <w:rFonts w:hint="eastAsia" w:eastAsia="宋体"/>
          <w:lang w:eastAsia="zh-CN"/>
        </w:rPr>
      </w:pPr>
      <w:r>
        <w:rPr>
          <w:rFonts w:hint="eastAsia" w:eastAsia="宋体"/>
          <w:lang w:eastAsia="zh-CN"/>
        </w:rPr>
        <w:t>（略）</w:t>
      </w:r>
    </w:p>
    <w:p w14:paraId="106FC749">
      <w:pPr>
        <w:bidi w:val="0"/>
        <w:rPr>
          <w:rFonts w:hint="eastAsia"/>
        </w:rPr>
      </w:pPr>
    </w:p>
    <w:p w14:paraId="3F12F967">
      <w:pPr>
        <w:bidi w:val="0"/>
        <w:rPr>
          <w:rFonts w:hint="eastAsia"/>
        </w:rPr>
        <w:sectPr>
          <w:headerReference r:id="rId10" w:type="default"/>
          <w:footerReference r:id="rId12" w:type="default"/>
          <w:headerReference r:id="rId11" w:type="even"/>
          <w:footerReference r:id="rId13"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7D72B9D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2C0A22">
      <w:pPr>
        <w:pStyle w:val="2"/>
        <w:numPr>
          <w:ilvl w:val="0"/>
          <w:numId w:val="3"/>
        </w:numPr>
        <w:bidi w:val="0"/>
        <w:jc w:val="center"/>
        <w:rPr>
          <w:rFonts w:hint="eastAsia" w:ascii="宋体" w:hAnsi="宋体" w:eastAsia="宋体" w:cs="宋体"/>
          <w:sz w:val="52"/>
          <w:szCs w:val="52"/>
          <w:lang w:val="en-US" w:eastAsia="zh-CN"/>
        </w:rPr>
      </w:pPr>
      <w:bookmarkStart w:id="420" w:name="_Toc21777"/>
      <w:bookmarkStart w:id="421" w:name="_Toc14531"/>
      <w:bookmarkStart w:id="422" w:name="_Toc29502"/>
      <w:bookmarkStart w:id="423" w:name="_Toc26001"/>
      <w:r>
        <w:rPr>
          <w:rFonts w:hint="eastAsia" w:ascii="宋体" w:hAnsi="宋体" w:eastAsia="宋体" w:cs="宋体"/>
          <w:sz w:val="52"/>
          <w:szCs w:val="52"/>
          <w:lang w:val="en-US" w:eastAsia="zh-CN"/>
        </w:rPr>
        <w:t xml:space="preserve">  </w:t>
      </w:r>
      <w:bookmarkStart w:id="424" w:name="_Toc21844"/>
      <w:r>
        <w:rPr>
          <w:rFonts w:hint="eastAsia" w:ascii="宋体" w:hAnsi="宋体" w:eastAsia="宋体" w:cs="宋体"/>
          <w:sz w:val="52"/>
          <w:szCs w:val="52"/>
          <w:lang w:val="en-US" w:eastAsia="zh-CN"/>
        </w:rPr>
        <w:t>采购需求</w:t>
      </w:r>
      <w:bookmarkEnd w:id="420"/>
      <w:bookmarkEnd w:id="421"/>
      <w:bookmarkEnd w:id="422"/>
      <w:bookmarkEnd w:id="423"/>
      <w:bookmarkEnd w:id="424"/>
    </w:p>
    <w:p w14:paraId="7C0ACCA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4EDB1F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30504">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9EEECB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0FD52D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D5FADE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FE76EC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2DF82B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6984FA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CD9AF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18DE6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34984C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ED446B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5898AA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1A0274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1257F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FF1943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314C96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7E9F2D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9424E3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F8A0B2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2B3DCF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4A61DF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956D39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B440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3506FE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E5EC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A52093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95736D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5E529C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7914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283B01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D58575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DADA4A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BFE8CEA">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435054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33621B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71E9BF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5DD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CE0C6A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41E4C91">
      <w:pPr>
        <w:keepNext w:val="0"/>
        <w:keepLines w:val="0"/>
        <w:widowControl w:val="0"/>
        <w:numPr>
          <w:ilvl w:val="0"/>
          <w:numId w:val="0"/>
        </w:numPr>
        <w:shd w:val="clear" w:color="auto" w:fill="auto"/>
        <w:bidi w:val="0"/>
        <w:spacing w:before="0" w:after="0" w:line="240" w:lineRule="auto"/>
        <w:ind w:right="0" w:rightChars="0"/>
        <w:jc w:val="left"/>
        <w:rPr>
          <w:rFonts w:hint="eastAsia"/>
        </w:rPr>
      </w:pPr>
    </w:p>
    <w:tbl>
      <w:tblPr>
        <w:tblStyle w:val="1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14:paraId="5AE621A1">
            <w:pPr>
              <w:widowControl/>
              <w:adjustRightInd w:val="0"/>
              <w:snapToGrid w:val="0"/>
              <w:jc w:val="center"/>
              <w:textAlignment w:val="center"/>
              <w:rPr>
                <w:rFonts w:ascii="宋体" w:hAnsi="宋体" w:eastAsia="宋体" w:cs="宋体"/>
                <w:b/>
                <w:color w:val="auto"/>
                <w:kern w:val="2"/>
                <w:sz w:val="21"/>
                <w:szCs w:val="21"/>
                <w:lang w:eastAsia="zh-CN" w:bidi="ar-SA"/>
              </w:rPr>
            </w:pPr>
          </w:p>
        </w:tc>
        <w:tc>
          <w:tcPr>
            <w:tcW w:w="7519" w:type="dxa"/>
            <w:vAlign w:val="center"/>
          </w:tcPr>
          <w:p w14:paraId="49A4F96D">
            <w:pPr>
              <w:spacing w:line="360" w:lineRule="auto"/>
              <w:rPr>
                <w:rFonts w:hint="default" w:ascii="宋体" w:hAnsi="宋体" w:eastAsia="宋体" w:cs="宋体"/>
                <w:b/>
                <w:color w:val="auto"/>
                <w:kern w:val="2"/>
                <w:sz w:val="21"/>
                <w:szCs w:val="21"/>
                <w:lang w:val="en-US"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交付使用期：签订合同30日内提交</w:t>
            </w:r>
            <w:r>
              <w:rPr>
                <w:rFonts w:hint="eastAsia" w:ascii="宋体" w:hAnsi="宋体" w:eastAsia="宋体" w:cs="宋体"/>
                <w:lang w:val="en-US" w:eastAsia="zh-CN"/>
              </w:rPr>
              <w:t>水土保持方案</w:t>
            </w:r>
            <w:r>
              <w:rPr>
                <w:rFonts w:hint="eastAsia" w:ascii="宋体" w:hAnsi="宋体" w:eastAsia="宋体" w:cs="宋体"/>
                <w:lang w:eastAsia="zh-CN"/>
              </w:rPr>
              <w:t>。</w:t>
            </w:r>
            <w:r>
              <w:rPr>
                <w:rFonts w:hint="eastAsia" w:ascii="宋体" w:hAnsi="宋体" w:eastAsia="宋体" w:cs="宋体"/>
                <w:lang w:val="en-US" w:eastAsia="zh-CN"/>
              </w:rPr>
              <w:t>施工结束后10日内完成水土保持监测。</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4ACC73C6">
            <w:pPr>
              <w:widowControl/>
              <w:numPr>
                <w:ilvl w:val="0"/>
                <w:numId w:val="4"/>
              </w:numPr>
              <w:spacing w:beforeAutospacing="1" w:afterAutospacing="1"/>
              <w:rPr>
                <w:rFonts w:ascii="宋体" w:hAnsi="宋体" w:eastAsia="宋体" w:cs="宋体"/>
                <w:lang w:eastAsia="zh-CN"/>
              </w:rPr>
            </w:pPr>
            <w:r>
              <w:rPr>
                <w:rFonts w:hint="eastAsia" w:ascii="宋体" w:hAnsi="宋体" w:eastAsia="宋体" w:cs="宋体"/>
                <w:lang w:eastAsia="zh-CN"/>
              </w:rPr>
              <w:t>本工程无预付款。</w:t>
            </w:r>
            <w:r>
              <w:rPr>
                <w:rFonts w:hint="eastAsia" w:ascii="宋体" w:hAnsi="宋体" w:eastAsia="宋体" w:cs="宋体"/>
                <w:lang w:val="en-US" w:eastAsia="zh-CN"/>
              </w:rPr>
              <w:t>完成水土保持方案编制支付50%款项，完成水土保持监测支付余下50%款项。</w:t>
            </w:r>
          </w:p>
          <w:p w14:paraId="20824D25">
            <w:pPr>
              <w:widowControl/>
              <w:numPr>
                <w:ilvl w:val="0"/>
                <w:numId w:val="4"/>
              </w:numPr>
              <w:spacing w:beforeAutospacing="1" w:afterAutospacing="1"/>
              <w:rPr>
                <w:rFonts w:ascii="宋体" w:hAnsi="宋体" w:eastAsia="宋体" w:cs="宋体"/>
                <w:lang w:eastAsia="zh-CN"/>
              </w:rPr>
            </w:pP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2BDC7360">
            <w:pPr>
              <w:widowControl/>
              <w:adjustRightInd w:val="0"/>
              <w:snapToGrid w:val="0"/>
              <w:textAlignment w:val="center"/>
            </w:pPr>
            <w:r>
              <w:rPr>
                <w:rFonts w:hint="eastAsia" w:ascii="宋体" w:hAnsi="宋体" w:eastAsia="宋体" w:cs="宋体"/>
                <w:sz w:val="22"/>
              </w:rPr>
              <w:t>无</w:t>
            </w:r>
          </w:p>
        </w:tc>
      </w:tr>
    </w:tbl>
    <w:p w14:paraId="00036364">
      <w:pPr>
        <w:rPr>
          <w:rFonts w:hint="eastAsia" w:ascii="宋体" w:hAnsi="宋体" w:eastAsia="宋体" w:cs="宋体"/>
          <w:color w:val="000000"/>
          <w:spacing w:val="0"/>
          <w:w w:val="100"/>
          <w:position w:val="0"/>
        </w:rPr>
      </w:pPr>
    </w:p>
    <w:p w14:paraId="728A606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pPr>
    </w:p>
    <w:p w14:paraId="5811955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0CD1FC2E">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7AFA1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05548D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7A5CD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7874378">
      <w:pPr>
        <w:pStyle w:val="2"/>
        <w:numPr>
          <w:ilvl w:val="0"/>
          <w:numId w:val="5"/>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425" w:name="_Toc18842"/>
      <w:bookmarkStart w:id="426" w:name="_Toc23533"/>
      <w:bookmarkStart w:id="427" w:name="_Toc17007"/>
      <w:bookmarkStart w:id="428" w:name="_Toc8811"/>
      <w:bookmarkStart w:id="429" w:name="_Toc31986"/>
      <w:r>
        <w:rPr>
          <w:rFonts w:hint="eastAsia" w:ascii="宋体" w:hAnsi="宋体" w:eastAsia="宋体" w:cs="宋体"/>
          <w:sz w:val="52"/>
          <w:szCs w:val="52"/>
          <w:lang w:val="en-US" w:eastAsia="zh-CN"/>
        </w:rPr>
        <w:t>响应文件格式</w:t>
      </w:r>
      <w:bookmarkEnd w:id="425"/>
      <w:bookmarkEnd w:id="426"/>
      <w:bookmarkEnd w:id="427"/>
      <w:bookmarkEnd w:id="428"/>
      <w:bookmarkEnd w:id="429"/>
    </w:p>
    <w:p w14:paraId="40DCB60C">
      <w:pPr>
        <w:numPr>
          <w:ilvl w:val="0"/>
          <w:numId w:val="0"/>
        </w:numPr>
        <w:ind w:leftChars="0" w:right="0" w:rightChars="0"/>
        <w:rPr>
          <w:rFonts w:hint="eastAsia"/>
          <w:lang w:val="en-US" w:eastAsia="zh-CN"/>
        </w:rPr>
      </w:pPr>
    </w:p>
    <w:p w14:paraId="60E9CD80">
      <w:pPr>
        <w:rPr>
          <w:rFonts w:hint="eastAsia" w:cs="宋体"/>
          <w:color w:val="000000"/>
          <w:spacing w:val="0"/>
          <w:w w:val="100"/>
          <w:position w:val="0"/>
          <w:sz w:val="32"/>
          <w:szCs w:val="32"/>
          <w:u w:val="single"/>
          <w:lang w:val="en-US" w:eastAsia="zh-CN"/>
        </w:rPr>
      </w:pPr>
      <w:r>
        <w:rPr>
          <w:rFonts w:hint="eastAsia" w:cs="宋体"/>
          <w:color w:val="000000"/>
          <w:spacing w:val="0"/>
          <w:w w:val="100"/>
          <w:position w:val="0"/>
          <w:sz w:val="32"/>
          <w:szCs w:val="32"/>
          <w:u w:val="single"/>
          <w:lang w:val="en-US" w:eastAsia="zh-CN"/>
        </w:rPr>
        <w:br w:type="page"/>
      </w:r>
    </w:p>
    <w:p w14:paraId="6805CCC0">
      <w:pPr>
        <w:bidi w:val="0"/>
        <w:jc w:val="center"/>
        <w:rPr>
          <w:rFonts w:hint="eastAsia"/>
          <w:lang w:val="en-US" w:eastAsia="zh-CN"/>
        </w:rPr>
      </w:pPr>
      <w:bookmarkStart w:id="430" w:name="_Toc21409"/>
      <w:bookmarkStart w:id="431" w:name="_Toc20421"/>
      <w:bookmarkStart w:id="432" w:name="_Toc28541"/>
      <w:bookmarkStart w:id="433" w:name="_Toc20751"/>
      <w:bookmarkStart w:id="434" w:name="_Toc18598"/>
      <w:r>
        <w:rPr>
          <w:rFonts w:hint="eastAsia"/>
          <w:u w:val="single"/>
          <w:lang w:val="en-US" w:eastAsia="zh-CN"/>
        </w:rPr>
        <w:t xml:space="preserve">                   </w:t>
      </w:r>
      <w:r>
        <w:rPr>
          <w:rFonts w:hint="eastAsia"/>
          <w:sz w:val="28"/>
          <w:szCs w:val="28"/>
          <w:lang w:val="en-US" w:eastAsia="zh-CN"/>
        </w:rPr>
        <w:t>（项目名称）</w:t>
      </w:r>
      <w:bookmarkEnd w:id="430"/>
      <w:bookmarkEnd w:id="431"/>
      <w:bookmarkEnd w:id="432"/>
      <w:bookmarkEnd w:id="433"/>
      <w:bookmarkEnd w:id="434"/>
    </w:p>
    <w:p w14:paraId="2A2CAD8C">
      <w:pPr>
        <w:bidi w:val="0"/>
        <w:jc w:val="center"/>
        <w:rPr>
          <w:rFonts w:hint="eastAsia" w:ascii="宋体" w:hAnsi="宋体" w:eastAsia="宋体" w:cs="宋体"/>
          <w:b/>
          <w:bCs/>
          <w:sz w:val="52"/>
          <w:szCs w:val="52"/>
        </w:rPr>
      </w:pPr>
    </w:p>
    <w:p w14:paraId="247E89F7">
      <w:pPr>
        <w:bidi w:val="0"/>
        <w:jc w:val="center"/>
        <w:rPr>
          <w:rFonts w:hint="eastAsia" w:ascii="宋体" w:hAnsi="宋体" w:eastAsia="宋体" w:cs="宋体"/>
          <w:b/>
          <w:bCs/>
          <w:sz w:val="52"/>
          <w:szCs w:val="52"/>
        </w:rPr>
      </w:pPr>
    </w:p>
    <w:p w14:paraId="3D7581C1">
      <w:pPr>
        <w:bidi w:val="0"/>
        <w:jc w:val="center"/>
        <w:rPr>
          <w:rFonts w:hint="eastAsia" w:ascii="宋体" w:hAnsi="宋体" w:eastAsia="宋体" w:cs="宋体"/>
          <w:b/>
          <w:bCs/>
          <w:sz w:val="52"/>
          <w:szCs w:val="52"/>
        </w:rPr>
      </w:pPr>
    </w:p>
    <w:p w14:paraId="79747522">
      <w:pPr>
        <w:bidi w:val="0"/>
        <w:jc w:val="center"/>
        <w:rPr>
          <w:rFonts w:hint="eastAsia" w:ascii="宋体" w:hAnsi="宋体" w:eastAsia="宋体" w:cs="宋体"/>
          <w:b/>
          <w:bCs/>
          <w:sz w:val="52"/>
          <w:szCs w:val="52"/>
        </w:rPr>
      </w:pPr>
    </w:p>
    <w:p w14:paraId="5B9E43C6">
      <w:pPr>
        <w:bidi w:val="0"/>
        <w:jc w:val="center"/>
        <w:rPr>
          <w:rFonts w:hint="eastAsia" w:ascii="宋体" w:hAnsi="宋体" w:eastAsia="宋体" w:cs="宋体"/>
          <w:b/>
          <w:bCs/>
          <w:sz w:val="52"/>
          <w:szCs w:val="52"/>
        </w:rPr>
      </w:pPr>
    </w:p>
    <w:p w14:paraId="72995870">
      <w:pPr>
        <w:bidi w:val="0"/>
        <w:jc w:val="center"/>
        <w:rPr>
          <w:rFonts w:hint="eastAsia" w:ascii="宋体" w:hAnsi="宋体" w:eastAsia="宋体" w:cs="宋体"/>
          <w:b/>
          <w:bCs/>
          <w:sz w:val="52"/>
          <w:szCs w:val="52"/>
        </w:rPr>
      </w:pPr>
    </w:p>
    <w:p w14:paraId="292038D1">
      <w:pPr>
        <w:bidi w:val="0"/>
        <w:jc w:val="center"/>
        <w:rPr>
          <w:rFonts w:hint="eastAsia" w:ascii="宋体" w:hAnsi="宋体" w:eastAsia="宋体" w:cs="宋体"/>
          <w:sz w:val="84"/>
          <w:szCs w:val="84"/>
        </w:rPr>
      </w:pPr>
      <w:bookmarkStart w:id="435" w:name="_Toc8870"/>
      <w:bookmarkStart w:id="436" w:name="_Toc31127"/>
      <w:bookmarkStart w:id="437" w:name="_Toc4751"/>
      <w:bookmarkStart w:id="438" w:name="_Toc20388"/>
      <w:bookmarkStart w:id="439" w:name="_Toc699"/>
      <w:r>
        <w:rPr>
          <w:rFonts w:hint="eastAsia" w:ascii="宋体" w:hAnsi="宋体" w:eastAsia="宋体" w:cs="宋体"/>
          <w:sz w:val="84"/>
          <w:szCs w:val="84"/>
        </w:rPr>
        <w:t>响应文件</w:t>
      </w:r>
      <w:bookmarkEnd w:id="435"/>
      <w:bookmarkEnd w:id="436"/>
      <w:bookmarkEnd w:id="437"/>
      <w:bookmarkEnd w:id="438"/>
      <w:bookmarkEnd w:id="439"/>
    </w:p>
    <w:p w14:paraId="73B9AD04">
      <w:pPr>
        <w:bidi w:val="0"/>
        <w:jc w:val="center"/>
        <w:rPr>
          <w:rFonts w:hint="eastAsia" w:ascii="宋体" w:hAnsi="宋体" w:eastAsia="宋体" w:cs="宋体"/>
          <w:b/>
          <w:bCs/>
          <w:sz w:val="52"/>
          <w:szCs w:val="52"/>
        </w:rPr>
      </w:pPr>
    </w:p>
    <w:p w14:paraId="58062C66">
      <w:pPr>
        <w:bidi w:val="0"/>
        <w:jc w:val="center"/>
        <w:rPr>
          <w:rFonts w:hint="eastAsia" w:ascii="宋体" w:hAnsi="宋体" w:eastAsia="宋体" w:cs="宋体"/>
          <w:b/>
          <w:bCs/>
          <w:sz w:val="52"/>
          <w:szCs w:val="52"/>
        </w:rPr>
      </w:pPr>
    </w:p>
    <w:p w14:paraId="79BE4413">
      <w:pPr>
        <w:bidi w:val="0"/>
        <w:jc w:val="center"/>
        <w:rPr>
          <w:rFonts w:hint="eastAsia" w:ascii="宋体" w:hAnsi="宋体" w:eastAsia="宋体" w:cs="宋体"/>
          <w:b/>
          <w:bCs/>
          <w:sz w:val="52"/>
          <w:szCs w:val="52"/>
        </w:rPr>
      </w:pPr>
    </w:p>
    <w:p w14:paraId="75880569">
      <w:pPr>
        <w:bidi w:val="0"/>
        <w:jc w:val="both"/>
        <w:rPr>
          <w:rFonts w:hint="eastAsia" w:ascii="宋体" w:hAnsi="宋体" w:eastAsia="宋体" w:cs="宋体"/>
          <w:b/>
          <w:bCs/>
          <w:sz w:val="52"/>
          <w:szCs w:val="52"/>
        </w:rPr>
      </w:pPr>
    </w:p>
    <w:p w14:paraId="24AC2620">
      <w:pPr>
        <w:bidi w:val="0"/>
        <w:jc w:val="center"/>
        <w:rPr>
          <w:rFonts w:hint="eastAsia" w:ascii="宋体" w:hAnsi="宋体" w:eastAsia="宋体" w:cs="宋体"/>
          <w:b/>
          <w:bCs/>
          <w:sz w:val="52"/>
          <w:szCs w:val="52"/>
        </w:rPr>
      </w:pPr>
    </w:p>
    <w:p w14:paraId="326B5563">
      <w:pPr>
        <w:bidi w:val="0"/>
        <w:jc w:val="center"/>
        <w:rPr>
          <w:rFonts w:hint="eastAsia" w:ascii="宋体" w:hAnsi="宋体" w:eastAsia="宋体" w:cs="宋体"/>
          <w:b/>
          <w:bCs/>
          <w:sz w:val="52"/>
          <w:szCs w:val="52"/>
        </w:rPr>
      </w:pPr>
    </w:p>
    <w:p w14:paraId="593A0B65">
      <w:pPr>
        <w:bidi w:val="0"/>
        <w:jc w:val="center"/>
        <w:rPr>
          <w:rFonts w:hint="eastAsia" w:ascii="宋体" w:hAnsi="宋体" w:eastAsia="宋体" w:cs="宋体"/>
          <w:b/>
          <w:bCs/>
          <w:sz w:val="52"/>
          <w:szCs w:val="52"/>
        </w:rPr>
      </w:pPr>
    </w:p>
    <w:p w14:paraId="5F032942">
      <w:pPr>
        <w:bidi w:val="0"/>
        <w:spacing w:line="360" w:lineRule="auto"/>
        <w:jc w:val="center"/>
        <w:rPr>
          <w:rFonts w:hint="eastAsia" w:ascii="宋体" w:hAnsi="宋体" w:eastAsia="宋体" w:cs="宋体"/>
          <w:sz w:val="32"/>
          <w:szCs w:val="32"/>
          <w:lang w:val="en-US"/>
        </w:rPr>
      </w:pPr>
      <w:bookmarkStart w:id="440" w:name="_Toc20173"/>
      <w:bookmarkStart w:id="441" w:name="_Toc29767"/>
      <w:bookmarkStart w:id="442" w:name="_Toc6835"/>
      <w:bookmarkStart w:id="443" w:name="_Toc2821"/>
      <w:bookmarkStart w:id="444" w:name="_Toc2758"/>
      <w:r>
        <w:rPr>
          <w:rFonts w:hint="eastAsia" w:ascii="宋体" w:hAnsi="宋体" w:eastAsia="宋体" w:cs="宋体"/>
          <w:sz w:val="32"/>
          <w:szCs w:val="32"/>
          <w:lang w:eastAsia="zh-CN"/>
        </w:rPr>
        <w:t>供应商</w:t>
      </w:r>
      <w:r>
        <w:rPr>
          <w:rFonts w:hint="eastAsia" w:ascii="宋体" w:hAnsi="宋体" w:eastAsia="宋体" w:cs="宋体"/>
          <w:sz w:val="32"/>
          <w:szCs w:val="32"/>
        </w:rPr>
        <w:t>：</w:t>
      </w:r>
      <w:bookmarkEnd w:id="440"/>
      <w:bookmarkEnd w:id="441"/>
      <w:r>
        <w:rPr>
          <w:rFonts w:hint="eastAsia" w:ascii="宋体" w:hAnsi="宋体" w:eastAsia="宋体" w:cs="宋体"/>
          <w:sz w:val="32"/>
          <w:szCs w:val="32"/>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（盖单位公章）</w:t>
      </w:r>
      <w:bookmarkEnd w:id="442"/>
      <w:bookmarkEnd w:id="443"/>
      <w:bookmarkEnd w:id="444"/>
    </w:p>
    <w:p w14:paraId="0641123F">
      <w:pPr>
        <w:bidi w:val="0"/>
        <w:spacing w:line="360" w:lineRule="auto"/>
        <w:ind w:firstLine="2880" w:firstLineChars="900"/>
        <w:jc w:val="both"/>
        <w:rPr>
          <w:rFonts w:hint="eastAsia" w:ascii="宋体" w:hAnsi="宋体" w:eastAsia="宋体" w:cs="宋体"/>
          <w:sz w:val="32"/>
          <w:szCs w:val="32"/>
          <w:lang w:val="en-US" w:eastAsia="zh-CN"/>
        </w:rPr>
      </w:pPr>
      <w:bookmarkStart w:id="445" w:name="_Toc20822"/>
      <w:bookmarkStart w:id="446" w:name="_Toc9234"/>
      <w:bookmarkStart w:id="447" w:name="_Toc19413"/>
      <w:bookmarkStart w:id="448" w:name="_Toc23461"/>
      <w:bookmarkStart w:id="449" w:name="_Toc8309"/>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w:t>
      </w:r>
      <w:bookmarkEnd w:id="445"/>
      <w:bookmarkEnd w:id="446"/>
      <w:bookmarkEnd w:id="447"/>
      <w:bookmarkEnd w:id="448"/>
      <w:bookmarkEnd w:id="449"/>
    </w:p>
    <w:p w14:paraId="6B86A54B">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14:paraId="5F1A07B8"/>
    <w:p w14:paraId="4304146C">
      <w:pPr>
        <w:jc w:val="center"/>
        <w:rPr>
          <w:rFonts w:ascii="宋体" w:hAnsi="宋体" w:eastAsia="宋体" w:cs="宋体"/>
          <w:sz w:val="32"/>
          <w:szCs w:val="32"/>
        </w:rPr>
      </w:pPr>
    </w:p>
    <w:p w14:paraId="69706A4E">
      <w:pPr>
        <w:jc w:val="center"/>
        <w:rPr>
          <w:rFonts w:ascii="宋体" w:hAnsi="宋体" w:eastAsia="宋体" w:cs="宋体"/>
          <w:sz w:val="32"/>
          <w:szCs w:val="32"/>
        </w:rPr>
      </w:pPr>
    </w:p>
    <w:p w14:paraId="23B21D4B">
      <w:pPr>
        <w:bidi w:val="0"/>
        <w:jc w:val="center"/>
        <w:rPr>
          <w:sz w:val="28"/>
          <w:szCs w:val="28"/>
          <w:lang w:eastAsia="zh-CN"/>
        </w:rPr>
      </w:pPr>
      <w:r>
        <w:rPr>
          <w:rFonts w:hint="eastAsia"/>
          <w:sz w:val="28"/>
          <w:szCs w:val="28"/>
          <w:lang w:eastAsia="zh-CN"/>
        </w:rPr>
        <w:t>（响应文件外层包装封面格式 ）</w:t>
      </w:r>
    </w:p>
    <w:p w14:paraId="5893AB2E">
      <w:pPr>
        <w:rPr>
          <w:rFonts w:ascii="宋体" w:hAnsi="宋体" w:eastAsia="宋体" w:cs="宋体"/>
          <w:b/>
          <w:bCs/>
          <w:sz w:val="32"/>
          <w:szCs w:val="32"/>
          <w:lang w:eastAsia="zh-CN"/>
        </w:rPr>
      </w:pPr>
    </w:p>
    <w:p w14:paraId="27E7C60A">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749D89FD">
      <w:pPr>
        <w:rPr>
          <w:rFonts w:ascii="宋体" w:hAnsi="宋体" w:eastAsia="宋体" w:cs="宋体"/>
          <w:sz w:val="32"/>
          <w:szCs w:val="32"/>
          <w:lang w:eastAsia="zh-CN"/>
        </w:rPr>
      </w:pPr>
    </w:p>
    <w:p w14:paraId="2FFEB3D3">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5AC388EB">
      <w:pPr>
        <w:rPr>
          <w:rFonts w:ascii="宋体" w:hAnsi="宋体" w:eastAsia="宋体" w:cs="宋体"/>
          <w:sz w:val="30"/>
          <w:szCs w:val="30"/>
          <w:lang w:eastAsia="zh-CN"/>
        </w:rPr>
      </w:pPr>
      <w:r>
        <w:rPr>
          <w:rFonts w:hint="eastAsia" w:ascii="宋体" w:hAnsi="宋体" w:eastAsia="宋体" w:cs="宋体"/>
          <w:sz w:val="30"/>
          <w:szCs w:val="30"/>
          <w:lang w:eastAsia="zh-CN"/>
        </w:rPr>
        <w:t>项目编号：</w:t>
      </w:r>
    </w:p>
    <w:p w14:paraId="1FF08FBB">
      <w:pPr>
        <w:rPr>
          <w:rFonts w:ascii="宋体" w:hAnsi="宋体" w:eastAsia="宋体" w:cs="宋体"/>
          <w:sz w:val="30"/>
          <w:szCs w:val="30"/>
          <w:lang w:eastAsia="zh-CN"/>
        </w:rPr>
      </w:pPr>
      <w:r>
        <w:rPr>
          <w:rFonts w:hint="eastAsia" w:ascii="宋体" w:hAnsi="宋体" w:eastAsia="宋体" w:cs="宋体"/>
          <w:sz w:val="30"/>
          <w:szCs w:val="30"/>
          <w:lang w:eastAsia="zh-CN"/>
        </w:rPr>
        <w:t>所竞分标：</w:t>
      </w:r>
    </w:p>
    <w:p w14:paraId="26E603A9">
      <w:pPr>
        <w:rPr>
          <w:rFonts w:ascii="宋体" w:hAnsi="宋体" w:eastAsia="宋体" w:cs="宋体"/>
          <w:sz w:val="30"/>
          <w:szCs w:val="30"/>
          <w:lang w:eastAsia="zh-CN"/>
        </w:rPr>
      </w:pPr>
      <w:r>
        <w:rPr>
          <w:rFonts w:hint="eastAsia" w:ascii="宋体" w:hAnsi="宋体" w:eastAsia="宋体" w:cs="宋体"/>
          <w:sz w:val="30"/>
          <w:szCs w:val="30"/>
          <w:lang w:eastAsia="zh-CN"/>
        </w:rPr>
        <w:t>服务商名称：</w:t>
      </w:r>
    </w:p>
    <w:p w14:paraId="55031BD5">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5BC348B1">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1B59B477">
      <w:pPr>
        <w:pStyle w:val="7"/>
        <w:rPr>
          <w:rFonts w:ascii="宋体" w:hAnsi="宋体" w:eastAsia="宋体" w:cs="宋体"/>
          <w:sz w:val="30"/>
          <w:szCs w:val="30"/>
          <w:lang w:eastAsia="zh-CN"/>
        </w:rPr>
      </w:pPr>
    </w:p>
    <w:p w14:paraId="155719C6">
      <w:pPr>
        <w:rPr>
          <w:rFonts w:ascii="宋体" w:hAnsi="宋体" w:eastAsia="宋体" w:cs="宋体"/>
          <w:sz w:val="30"/>
          <w:szCs w:val="30"/>
          <w:lang w:eastAsia="zh-CN"/>
        </w:rPr>
      </w:pPr>
    </w:p>
    <w:p w14:paraId="65D63CDF">
      <w:pPr>
        <w:pStyle w:val="7"/>
        <w:rPr>
          <w:rFonts w:ascii="宋体" w:hAnsi="宋体" w:eastAsia="宋体" w:cs="宋体"/>
          <w:sz w:val="30"/>
          <w:szCs w:val="30"/>
          <w:lang w:eastAsia="zh-CN"/>
        </w:rPr>
      </w:pPr>
    </w:p>
    <w:p w14:paraId="11135F43">
      <w:pPr>
        <w:rPr>
          <w:rFonts w:ascii="宋体" w:hAnsi="宋体" w:eastAsia="宋体" w:cs="宋体"/>
          <w:sz w:val="30"/>
          <w:szCs w:val="30"/>
          <w:lang w:eastAsia="zh-CN"/>
        </w:rPr>
      </w:pPr>
    </w:p>
    <w:p w14:paraId="47696FE2">
      <w:pPr>
        <w:pStyle w:val="7"/>
        <w:rPr>
          <w:lang w:eastAsia="zh-CN"/>
        </w:rPr>
      </w:pPr>
    </w:p>
    <w:p w14:paraId="744F075D">
      <w:pPr>
        <w:rPr>
          <w:lang w:eastAsia="zh-CN"/>
        </w:rPr>
      </w:pPr>
    </w:p>
    <w:p w14:paraId="66469096">
      <w:pPr>
        <w:rPr>
          <w:rFonts w:ascii="宋体" w:hAnsi="宋体" w:eastAsia="宋体" w:cs="宋体"/>
          <w:sz w:val="32"/>
          <w:szCs w:val="32"/>
          <w:lang w:eastAsia="zh-CN"/>
        </w:rPr>
      </w:pPr>
      <w:bookmarkStart w:id="450" w:name="_Toc35611516"/>
      <w:bookmarkStart w:id="451" w:name="_Toc44229899"/>
      <w:bookmarkStart w:id="452" w:name="_Toc31723070"/>
      <w:bookmarkStart w:id="453" w:name="_Toc35611438"/>
      <w:bookmarkStart w:id="454" w:name="_Toc31728084"/>
      <w:bookmarkStart w:id="455" w:name="_Toc30694"/>
      <w:r>
        <w:rPr>
          <w:rFonts w:hint="eastAsia" w:ascii="宋体" w:hAnsi="宋体" w:eastAsia="宋体" w:cs="宋体"/>
          <w:sz w:val="32"/>
          <w:szCs w:val="32"/>
          <w:lang w:eastAsia="zh-CN"/>
        </w:rPr>
        <w:br w:type="page"/>
      </w:r>
    </w:p>
    <w:p w14:paraId="3432C19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50"/>
      <w:bookmarkEnd w:id="451"/>
      <w:bookmarkEnd w:id="452"/>
      <w:bookmarkEnd w:id="453"/>
      <w:bookmarkEnd w:id="454"/>
      <w:bookmarkEnd w:id="455"/>
    </w:p>
    <w:p w14:paraId="120B4633">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14:paraId="13052061">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D9F2DE1">
      <w:pPr>
        <w:pStyle w:val="7"/>
        <w:rPr>
          <w:rFonts w:ascii="宋体" w:hAnsi="宋体" w:eastAsia="宋体" w:cs="宋体"/>
          <w:sz w:val="32"/>
          <w:szCs w:val="32"/>
          <w:lang w:eastAsia="zh-CN"/>
        </w:rPr>
      </w:pPr>
    </w:p>
    <w:p w14:paraId="3DDA9F3C">
      <w:pPr>
        <w:rPr>
          <w:lang w:eastAsia="zh-CN"/>
        </w:rPr>
      </w:pPr>
    </w:p>
    <w:p w14:paraId="10A5B23B">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资格证明文件</w:t>
      </w:r>
    </w:p>
    <w:p w14:paraId="088A13A1">
      <w:pPr>
        <w:snapToGrid w:val="0"/>
        <w:spacing w:before="120" w:beforeLines="50" w:after="50" w:line="360" w:lineRule="auto"/>
        <w:rPr>
          <w:rFonts w:ascii="宋体" w:hAnsi="宋体" w:eastAsia="宋体" w:cs="宋体"/>
          <w:bCs/>
          <w:sz w:val="32"/>
          <w:szCs w:val="32"/>
          <w:lang w:eastAsia="zh-CN"/>
        </w:rPr>
      </w:pPr>
    </w:p>
    <w:p w14:paraId="3F497910">
      <w:pPr>
        <w:snapToGrid w:val="0"/>
        <w:spacing w:before="120" w:beforeLines="50" w:after="50" w:line="360" w:lineRule="auto"/>
        <w:rPr>
          <w:rFonts w:ascii="宋体" w:hAnsi="宋体" w:eastAsia="宋体" w:cs="宋体"/>
          <w:bCs/>
          <w:sz w:val="32"/>
          <w:szCs w:val="32"/>
          <w:lang w:eastAsia="zh-CN"/>
        </w:rPr>
      </w:pPr>
    </w:p>
    <w:p w14:paraId="65D4D83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71416311">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0F9239EB">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3E5916E4">
      <w:pPr>
        <w:pStyle w:val="6"/>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5289D68">
      <w:pPr>
        <w:pStyle w:val="6"/>
        <w:snapToGrid w:val="0"/>
        <w:spacing w:before="50" w:after="50" w:line="360" w:lineRule="auto"/>
        <w:ind w:firstLine="1280" w:firstLineChars="400"/>
        <w:rPr>
          <w:rFonts w:ascii="宋体" w:hAnsi="宋体" w:eastAsia="宋体" w:cs="宋体"/>
          <w:bCs/>
          <w:sz w:val="32"/>
          <w:szCs w:val="32"/>
          <w:lang w:eastAsia="zh-CN"/>
        </w:rPr>
      </w:pPr>
    </w:p>
    <w:p w14:paraId="18448BCE">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C5E57AE">
      <w:pPr>
        <w:pStyle w:val="7"/>
        <w:rPr>
          <w:rFonts w:ascii="宋体" w:hAnsi="宋体" w:eastAsia="宋体" w:cs="宋体"/>
          <w:sz w:val="32"/>
          <w:szCs w:val="32"/>
          <w:lang w:eastAsia="zh-CN"/>
        </w:rPr>
      </w:pPr>
    </w:p>
    <w:p w14:paraId="4D0E06BD">
      <w:pPr>
        <w:rPr>
          <w:rFonts w:ascii="宋体" w:hAnsi="宋体" w:eastAsia="宋体" w:cs="宋体"/>
          <w:sz w:val="32"/>
          <w:szCs w:val="32"/>
          <w:lang w:eastAsia="zh-CN"/>
        </w:rPr>
      </w:pPr>
    </w:p>
    <w:p w14:paraId="3CE5C98C">
      <w:pPr>
        <w:pStyle w:val="7"/>
        <w:rPr>
          <w:rFonts w:ascii="宋体" w:hAnsi="宋体" w:eastAsia="宋体" w:cs="宋体"/>
          <w:sz w:val="32"/>
          <w:szCs w:val="32"/>
          <w:lang w:eastAsia="zh-CN"/>
        </w:rPr>
      </w:pPr>
    </w:p>
    <w:p w14:paraId="21BE5348">
      <w:pPr>
        <w:rPr>
          <w:rFonts w:ascii="宋体" w:hAnsi="宋体" w:eastAsia="宋体" w:cs="宋体"/>
          <w:sz w:val="32"/>
          <w:szCs w:val="32"/>
          <w:lang w:eastAsia="zh-CN"/>
        </w:rPr>
      </w:pPr>
    </w:p>
    <w:p w14:paraId="7D748C7B">
      <w:pPr>
        <w:pStyle w:val="7"/>
        <w:rPr>
          <w:rFonts w:ascii="宋体" w:hAnsi="宋体" w:eastAsia="宋体" w:cs="宋体"/>
          <w:sz w:val="32"/>
          <w:szCs w:val="32"/>
          <w:lang w:eastAsia="zh-CN"/>
        </w:rPr>
      </w:pPr>
    </w:p>
    <w:p w14:paraId="18A02CAC">
      <w:pPr>
        <w:rPr>
          <w:lang w:eastAsia="zh-CN"/>
        </w:rPr>
      </w:pPr>
    </w:p>
    <w:p w14:paraId="390999C5">
      <w:pPr>
        <w:rPr>
          <w:lang w:eastAsia="zh-CN"/>
        </w:rPr>
      </w:pPr>
    </w:p>
    <w:p w14:paraId="363441FF">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14:paraId="67B9EF42">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14:paraId="165BD8D3">
      <w:pPr>
        <w:jc w:val="center"/>
        <w:rPr>
          <w:rFonts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14:paraId="1DFA8D53">
      <w:pPr>
        <w:spacing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14:paraId="55588064">
      <w:pPr>
        <w:rPr>
          <w:rFonts w:ascii="宋体" w:hAnsi="宋体" w:eastAsia="宋体" w:cs="宋体"/>
          <w:sz w:val="32"/>
          <w:szCs w:val="32"/>
          <w:lang w:eastAsia="zh-CN"/>
        </w:rPr>
      </w:pPr>
    </w:p>
    <w:p w14:paraId="56C4A363">
      <w:pPr>
        <w:rPr>
          <w:rFonts w:ascii="宋体" w:hAnsi="宋体" w:eastAsia="宋体" w:cs="宋体"/>
          <w:sz w:val="32"/>
          <w:szCs w:val="32"/>
          <w:lang w:eastAsia="zh-CN"/>
        </w:rPr>
      </w:pPr>
    </w:p>
    <w:p w14:paraId="6561A631">
      <w:pPr>
        <w:rPr>
          <w:rFonts w:ascii="宋体" w:hAnsi="宋体" w:eastAsia="宋体" w:cs="宋体"/>
          <w:sz w:val="32"/>
          <w:szCs w:val="32"/>
          <w:lang w:eastAsia="zh-CN"/>
        </w:rPr>
      </w:pPr>
      <w:r>
        <w:rPr>
          <w:rFonts w:hint="eastAsia" w:ascii="宋体" w:hAnsi="宋体" w:eastAsia="宋体" w:cs="宋体"/>
          <w:sz w:val="32"/>
          <w:szCs w:val="32"/>
          <w:lang w:eastAsia="zh-CN"/>
        </w:rPr>
        <w:br w:type="page"/>
      </w:r>
    </w:p>
    <w:p w14:paraId="28CF1964">
      <w:pPr>
        <w:bidi w:val="0"/>
        <w:jc w:val="center"/>
        <w:rPr>
          <w:rFonts w:hint="eastAsia" w:ascii="宋体" w:hAnsi="宋体" w:eastAsia="宋体" w:cs="宋体"/>
          <w:sz w:val="28"/>
          <w:szCs w:val="28"/>
          <w:lang w:eastAsia="zh-CN"/>
        </w:rPr>
      </w:pPr>
      <w:bookmarkStart w:id="456" w:name="_Toc21601"/>
      <w:bookmarkStart w:id="457" w:name="_Toc17017"/>
      <w:bookmarkStart w:id="458" w:name="_Toc23870"/>
      <w:bookmarkStart w:id="459" w:name="_Toc19559"/>
      <w:bookmarkStart w:id="460" w:name="_Toc16963"/>
      <w:r>
        <w:rPr>
          <w:rFonts w:hint="eastAsia" w:ascii="宋体" w:hAnsi="宋体" w:eastAsia="宋体" w:cs="宋体"/>
          <w:sz w:val="28"/>
          <w:szCs w:val="28"/>
          <w:lang w:eastAsia="zh-CN"/>
        </w:rPr>
        <w:t>—、响应函</w:t>
      </w:r>
      <w:bookmarkEnd w:id="456"/>
      <w:bookmarkEnd w:id="457"/>
      <w:bookmarkEnd w:id="458"/>
      <w:bookmarkEnd w:id="459"/>
      <w:bookmarkEnd w:id="460"/>
    </w:p>
    <w:p w14:paraId="5065B18A">
      <w:pPr>
        <w:pStyle w:val="20"/>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673CD096">
      <w:pPr>
        <w:pStyle w:val="20"/>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279D008F">
      <w:pPr>
        <w:pStyle w:val="20"/>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506C0890">
      <w:pPr>
        <w:pStyle w:val="20"/>
        <w:tabs>
          <w:tab w:val="left" w:pos="349"/>
        </w:tabs>
        <w:spacing w:line="360" w:lineRule="auto"/>
        <w:ind w:firstLine="480" w:firstLineChars="200"/>
        <w:rPr>
          <w:sz w:val="24"/>
          <w:szCs w:val="24"/>
        </w:rPr>
      </w:pPr>
      <w:bookmarkStart w:id="461" w:name="_Toc19260"/>
      <w:bookmarkStart w:id="462" w:name="_Toc30244"/>
      <w:bookmarkStart w:id="463" w:name="_Toc31373"/>
      <w:bookmarkStart w:id="464" w:name="_Toc25123"/>
      <w:bookmarkStart w:id="465" w:name="_Toc26494"/>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40BD474E">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1A56DAE5">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4D5495A5">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4E08A7FC">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01D9F59D">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30933FF0">
      <w:pPr>
        <w:pStyle w:val="20"/>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42F3DB66">
      <w:pPr>
        <w:pStyle w:val="20"/>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699845CD">
      <w:pPr>
        <w:pStyle w:val="20"/>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461"/>
    <w:bookmarkEnd w:id="462"/>
    <w:bookmarkEnd w:id="463"/>
    <w:bookmarkEnd w:id="464"/>
    <w:bookmarkEnd w:id="465"/>
    <w:p w14:paraId="262610D0">
      <w:pPr>
        <w:pStyle w:val="20"/>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1ACDA245">
      <w:pPr>
        <w:pStyle w:val="20"/>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28D5D8C">
      <w:pPr>
        <w:pStyle w:val="20"/>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0139680B">
      <w:pPr>
        <w:pStyle w:val="20"/>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7C8694BA">
      <w:pPr>
        <w:pStyle w:val="20"/>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01D84B91">
      <w:pPr>
        <w:pStyle w:val="2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2D159ED2">
      <w:pPr>
        <w:pStyle w:val="2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ACDC1BB">
      <w:pPr>
        <w:pStyle w:val="20"/>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45BBE9AB">
      <w:pPr>
        <w:pStyle w:val="20"/>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68E288EA">
      <w:pPr>
        <w:rPr>
          <w:rFonts w:cs="宋体"/>
          <w:lang w:eastAsia="zh-CN"/>
        </w:rPr>
      </w:pPr>
      <w:r>
        <w:rPr>
          <w:rFonts w:hint="eastAsia" w:cs="宋体"/>
          <w:lang w:eastAsia="zh-CN"/>
        </w:rPr>
        <w:br w:type="page"/>
      </w:r>
    </w:p>
    <w:p w14:paraId="40CAB8A9">
      <w:pPr>
        <w:pStyle w:val="20"/>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76E833EB">
      <w:pPr>
        <w:pStyle w:val="20"/>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415055">
      <w:pPr>
        <w:pStyle w:val="20"/>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1E1978C">
      <w:pPr>
        <w:pStyle w:val="20"/>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705096AB">
      <w:pPr>
        <w:pStyle w:val="20"/>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2C8EBDE9">
      <w:pPr>
        <w:pStyle w:val="20"/>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0838378">
      <w:pPr>
        <w:pStyle w:val="20"/>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3AE31FC">
      <w:pPr>
        <w:pStyle w:val="20"/>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BD5A887">
      <w:pPr>
        <w:pStyle w:val="20"/>
        <w:tabs>
          <w:tab w:val="left" w:pos="235"/>
          <w:tab w:val="left" w:leader="underscore" w:pos="854"/>
          <w:tab w:val="left" w:pos="2150"/>
          <w:tab w:val="left" w:pos="3346"/>
        </w:tabs>
        <w:spacing w:line="360" w:lineRule="auto"/>
        <w:ind w:firstLine="480" w:firstLineChars="200"/>
        <w:jc w:val="right"/>
        <w:rPr>
          <w:sz w:val="24"/>
          <w:szCs w:val="24"/>
          <w:u w:val="single"/>
        </w:rPr>
      </w:pPr>
    </w:p>
    <w:p w14:paraId="5B1347F7">
      <w:pPr>
        <w:pStyle w:val="20"/>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6C691064">
      <w:pPr>
        <w:pStyle w:val="20"/>
        <w:tabs>
          <w:tab w:val="left" w:pos="235"/>
          <w:tab w:val="left" w:leader="underscore" w:pos="854"/>
          <w:tab w:val="left" w:pos="2150"/>
          <w:tab w:val="left" w:pos="3346"/>
        </w:tabs>
        <w:spacing w:line="360" w:lineRule="auto"/>
        <w:ind w:firstLine="480" w:firstLineChars="200"/>
        <w:rPr>
          <w:sz w:val="24"/>
          <w:szCs w:val="24"/>
          <w:lang w:eastAsia="zh-CN"/>
        </w:rPr>
      </w:pPr>
    </w:p>
    <w:p w14:paraId="36A3168D">
      <w:pPr>
        <w:pStyle w:val="20"/>
        <w:tabs>
          <w:tab w:val="left" w:pos="235"/>
          <w:tab w:val="left" w:leader="underscore" w:pos="854"/>
          <w:tab w:val="left" w:pos="2150"/>
          <w:tab w:val="left" w:pos="3346"/>
        </w:tabs>
        <w:spacing w:line="360" w:lineRule="auto"/>
        <w:ind w:firstLine="480" w:firstLineChars="200"/>
        <w:rPr>
          <w:sz w:val="24"/>
          <w:szCs w:val="24"/>
          <w:lang w:eastAsia="zh-CN"/>
        </w:rPr>
        <w:sectPr>
          <w:headerReference r:id="rId14" w:type="default"/>
          <w:footerReference r:id="rId16" w:type="default"/>
          <w:headerReference r:id="rId15" w:type="even"/>
          <w:footerReference r:id="rId17" w:type="even"/>
          <w:pgSz w:w="12024" w:h="17314"/>
          <w:pgMar w:top="2353" w:right="1542" w:bottom="1950" w:left="1338" w:header="1134" w:footer="1134" w:gutter="0"/>
          <w:pgNumType w:fmt="numberInDash"/>
          <w:cols w:space="0" w:num="1"/>
          <w:docGrid w:linePitch="360" w:charSpace="0"/>
        </w:sectPr>
      </w:pPr>
    </w:p>
    <w:p w14:paraId="4C16DD6D">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14:paraId="0956C3DE">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278DD33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A10A24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47ABA9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ED8054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400F436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6C2A1753">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0E6951B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737DF682">
      <w:pPr>
        <w:pStyle w:val="5"/>
        <w:rPr>
          <w:color w:val="000000" w:themeColor="text1"/>
          <w:szCs w:val="28"/>
          <w:lang w:eastAsia="zh-CN"/>
          <w14:textFill>
            <w14:solidFill>
              <w14:schemeClr w14:val="tx1"/>
            </w14:solidFill>
          </w14:textFill>
        </w:rPr>
      </w:pPr>
    </w:p>
    <w:p w14:paraId="6082A81C">
      <w:pPr>
        <w:pStyle w:val="2"/>
        <w:tabs>
          <w:tab w:val="left" w:pos="425"/>
        </w:tabs>
        <w:jc w:val="both"/>
        <w:rPr>
          <w:lang w:eastAsia="zh-CN"/>
        </w:rPr>
      </w:pPr>
    </w:p>
    <w:p w14:paraId="60410FB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61DB1A0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1BD09768">
      <w:pPr>
        <w:pStyle w:val="5"/>
        <w:rPr>
          <w:lang w:eastAsia="zh-CN"/>
        </w:rPr>
      </w:pPr>
    </w:p>
    <w:p w14:paraId="7432B797">
      <w:pPr>
        <w:pStyle w:val="5"/>
        <w:rPr>
          <w:lang w:eastAsia="zh-CN"/>
        </w:rPr>
      </w:pPr>
    </w:p>
    <w:p w14:paraId="1F47410F">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3363B22B">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2BA04721">
      <w:pPr>
        <w:rPr>
          <w:rFonts w:ascii="宋体" w:hAnsi="宋体" w:eastAsia="宋体" w:cs="宋体"/>
          <w:lang w:eastAsia="zh-CN"/>
        </w:rPr>
      </w:pPr>
      <w:r>
        <w:rPr>
          <w:rFonts w:hint="eastAsia" w:ascii="宋体" w:hAnsi="宋体" w:eastAsia="宋体" w:cs="宋体"/>
          <w:lang w:eastAsia="zh-CN"/>
        </w:rPr>
        <w:br w:type="page"/>
      </w:r>
    </w:p>
    <w:p w14:paraId="40A45B11">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2DE9FBB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165DCA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1B6E58C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12F5806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F9ECA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0333E2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3D1C73E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1A9138F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1729C98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3EF045A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81918B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EAC98B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14:paraId="2B75521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79CF12AB">
      <w:pPr>
        <w:spacing w:line="360" w:lineRule="auto"/>
        <w:rPr>
          <w:rFonts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14:paraId="28EC35B7">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14:paraId="330704FF">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90C2FB7">
      <w:pPr>
        <w:snapToGrid w:val="0"/>
        <w:spacing w:before="120" w:beforeLines="50" w:after="50" w:line="360" w:lineRule="auto"/>
        <w:rPr>
          <w:rFonts w:ascii="宋体" w:hAnsi="宋体" w:eastAsia="宋体" w:cs="宋体"/>
          <w:sz w:val="32"/>
          <w:szCs w:val="32"/>
          <w:lang w:eastAsia="zh-CN"/>
        </w:rPr>
      </w:pPr>
    </w:p>
    <w:p w14:paraId="080DECAD">
      <w:pPr>
        <w:snapToGrid w:val="0"/>
        <w:spacing w:before="120" w:beforeLines="50" w:after="50" w:line="360" w:lineRule="auto"/>
        <w:rPr>
          <w:rFonts w:ascii="宋体" w:hAnsi="宋体" w:eastAsia="宋体" w:cs="宋体"/>
          <w:sz w:val="32"/>
          <w:szCs w:val="32"/>
          <w:lang w:eastAsia="zh-CN"/>
        </w:rPr>
      </w:pPr>
    </w:p>
    <w:p w14:paraId="7CF41CDD">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14:paraId="48EB6E55">
      <w:pPr>
        <w:snapToGrid w:val="0"/>
        <w:spacing w:before="120" w:beforeLines="50" w:after="50" w:line="360" w:lineRule="auto"/>
        <w:rPr>
          <w:rFonts w:ascii="宋体" w:hAnsi="宋体" w:eastAsia="宋体" w:cs="宋体"/>
          <w:bCs/>
          <w:sz w:val="32"/>
          <w:szCs w:val="32"/>
          <w:lang w:eastAsia="zh-CN"/>
        </w:rPr>
      </w:pPr>
    </w:p>
    <w:p w14:paraId="4A307897">
      <w:pPr>
        <w:snapToGrid w:val="0"/>
        <w:spacing w:before="120" w:beforeLines="50" w:after="50" w:line="360" w:lineRule="auto"/>
        <w:rPr>
          <w:rFonts w:ascii="宋体" w:hAnsi="宋体" w:eastAsia="宋体" w:cs="宋体"/>
          <w:bCs/>
          <w:sz w:val="32"/>
          <w:szCs w:val="32"/>
          <w:lang w:eastAsia="zh-CN"/>
        </w:rPr>
      </w:pPr>
    </w:p>
    <w:p w14:paraId="47392A7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37C92467">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530D11AC">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5DB90C56">
      <w:pPr>
        <w:pStyle w:val="6"/>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416E191">
      <w:pPr>
        <w:pStyle w:val="6"/>
        <w:snapToGrid w:val="0"/>
        <w:spacing w:before="50" w:after="50" w:line="360" w:lineRule="auto"/>
        <w:ind w:firstLine="1280" w:firstLineChars="400"/>
        <w:rPr>
          <w:rFonts w:ascii="宋体" w:hAnsi="宋体" w:eastAsia="宋体" w:cs="宋体"/>
          <w:bCs/>
          <w:sz w:val="32"/>
          <w:szCs w:val="32"/>
          <w:lang w:eastAsia="zh-CN"/>
        </w:rPr>
      </w:pPr>
    </w:p>
    <w:p w14:paraId="66C4023F">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909881D">
      <w:pPr>
        <w:rPr>
          <w:lang w:eastAsia="zh-CN"/>
        </w:rPr>
      </w:pPr>
    </w:p>
    <w:p w14:paraId="15128CE1">
      <w:pPr>
        <w:rPr>
          <w:lang w:eastAsia="zh-CN"/>
        </w:rPr>
      </w:pPr>
      <w:r>
        <w:rPr>
          <w:rFonts w:hint="eastAsia" w:ascii="宋体" w:hAnsi="宋体" w:eastAsia="宋体" w:cs="宋体"/>
          <w:sz w:val="32"/>
          <w:szCs w:val="32"/>
          <w:lang w:eastAsia="zh-CN"/>
        </w:rPr>
        <w:br w:type="page"/>
      </w:r>
    </w:p>
    <w:p w14:paraId="07B54E6B">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14:paraId="481DC25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14:paraId="4B381B26">
      <w:pPr>
        <w:spacing w:after="240" w:afterLines="100"/>
        <w:jc w:val="both"/>
        <w:rPr>
          <w:rFonts w:ascii="宋体" w:hAnsi="宋体" w:eastAsia="宋体" w:cs="宋体"/>
          <w:kern w:val="2"/>
          <w:sz w:val="32"/>
          <w:szCs w:val="32"/>
          <w:lang w:eastAsia="zh-CN" w:bidi="ar-SA"/>
        </w:rPr>
      </w:pPr>
    </w:p>
    <w:p w14:paraId="5EA13BB0">
      <w:pPr>
        <w:spacing w:after="240" w:afterLines="100"/>
        <w:jc w:val="both"/>
        <w:rPr>
          <w:rFonts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77F1B03E">
      <w:pPr>
        <w:pStyle w:val="5"/>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eastAsia="zh-CN" w:bidi="ar-SA"/>
          <w14:textFill>
            <w14:solidFill>
              <w14:schemeClr w14:val="tx1"/>
            </w14:solidFill>
          </w14:textFill>
        </w:rPr>
        <w:t>实施方案</w:t>
      </w:r>
    </w:p>
    <w:p w14:paraId="6D47BBC9">
      <w:pPr>
        <w:pStyle w:val="5"/>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售后服务承诺</w:t>
      </w:r>
    </w:p>
    <w:p w14:paraId="390FBBE3">
      <w:pPr>
        <w:pStyle w:val="5"/>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拟投入人员情况</w:t>
      </w:r>
    </w:p>
    <w:p w14:paraId="330CF573">
      <w:pPr>
        <w:pStyle w:val="5"/>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项目经验</w:t>
      </w:r>
    </w:p>
    <w:p w14:paraId="18E1AA7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131B31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F61180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86F124C">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07D37F5">
      <w:pPr>
        <w:pStyle w:val="5"/>
        <w:rPr>
          <w:rFonts w:ascii="宋体" w:hAnsi="宋体" w:eastAsia="宋体" w:cs="宋体"/>
          <w:b/>
          <w:bCs/>
          <w:color w:val="000000" w:themeColor="text1"/>
          <w:sz w:val="32"/>
          <w:szCs w:val="32"/>
          <w:lang w:eastAsia="zh-CN"/>
          <w14:textFill>
            <w14:solidFill>
              <w14:schemeClr w14:val="tx1"/>
            </w14:solidFill>
          </w14:textFill>
        </w:rPr>
      </w:pPr>
    </w:p>
    <w:p w14:paraId="38169355">
      <w:pPr>
        <w:rPr>
          <w:rFonts w:ascii="宋体" w:hAnsi="宋体" w:eastAsia="宋体" w:cs="宋体"/>
          <w:b/>
          <w:bCs/>
          <w:color w:val="000000" w:themeColor="text1"/>
          <w:sz w:val="32"/>
          <w:szCs w:val="32"/>
          <w:lang w:eastAsia="zh-CN"/>
          <w14:textFill>
            <w14:solidFill>
              <w14:schemeClr w14:val="tx1"/>
            </w14:solidFill>
          </w14:textFill>
        </w:rPr>
      </w:pPr>
    </w:p>
    <w:p w14:paraId="59ED4E3E">
      <w:pPr>
        <w:pStyle w:val="5"/>
        <w:rPr>
          <w:rFonts w:ascii="宋体" w:hAnsi="宋体" w:eastAsia="宋体" w:cs="宋体"/>
          <w:b/>
          <w:bCs/>
          <w:color w:val="000000" w:themeColor="text1"/>
          <w:sz w:val="32"/>
          <w:szCs w:val="32"/>
          <w:lang w:eastAsia="zh-CN"/>
          <w14:textFill>
            <w14:solidFill>
              <w14:schemeClr w14:val="tx1"/>
            </w14:solidFill>
          </w14:textFill>
        </w:rPr>
      </w:pPr>
    </w:p>
    <w:p w14:paraId="58981742">
      <w:pPr>
        <w:rPr>
          <w:lang w:eastAsia="zh-CN"/>
        </w:rPr>
      </w:pPr>
    </w:p>
    <w:p w14:paraId="56047CB9">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7FD8F440">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61125808">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2E99C7CE">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60A4B9B">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2D618CD">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1.竞标报价表</w:t>
      </w:r>
    </w:p>
    <w:p w14:paraId="03309441">
      <w:pPr>
        <w:rPr>
          <w:rFonts w:ascii="宋体" w:hAnsi="宋体" w:eastAsia="宋体" w:cs="宋体"/>
          <w:sz w:val="28"/>
          <w:szCs w:val="28"/>
          <w:lang w:eastAsia="zh-CN"/>
        </w:rPr>
      </w:pPr>
    </w:p>
    <w:p w14:paraId="30E77D7A">
      <w:pPr>
        <w:rPr>
          <w:rFonts w:ascii="宋体" w:hAnsi="宋体" w:eastAsia="宋体" w:cs="宋体"/>
          <w:sz w:val="28"/>
          <w:szCs w:val="28"/>
          <w:lang w:eastAsia="zh-CN"/>
        </w:rPr>
      </w:pPr>
    </w:p>
    <w:p w14:paraId="23D7DEF9">
      <w:pPr>
        <w:pStyle w:val="14"/>
        <w:widowControl/>
        <w:spacing w:beforeAutospacing="0" w:afterAutospacing="0"/>
        <w:rPr>
          <w:rFonts w:hint="eastAsia" w:ascii="宋体" w:hAnsi="宋体" w:eastAsia="宋体" w:cs="宋体"/>
          <w:bCs/>
          <w:kern w:val="2"/>
        </w:rPr>
      </w:pPr>
    </w:p>
    <w:p w14:paraId="3CE9A676">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p>
    <w:tbl>
      <w:tblPr>
        <w:tblStyle w:val="15"/>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4585AC1">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F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2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1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7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0F2C078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0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4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37AF">
            <w:pPr>
              <w:keepNext w:val="0"/>
              <w:keepLines w:val="0"/>
              <w:widowControl/>
              <w:suppressLineNumbers w:val="0"/>
              <w:spacing w:before="0" w:beforeAutospacing="0" w:after="0" w:afterAutospacing="0"/>
              <w:ind w:left="0" w:right="0"/>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1E61878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2D90">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0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BE7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6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3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1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Style w:val="35"/>
                <w:rFonts w:hint="default"/>
                <w:color w:val="auto"/>
                <w:sz w:val="21"/>
                <w:szCs w:val="21"/>
                <w:lang w:bidi="ar"/>
              </w:rPr>
              <w:t>含</w:t>
            </w:r>
            <w:r>
              <w:rPr>
                <w:rStyle w:val="36"/>
                <w:color w:val="auto"/>
                <w:sz w:val="21"/>
                <w:szCs w:val="21"/>
                <w:lang w:bidi="ar"/>
              </w:rPr>
              <w:t xml:space="preserve">    </w:t>
            </w:r>
            <w:r>
              <w:rPr>
                <w:rStyle w:val="37"/>
                <w:color w:val="auto"/>
                <w:sz w:val="21"/>
                <w:szCs w:val="21"/>
                <w:lang w:bidi="ar"/>
              </w:rPr>
              <w:t>%增值税专用发票</w:t>
            </w:r>
          </w:p>
        </w:tc>
      </w:tr>
    </w:tbl>
    <w:p w14:paraId="161903CE">
      <w:pPr>
        <w:pStyle w:val="14"/>
        <w:widowControl/>
        <w:spacing w:beforeAutospacing="0" w:afterAutospacing="0"/>
        <w:rPr>
          <w:rFonts w:hint="eastAsia" w:ascii="宋体" w:hAnsi="宋体" w:eastAsia="宋体" w:cs="宋体"/>
          <w:sz w:val="28"/>
          <w:szCs w:val="28"/>
        </w:rPr>
      </w:pPr>
    </w:p>
    <w:p w14:paraId="7548654B">
      <w:pPr>
        <w:pStyle w:val="7"/>
      </w:pPr>
    </w:p>
    <w:p w14:paraId="072BD5CE">
      <w:pPr>
        <w:rPr>
          <w:rFonts w:hint="eastAsia"/>
        </w:rPr>
      </w:pPr>
    </w:p>
    <w:p w14:paraId="5C490103">
      <w:pPr>
        <w:pStyle w:val="7"/>
      </w:pPr>
    </w:p>
    <w:p w14:paraId="254148E6">
      <w:pPr>
        <w:rPr>
          <w:rFonts w:hint="eastAsia"/>
        </w:rPr>
      </w:pPr>
    </w:p>
    <w:p w14:paraId="4675BC67">
      <w:pPr>
        <w:pStyle w:val="7"/>
      </w:pPr>
    </w:p>
    <w:p w14:paraId="0EED1B76">
      <w:pPr>
        <w:rPr>
          <w:rFonts w:hint="eastAsia"/>
        </w:rPr>
      </w:pPr>
    </w:p>
    <w:p w14:paraId="56853379">
      <w:pPr>
        <w:pStyle w:val="7"/>
      </w:pPr>
    </w:p>
    <w:p w14:paraId="4A911AED">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08056433">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0DA39D41">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联系电话：</w:t>
      </w:r>
      <w:r>
        <w:rPr>
          <w:rFonts w:hint="eastAsia" w:ascii="宋体" w:hAnsi="宋体" w:eastAsia="宋体" w:cs="宋体"/>
          <w:sz w:val="28"/>
          <w:szCs w:val="28"/>
        </w:rPr>
        <w:t xml:space="preserve">    </w:t>
      </w:r>
    </w:p>
    <w:p w14:paraId="6FFB5C58">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71BB29B">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2FAF0432">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2512CEDB">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3.售后服务承诺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5502F0F7">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4</w:t>
      </w:r>
      <w:r>
        <w:rPr>
          <w:rFonts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14:paraId="1B774C88">
      <w:pPr>
        <w:bidi w:val="0"/>
        <w:jc w:val="center"/>
        <w:rPr>
          <w:rFonts w:hint="eastAsia" w:ascii="宋体" w:hAnsi="宋体" w:eastAsia="宋体" w:cs="宋体"/>
          <w:lang w:eastAsia="zh-CN"/>
        </w:rPr>
      </w:pPr>
      <w:bookmarkStart w:id="466" w:name="_Toc574"/>
      <w:r>
        <w:rPr>
          <w:rFonts w:hint="eastAsia" w:ascii="宋体" w:hAnsi="宋体" w:eastAsia="宋体" w:cs="宋体"/>
          <w:lang w:eastAsia="zh-CN"/>
        </w:rPr>
        <w:t>拟委任的主要人员汇总表</w:t>
      </w:r>
      <w:bookmarkEnd w:id="466"/>
    </w:p>
    <w:tbl>
      <w:tblPr>
        <w:tblStyle w:val="1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781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66E43FA7">
            <w:pPr>
              <w:pStyle w:val="29"/>
              <w:spacing w:line="360" w:lineRule="auto"/>
              <w:ind w:firstLine="0"/>
              <w:jc w:val="center"/>
              <w:rPr>
                <w:sz w:val="21"/>
                <w:szCs w:val="21"/>
              </w:rPr>
            </w:pPr>
            <w:r>
              <w:rPr>
                <w:rFonts w:hint="eastAsia"/>
                <w:sz w:val="21"/>
                <w:szCs w:val="21"/>
              </w:rPr>
              <w:t>序号</w:t>
            </w:r>
          </w:p>
        </w:tc>
        <w:tc>
          <w:tcPr>
            <w:tcW w:w="1435" w:type="dxa"/>
            <w:vMerge w:val="restart"/>
            <w:shd w:val="clear" w:color="auto" w:fill="FFFFFF"/>
            <w:vAlign w:val="center"/>
          </w:tcPr>
          <w:p w14:paraId="51ABF06E">
            <w:pPr>
              <w:pStyle w:val="29"/>
              <w:spacing w:line="36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14:paraId="7562E7A0">
            <w:pPr>
              <w:pStyle w:val="29"/>
              <w:spacing w:line="36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14:paraId="2C088BF0">
            <w:pPr>
              <w:pStyle w:val="29"/>
              <w:spacing w:line="36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14:paraId="146DBDB8">
            <w:pPr>
              <w:pStyle w:val="29"/>
              <w:spacing w:line="36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14:paraId="7C780297">
            <w:pPr>
              <w:pStyle w:val="29"/>
              <w:spacing w:line="36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14:paraId="0E5EA302">
            <w:pPr>
              <w:pStyle w:val="29"/>
              <w:spacing w:line="360" w:lineRule="auto"/>
              <w:ind w:firstLine="0"/>
              <w:jc w:val="center"/>
              <w:rPr>
                <w:sz w:val="21"/>
                <w:szCs w:val="21"/>
              </w:rPr>
            </w:pPr>
            <w:r>
              <w:rPr>
                <w:rFonts w:hint="eastAsia"/>
                <w:sz w:val="21"/>
                <w:szCs w:val="21"/>
              </w:rPr>
              <w:t>备注</w:t>
            </w:r>
          </w:p>
        </w:tc>
      </w:tr>
      <w:tr w14:paraId="540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5FCDC71">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14:paraId="3633003F">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14:paraId="08D02431">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14:paraId="26FB8B43">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14:paraId="1F992B81">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14:paraId="1C577D99">
            <w:pPr>
              <w:pStyle w:val="29"/>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14:paraId="3E624E64">
            <w:pPr>
              <w:pStyle w:val="29"/>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14:paraId="2ACCE773">
            <w:pPr>
              <w:pStyle w:val="29"/>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14:paraId="3D3D0038">
            <w:pPr>
              <w:spacing w:line="360" w:lineRule="auto"/>
              <w:ind w:firstLine="360" w:firstLineChars="200"/>
              <w:jc w:val="center"/>
              <w:rPr>
                <w:rFonts w:ascii="宋体" w:hAnsi="宋体" w:eastAsia="宋体" w:cs="宋体"/>
                <w:sz w:val="18"/>
                <w:szCs w:val="18"/>
              </w:rPr>
            </w:pPr>
          </w:p>
        </w:tc>
      </w:tr>
      <w:tr w14:paraId="2C7E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24A5763">
            <w:pPr>
              <w:spacing w:line="360" w:lineRule="auto"/>
              <w:jc w:val="center"/>
              <w:rPr>
                <w:rFonts w:ascii="宋体" w:hAnsi="宋体" w:eastAsia="宋体" w:cs="宋体"/>
                <w:sz w:val="18"/>
                <w:szCs w:val="18"/>
              </w:rPr>
            </w:pPr>
          </w:p>
        </w:tc>
        <w:tc>
          <w:tcPr>
            <w:tcW w:w="1435" w:type="dxa"/>
            <w:shd w:val="clear" w:color="auto" w:fill="FFFFFF"/>
            <w:vAlign w:val="center"/>
          </w:tcPr>
          <w:p w14:paraId="1826CE3E">
            <w:pPr>
              <w:spacing w:line="360" w:lineRule="auto"/>
              <w:jc w:val="center"/>
              <w:rPr>
                <w:rFonts w:ascii="宋体" w:hAnsi="宋体" w:eastAsia="宋体" w:cs="宋体"/>
                <w:sz w:val="18"/>
                <w:szCs w:val="18"/>
              </w:rPr>
            </w:pPr>
          </w:p>
        </w:tc>
        <w:tc>
          <w:tcPr>
            <w:tcW w:w="1133" w:type="dxa"/>
            <w:shd w:val="clear" w:color="auto" w:fill="FFFFFF"/>
            <w:vAlign w:val="center"/>
          </w:tcPr>
          <w:p w14:paraId="1691C11E">
            <w:pPr>
              <w:spacing w:line="360" w:lineRule="auto"/>
              <w:jc w:val="center"/>
              <w:rPr>
                <w:rFonts w:ascii="宋体" w:hAnsi="宋体" w:eastAsia="宋体" w:cs="宋体"/>
                <w:sz w:val="18"/>
                <w:szCs w:val="18"/>
              </w:rPr>
            </w:pPr>
          </w:p>
        </w:tc>
        <w:tc>
          <w:tcPr>
            <w:tcW w:w="686" w:type="dxa"/>
            <w:shd w:val="clear" w:color="auto" w:fill="FFFFFF"/>
            <w:vAlign w:val="center"/>
          </w:tcPr>
          <w:p w14:paraId="31668288">
            <w:pPr>
              <w:spacing w:line="360" w:lineRule="auto"/>
              <w:jc w:val="center"/>
              <w:rPr>
                <w:rFonts w:ascii="宋体" w:hAnsi="宋体" w:eastAsia="宋体" w:cs="宋体"/>
                <w:sz w:val="18"/>
                <w:szCs w:val="18"/>
              </w:rPr>
            </w:pPr>
          </w:p>
        </w:tc>
        <w:tc>
          <w:tcPr>
            <w:tcW w:w="677" w:type="dxa"/>
            <w:shd w:val="clear" w:color="auto" w:fill="FFFFFF"/>
            <w:vAlign w:val="center"/>
          </w:tcPr>
          <w:p w14:paraId="59C25BB0">
            <w:pPr>
              <w:spacing w:line="360" w:lineRule="auto"/>
              <w:jc w:val="center"/>
              <w:rPr>
                <w:rFonts w:ascii="宋体" w:hAnsi="宋体" w:eastAsia="宋体" w:cs="宋体"/>
                <w:sz w:val="18"/>
                <w:szCs w:val="18"/>
              </w:rPr>
            </w:pPr>
          </w:p>
        </w:tc>
        <w:tc>
          <w:tcPr>
            <w:tcW w:w="1238" w:type="dxa"/>
            <w:shd w:val="clear" w:color="auto" w:fill="FFFFFF"/>
            <w:vAlign w:val="center"/>
          </w:tcPr>
          <w:p w14:paraId="7629DC9C">
            <w:pPr>
              <w:spacing w:line="360" w:lineRule="auto"/>
              <w:jc w:val="center"/>
              <w:rPr>
                <w:rFonts w:ascii="宋体" w:hAnsi="宋体" w:eastAsia="宋体" w:cs="宋体"/>
                <w:sz w:val="18"/>
                <w:szCs w:val="18"/>
              </w:rPr>
            </w:pPr>
          </w:p>
        </w:tc>
        <w:tc>
          <w:tcPr>
            <w:tcW w:w="850" w:type="dxa"/>
            <w:shd w:val="clear" w:color="auto" w:fill="FFFFFF"/>
            <w:vAlign w:val="center"/>
          </w:tcPr>
          <w:p w14:paraId="67653BB9">
            <w:pPr>
              <w:spacing w:line="360" w:lineRule="auto"/>
              <w:jc w:val="center"/>
              <w:rPr>
                <w:rFonts w:ascii="宋体" w:hAnsi="宋体" w:eastAsia="宋体" w:cs="宋体"/>
                <w:sz w:val="18"/>
                <w:szCs w:val="18"/>
              </w:rPr>
            </w:pPr>
          </w:p>
        </w:tc>
        <w:tc>
          <w:tcPr>
            <w:tcW w:w="850" w:type="dxa"/>
            <w:shd w:val="clear" w:color="auto" w:fill="FFFFFF"/>
            <w:vAlign w:val="center"/>
          </w:tcPr>
          <w:p w14:paraId="3BE6B57B">
            <w:pPr>
              <w:spacing w:line="360" w:lineRule="auto"/>
              <w:jc w:val="center"/>
              <w:rPr>
                <w:rFonts w:ascii="宋体" w:hAnsi="宋体" w:eastAsia="宋体" w:cs="宋体"/>
                <w:sz w:val="18"/>
                <w:szCs w:val="18"/>
              </w:rPr>
            </w:pPr>
          </w:p>
        </w:tc>
        <w:tc>
          <w:tcPr>
            <w:tcW w:w="1382" w:type="dxa"/>
            <w:shd w:val="clear" w:color="auto" w:fill="FFFFFF"/>
            <w:vAlign w:val="center"/>
          </w:tcPr>
          <w:p w14:paraId="2C0E62D9">
            <w:pPr>
              <w:spacing w:line="360" w:lineRule="auto"/>
              <w:jc w:val="center"/>
              <w:rPr>
                <w:rFonts w:ascii="宋体" w:hAnsi="宋体" w:eastAsia="宋体" w:cs="宋体"/>
                <w:sz w:val="18"/>
                <w:szCs w:val="18"/>
              </w:rPr>
            </w:pPr>
          </w:p>
        </w:tc>
      </w:tr>
      <w:tr w14:paraId="5C2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5346FD6">
            <w:pPr>
              <w:spacing w:line="360" w:lineRule="auto"/>
              <w:jc w:val="center"/>
              <w:rPr>
                <w:rFonts w:ascii="宋体" w:hAnsi="宋体" w:eastAsia="宋体" w:cs="宋体"/>
                <w:sz w:val="18"/>
                <w:szCs w:val="18"/>
              </w:rPr>
            </w:pPr>
          </w:p>
        </w:tc>
        <w:tc>
          <w:tcPr>
            <w:tcW w:w="1435" w:type="dxa"/>
            <w:shd w:val="clear" w:color="auto" w:fill="FFFFFF"/>
            <w:vAlign w:val="center"/>
          </w:tcPr>
          <w:p w14:paraId="350C0599">
            <w:pPr>
              <w:spacing w:line="360" w:lineRule="auto"/>
              <w:jc w:val="center"/>
              <w:rPr>
                <w:rFonts w:ascii="宋体" w:hAnsi="宋体" w:eastAsia="宋体" w:cs="宋体"/>
                <w:sz w:val="18"/>
                <w:szCs w:val="18"/>
              </w:rPr>
            </w:pPr>
          </w:p>
        </w:tc>
        <w:tc>
          <w:tcPr>
            <w:tcW w:w="1133" w:type="dxa"/>
            <w:shd w:val="clear" w:color="auto" w:fill="FFFFFF"/>
            <w:vAlign w:val="center"/>
          </w:tcPr>
          <w:p w14:paraId="13BC4847">
            <w:pPr>
              <w:spacing w:line="360" w:lineRule="auto"/>
              <w:jc w:val="center"/>
              <w:rPr>
                <w:rFonts w:ascii="宋体" w:hAnsi="宋体" w:eastAsia="宋体" w:cs="宋体"/>
                <w:sz w:val="18"/>
                <w:szCs w:val="18"/>
              </w:rPr>
            </w:pPr>
          </w:p>
        </w:tc>
        <w:tc>
          <w:tcPr>
            <w:tcW w:w="686" w:type="dxa"/>
            <w:shd w:val="clear" w:color="auto" w:fill="FFFFFF"/>
            <w:vAlign w:val="center"/>
          </w:tcPr>
          <w:p w14:paraId="73F9A863">
            <w:pPr>
              <w:spacing w:line="360" w:lineRule="auto"/>
              <w:jc w:val="center"/>
              <w:rPr>
                <w:rFonts w:ascii="宋体" w:hAnsi="宋体" w:eastAsia="宋体" w:cs="宋体"/>
                <w:sz w:val="18"/>
                <w:szCs w:val="18"/>
              </w:rPr>
            </w:pPr>
          </w:p>
        </w:tc>
        <w:tc>
          <w:tcPr>
            <w:tcW w:w="677" w:type="dxa"/>
            <w:shd w:val="clear" w:color="auto" w:fill="FFFFFF"/>
            <w:vAlign w:val="center"/>
          </w:tcPr>
          <w:p w14:paraId="3CAD9293">
            <w:pPr>
              <w:spacing w:line="360" w:lineRule="auto"/>
              <w:jc w:val="center"/>
              <w:rPr>
                <w:rFonts w:ascii="宋体" w:hAnsi="宋体" w:eastAsia="宋体" w:cs="宋体"/>
                <w:sz w:val="18"/>
                <w:szCs w:val="18"/>
              </w:rPr>
            </w:pPr>
          </w:p>
        </w:tc>
        <w:tc>
          <w:tcPr>
            <w:tcW w:w="1238" w:type="dxa"/>
            <w:shd w:val="clear" w:color="auto" w:fill="FFFFFF"/>
            <w:vAlign w:val="center"/>
          </w:tcPr>
          <w:p w14:paraId="21836C6B">
            <w:pPr>
              <w:spacing w:line="360" w:lineRule="auto"/>
              <w:jc w:val="center"/>
              <w:rPr>
                <w:rFonts w:ascii="宋体" w:hAnsi="宋体" w:eastAsia="宋体" w:cs="宋体"/>
                <w:sz w:val="18"/>
                <w:szCs w:val="18"/>
              </w:rPr>
            </w:pPr>
          </w:p>
        </w:tc>
        <w:tc>
          <w:tcPr>
            <w:tcW w:w="850" w:type="dxa"/>
            <w:shd w:val="clear" w:color="auto" w:fill="FFFFFF"/>
            <w:vAlign w:val="center"/>
          </w:tcPr>
          <w:p w14:paraId="71752A4A">
            <w:pPr>
              <w:spacing w:line="360" w:lineRule="auto"/>
              <w:jc w:val="center"/>
              <w:rPr>
                <w:rFonts w:ascii="宋体" w:hAnsi="宋体" w:eastAsia="宋体" w:cs="宋体"/>
                <w:sz w:val="18"/>
                <w:szCs w:val="18"/>
              </w:rPr>
            </w:pPr>
          </w:p>
        </w:tc>
        <w:tc>
          <w:tcPr>
            <w:tcW w:w="850" w:type="dxa"/>
            <w:shd w:val="clear" w:color="auto" w:fill="FFFFFF"/>
            <w:vAlign w:val="center"/>
          </w:tcPr>
          <w:p w14:paraId="2FCF9516">
            <w:pPr>
              <w:spacing w:line="360" w:lineRule="auto"/>
              <w:jc w:val="center"/>
              <w:rPr>
                <w:rFonts w:ascii="宋体" w:hAnsi="宋体" w:eastAsia="宋体" w:cs="宋体"/>
                <w:sz w:val="18"/>
                <w:szCs w:val="18"/>
              </w:rPr>
            </w:pPr>
          </w:p>
        </w:tc>
        <w:tc>
          <w:tcPr>
            <w:tcW w:w="1382" w:type="dxa"/>
            <w:shd w:val="clear" w:color="auto" w:fill="FFFFFF"/>
            <w:vAlign w:val="center"/>
          </w:tcPr>
          <w:p w14:paraId="2DC8635D">
            <w:pPr>
              <w:spacing w:line="360" w:lineRule="auto"/>
              <w:jc w:val="center"/>
              <w:rPr>
                <w:rFonts w:ascii="宋体" w:hAnsi="宋体" w:eastAsia="宋体" w:cs="宋体"/>
                <w:sz w:val="18"/>
                <w:szCs w:val="18"/>
              </w:rPr>
            </w:pPr>
          </w:p>
        </w:tc>
      </w:tr>
      <w:tr w14:paraId="6CCF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D062FC">
            <w:pPr>
              <w:spacing w:line="360" w:lineRule="auto"/>
              <w:jc w:val="center"/>
              <w:rPr>
                <w:rFonts w:ascii="宋体" w:hAnsi="宋体" w:eastAsia="宋体" w:cs="宋体"/>
                <w:sz w:val="18"/>
                <w:szCs w:val="18"/>
              </w:rPr>
            </w:pPr>
          </w:p>
        </w:tc>
        <w:tc>
          <w:tcPr>
            <w:tcW w:w="1435" w:type="dxa"/>
            <w:shd w:val="clear" w:color="auto" w:fill="FFFFFF"/>
            <w:vAlign w:val="center"/>
          </w:tcPr>
          <w:p w14:paraId="55DD1061">
            <w:pPr>
              <w:spacing w:line="360" w:lineRule="auto"/>
              <w:jc w:val="center"/>
              <w:rPr>
                <w:rFonts w:ascii="宋体" w:hAnsi="宋体" w:eastAsia="宋体" w:cs="宋体"/>
                <w:sz w:val="18"/>
                <w:szCs w:val="18"/>
              </w:rPr>
            </w:pPr>
          </w:p>
        </w:tc>
        <w:tc>
          <w:tcPr>
            <w:tcW w:w="1133" w:type="dxa"/>
            <w:shd w:val="clear" w:color="auto" w:fill="FFFFFF"/>
            <w:vAlign w:val="center"/>
          </w:tcPr>
          <w:p w14:paraId="13E91913">
            <w:pPr>
              <w:spacing w:line="360" w:lineRule="auto"/>
              <w:jc w:val="center"/>
              <w:rPr>
                <w:rFonts w:ascii="宋体" w:hAnsi="宋体" w:eastAsia="宋体" w:cs="宋体"/>
                <w:sz w:val="18"/>
                <w:szCs w:val="18"/>
              </w:rPr>
            </w:pPr>
          </w:p>
        </w:tc>
        <w:tc>
          <w:tcPr>
            <w:tcW w:w="686" w:type="dxa"/>
            <w:shd w:val="clear" w:color="auto" w:fill="FFFFFF"/>
            <w:vAlign w:val="center"/>
          </w:tcPr>
          <w:p w14:paraId="30FFC6BC">
            <w:pPr>
              <w:spacing w:line="360" w:lineRule="auto"/>
              <w:jc w:val="center"/>
              <w:rPr>
                <w:rFonts w:ascii="宋体" w:hAnsi="宋体" w:eastAsia="宋体" w:cs="宋体"/>
                <w:sz w:val="18"/>
                <w:szCs w:val="18"/>
              </w:rPr>
            </w:pPr>
          </w:p>
        </w:tc>
        <w:tc>
          <w:tcPr>
            <w:tcW w:w="677" w:type="dxa"/>
            <w:shd w:val="clear" w:color="auto" w:fill="FFFFFF"/>
            <w:vAlign w:val="center"/>
          </w:tcPr>
          <w:p w14:paraId="76F393A4">
            <w:pPr>
              <w:spacing w:line="360" w:lineRule="auto"/>
              <w:jc w:val="center"/>
              <w:rPr>
                <w:rFonts w:ascii="宋体" w:hAnsi="宋体" w:eastAsia="宋体" w:cs="宋体"/>
                <w:sz w:val="18"/>
                <w:szCs w:val="18"/>
              </w:rPr>
            </w:pPr>
          </w:p>
        </w:tc>
        <w:tc>
          <w:tcPr>
            <w:tcW w:w="1238" w:type="dxa"/>
            <w:shd w:val="clear" w:color="auto" w:fill="FFFFFF"/>
            <w:vAlign w:val="center"/>
          </w:tcPr>
          <w:p w14:paraId="220478F5">
            <w:pPr>
              <w:spacing w:line="360" w:lineRule="auto"/>
              <w:jc w:val="center"/>
              <w:rPr>
                <w:rFonts w:ascii="宋体" w:hAnsi="宋体" w:eastAsia="宋体" w:cs="宋体"/>
                <w:sz w:val="18"/>
                <w:szCs w:val="18"/>
              </w:rPr>
            </w:pPr>
          </w:p>
        </w:tc>
        <w:tc>
          <w:tcPr>
            <w:tcW w:w="850" w:type="dxa"/>
            <w:shd w:val="clear" w:color="auto" w:fill="FFFFFF"/>
            <w:vAlign w:val="center"/>
          </w:tcPr>
          <w:p w14:paraId="2B83A076">
            <w:pPr>
              <w:spacing w:line="360" w:lineRule="auto"/>
              <w:jc w:val="center"/>
              <w:rPr>
                <w:rFonts w:ascii="宋体" w:hAnsi="宋体" w:eastAsia="宋体" w:cs="宋体"/>
                <w:sz w:val="18"/>
                <w:szCs w:val="18"/>
              </w:rPr>
            </w:pPr>
          </w:p>
        </w:tc>
        <w:tc>
          <w:tcPr>
            <w:tcW w:w="850" w:type="dxa"/>
            <w:shd w:val="clear" w:color="auto" w:fill="FFFFFF"/>
            <w:vAlign w:val="center"/>
          </w:tcPr>
          <w:p w14:paraId="40A722E5">
            <w:pPr>
              <w:spacing w:line="360" w:lineRule="auto"/>
              <w:jc w:val="center"/>
              <w:rPr>
                <w:rFonts w:ascii="宋体" w:hAnsi="宋体" w:eastAsia="宋体" w:cs="宋体"/>
                <w:sz w:val="18"/>
                <w:szCs w:val="18"/>
              </w:rPr>
            </w:pPr>
          </w:p>
        </w:tc>
        <w:tc>
          <w:tcPr>
            <w:tcW w:w="1382" w:type="dxa"/>
            <w:shd w:val="clear" w:color="auto" w:fill="FFFFFF"/>
            <w:vAlign w:val="center"/>
          </w:tcPr>
          <w:p w14:paraId="58BB329A">
            <w:pPr>
              <w:spacing w:line="360" w:lineRule="auto"/>
              <w:jc w:val="center"/>
              <w:rPr>
                <w:rFonts w:ascii="宋体" w:hAnsi="宋体" w:eastAsia="宋体" w:cs="宋体"/>
                <w:sz w:val="18"/>
                <w:szCs w:val="18"/>
              </w:rPr>
            </w:pPr>
          </w:p>
        </w:tc>
      </w:tr>
      <w:tr w14:paraId="4481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79210A8">
            <w:pPr>
              <w:spacing w:line="360" w:lineRule="auto"/>
              <w:jc w:val="center"/>
              <w:rPr>
                <w:rFonts w:ascii="宋体" w:hAnsi="宋体" w:eastAsia="宋体" w:cs="宋体"/>
                <w:sz w:val="18"/>
                <w:szCs w:val="18"/>
              </w:rPr>
            </w:pPr>
          </w:p>
        </w:tc>
        <w:tc>
          <w:tcPr>
            <w:tcW w:w="1435" w:type="dxa"/>
            <w:shd w:val="clear" w:color="auto" w:fill="FFFFFF"/>
            <w:vAlign w:val="center"/>
          </w:tcPr>
          <w:p w14:paraId="554025FC">
            <w:pPr>
              <w:spacing w:line="360" w:lineRule="auto"/>
              <w:jc w:val="center"/>
              <w:rPr>
                <w:rFonts w:ascii="宋体" w:hAnsi="宋体" w:eastAsia="宋体" w:cs="宋体"/>
                <w:sz w:val="18"/>
                <w:szCs w:val="18"/>
              </w:rPr>
            </w:pPr>
          </w:p>
        </w:tc>
        <w:tc>
          <w:tcPr>
            <w:tcW w:w="1133" w:type="dxa"/>
            <w:shd w:val="clear" w:color="auto" w:fill="FFFFFF"/>
            <w:vAlign w:val="center"/>
          </w:tcPr>
          <w:p w14:paraId="3B5767EE">
            <w:pPr>
              <w:spacing w:line="360" w:lineRule="auto"/>
              <w:jc w:val="center"/>
              <w:rPr>
                <w:rFonts w:ascii="宋体" w:hAnsi="宋体" w:eastAsia="宋体" w:cs="宋体"/>
                <w:sz w:val="18"/>
                <w:szCs w:val="18"/>
              </w:rPr>
            </w:pPr>
          </w:p>
        </w:tc>
        <w:tc>
          <w:tcPr>
            <w:tcW w:w="686" w:type="dxa"/>
            <w:shd w:val="clear" w:color="auto" w:fill="FFFFFF"/>
            <w:vAlign w:val="center"/>
          </w:tcPr>
          <w:p w14:paraId="70914B0C">
            <w:pPr>
              <w:spacing w:line="360" w:lineRule="auto"/>
              <w:jc w:val="center"/>
              <w:rPr>
                <w:rFonts w:ascii="宋体" w:hAnsi="宋体" w:eastAsia="宋体" w:cs="宋体"/>
                <w:sz w:val="18"/>
                <w:szCs w:val="18"/>
              </w:rPr>
            </w:pPr>
          </w:p>
        </w:tc>
        <w:tc>
          <w:tcPr>
            <w:tcW w:w="677" w:type="dxa"/>
            <w:shd w:val="clear" w:color="auto" w:fill="FFFFFF"/>
            <w:vAlign w:val="center"/>
          </w:tcPr>
          <w:p w14:paraId="26FBC697">
            <w:pPr>
              <w:spacing w:line="360" w:lineRule="auto"/>
              <w:jc w:val="center"/>
              <w:rPr>
                <w:rFonts w:ascii="宋体" w:hAnsi="宋体" w:eastAsia="宋体" w:cs="宋体"/>
                <w:sz w:val="18"/>
                <w:szCs w:val="18"/>
              </w:rPr>
            </w:pPr>
          </w:p>
        </w:tc>
        <w:tc>
          <w:tcPr>
            <w:tcW w:w="1238" w:type="dxa"/>
            <w:shd w:val="clear" w:color="auto" w:fill="FFFFFF"/>
            <w:vAlign w:val="center"/>
          </w:tcPr>
          <w:p w14:paraId="794FB6D1">
            <w:pPr>
              <w:spacing w:line="360" w:lineRule="auto"/>
              <w:jc w:val="center"/>
              <w:rPr>
                <w:rFonts w:ascii="宋体" w:hAnsi="宋体" w:eastAsia="宋体" w:cs="宋体"/>
                <w:sz w:val="18"/>
                <w:szCs w:val="18"/>
              </w:rPr>
            </w:pPr>
          </w:p>
        </w:tc>
        <w:tc>
          <w:tcPr>
            <w:tcW w:w="850" w:type="dxa"/>
            <w:shd w:val="clear" w:color="auto" w:fill="FFFFFF"/>
            <w:vAlign w:val="center"/>
          </w:tcPr>
          <w:p w14:paraId="1DDC68E0">
            <w:pPr>
              <w:spacing w:line="360" w:lineRule="auto"/>
              <w:jc w:val="center"/>
              <w:rPr>
                <w:rFonts w:ascii="宋体" w:hAnsi="宋体" w:eastAsia="宋体" w:cs="宋体"/>
                <w:sz w:val="18"/>
                <w:szCs w:val="18"/>
              </w:rPr>
            </w:pPr>
          </w:p>
        </w:tc>
        <w:tc>
          <w:tcPr>
            <w:tcW w:w="850" w:type="dxa"/>
            <w:shd w:val="clear" w:color="auto" w:fill="FFFFFF"/>
            <w:vAlign w:val="center"/>
          </w:tcPr>
          <w:p w14:paraId="7379351C">
            <w:pPr>
              <w:spacing w:line="360" w:lineRule="auto"/>
              <w:jc w:val="center"/>
              <w:rPr>
                <w:rFonts w:ascii="宋体" w:hAnsi="宋体" w:eastAsia="宋体" w:cs="宋体"/>
                <w:sz w:val="18"/>
                <w:szCs w:val="18"/>
              </w:rPr>
            </w:pPr>
          </w:p>
        </w:tc>
        <w:tc>
          <w:tcPr>
            <w:tcW w:w="1382" w:type="dxa"/>
            <w:shd w:val="clear" w:color="auto" w:fill="FFFFFF"/>
            <w:vAlign w:val="center"/>
          </w:tcPr>
          <w:p w14:paraId="52C65A58">
            <w:pPr>
              <w:spacing w:line="360" w:lineRule="auto"/>
              <w:jc w:val="center"/>
              <w:rPr>
                <w:rFonts w:ascii="宋体" w:hAnsi="宋体" w:eastAsia="宋体" w:cs="宋体"/>
                <w:sz w:val="18"/>
                <w:szCs w:val="18"/>
              </w:rPr>
            </w:pPr>
          </w:p>
        </w:tc>
      </w:tr>
      <w:tr w14:paraId="1C18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EEB949C">
            <w:pPr>
              <w:spacing w:line="360" w:lineRule="auto"/>
              <w:jc w:val="center"/>
              <w:rPr>
                <w:rFonts w:ascii="宋体" w:hAnsi="宋体" w:eastAsia="宋体" w:cs="宋体"/>
                <w:sz w:val="18"/>
                <w:szCs w:val="18"/>
              </w:rPr>
            </w:pPr>
          </w:p>
        </w:tc>
        <w:tc>
          <w:tcPr>
            <w:tcW w:w="1435" w:type="dxa"/>
            <w:shd w:val="clear" w:color="auto" w:fill="FFFFFF"/>
            <w:vAlign w:val="center"/>
          </w:tcPr>
          <w:p w14:paraId="3D133381">
            <w:pPr>
              <w:spacing w:line="360" w:lineRule="auto"/>
              <w:jc w:val="center"/>
              <w:rPr>
                <w:rFonts w:ascii="宋体" w:hAnsi="宋体" w:eastAsia="宋体" w:cs="宋体"/>
                <w:sz w:val="18"/>
                <w:szCs w:val="18"/>
              </w:rPr>
            </w:pPr>
          </w:p>
        </w:tc>
        <w:tc>
          <w:tcPr>
            <w:tcW w:w="1133" w:type="dxa"/>
            <w:shd w:val="clear" w:color="auto" w:fill="FFFFFF"/>
            <w:vAlign w:val="center"/>
          </w:tcPr>
          <w:p w14:paraId="3ADCC5F9">
            <w:pPr>
              <w:spacing w:line="360" w:lineRule="auto"/>
              <w:jc w:val="center"/>
              <w:rPr>
                <w:rFonts w:ascii="宋体" w:hAnsi="宋体" w:eastAsia="宋体" w:cs="宋体"/>
                <w:sz w:val="18"/>
                <w:szCs w:val="18"/>
              </w:rPr>
            </w:pPr>
          </w:p>
        </w:tc>
        <w:tc>
          <w:tcPr>
            <w:tcW w:w="686" w:type="dxa"/>
            <w:shd w:val="clear" w:color="auto" w:fill="FFFFFF"/>
            <w:vAlign w:val="center"/>
          </w:tcPr>
          <w:p w14:paraId="0930C31B">
            <w:pPr>
              <w:spacing w:line="360" w:lineRule="auto"/>
              <w:jc w:val="center"/>
              <w:rPr>
                <w:rFonts w:ascii="宋体" w:hAnsi="宋体" w:eastAsia="宋体" w:cs="宋体"/>
                <w:sz w:val="18"/>
                <w:szCs w:val="18"/>
              </w:rPr>
            </w:pPr>
          </w:p>
        </w:tc>
        <w:tc>
          <w:tcPr>
            <w:tcW w:w="677" w:type="dxa"/>
            <w:shd w:val="clear" w:color="auto" w:fill="FFFFFF"/>
            <w:vAlign w:val="center"/>
          </w:tcPr>
          <w:p w14:paraId="722CDCBA">
            <w:pPr>
              <w:spacing w:line="360" w:lineRule="auto"/>
              <w:jc w:val="center"/>
              <w:rPr>
                <w:rFonts w:ascii="宋体" w:hAnsi="宋体" w:eastAsia="宋体" w:cs="宋体"/>
                <w:sz w:val="18"/>
                <w:szCs w:val="18"/>
              </w:rPr>
            </w:pPr>
          </w:p>
        </w:tc>
        <w:tc>
          <w:tcPr>
            <w:tcW w:w="1238" w:type="dxa"/>
            <w:shd w:val="clear" w:color="auto" w:fill="FFFFFF"/>
            <w:vAlign w:val="center"/>
          </w:tcPr>
          <w:p w14:paraId="0E6BC5FD">
            <w:pPr>
              <w:spacing w:line="360" w:lineRule="auto"/>
              <w:jc w:val="center"/>
              <w:rPr>
                <w:rFonts w:ascii="宋体" w:hAnsi="宋体" w:eastAsia="宋体" w:cs="宋体"/>
                <w:sz w:val="18"/>
                <w:szCs w:val="18"/>
              </w:rPr>
            </w:pPr>
          </w:p>
        </w:tc>
        <w:tc>
          <w:tcPr>
            <w:tcW w:w="850" w:type="dxa"/>
            <w:shd w:val="clear" w:color="auto" w:fill="FFFFFF"/>
            <w:vAlign w:val="center"/>
          </w:tcPr>
          <w:p w14:paraId="1AC059FE">
            <w:pPr>
              <w:spacing w:line="360" w:lineRule="auto"/>
              <w:jc w:val="center"/>
              <w:rPr>
                <w:rFonts w:ascii="宋体" w:hAnsi="宋体" w:eastAsia="宋体" w:cs="宋体"/>
                <w:sz w:val="18"/>
                <w:szCs w:val="18"/>
              </w:rPr>
            </w:pPr>
          </w:p>
        </w:tc>
        <w:tc>
          <w:tcPr>
            <w:tcW w:w="850" w:type="dxa"/>
            <w:shd w:val="clear" w:color="auto" w:fill="FFFFFF"/>
            <w:vAlign w:val="center"/>
          </w:tcPr>
          <w:p w14:paraId="4631C1A7">
            <w:pPr>
              <w:spacing w:line="360" w:lineRule="auto"/>
              <w:jc w:val="center"/>
              <w:rPr>
                <w:rFonts w:ascii="宋体" w:hAnsi="宋体" w:eastAsia="宋体" w:cs="宋体"/>
                <w:sz w:val="18"/>
                <w:szCs w:val="18"/>
              </w:rPr>
            </w:pPr>
          </w:p>
        </w:tc>
        <w:tc>
          <w:tcPr>
            <w:tcW w:w="1382" w:type="dxa"/>
            <w:shd w:val="clear" w:color="auto" w:fill="FFFFFF"/>
            <w:vAlign w:val="center"/>
          </w:tcPr>
          <w:p w14:paraId="089517AC">
            <w:pPr>
              <w:spacing w:line="360" w:lineRule="auto"/>
              <w:jc w:val="center"/>
              <w:rPr>
                <w:rFonts w:ascii="宋体" w:hAnsi="宋体" w:eastAsia="宋体" w:cs="宋体"/>
                <w:sz w:val="18"/>
                <w:szCs w:val="18"/>
              </w:rPr>
            </w:pPr>
          </w:p>
        </w:tc>
      </w:tr>
      <w:tr w14:paraId="0EA4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D3DC9F6">
            <w:pPr>
              <w:spacing w:line="360" w:lineRule="auto"/>
              <w:jc w:val="center"/>
              <w:rPr>
                <w:rFonts w:ascii="宋体" w:hAnsi="宋体" w:eastAsia="宋体" w:cs="宋体"/>
                <w:sz w:val="18"/>
                <w:szCs w:val="18"/>
              </w:rPr>
            </w:pPr>
          </w:p>
        </w:tc>
        <w:tc>
          <w:tcPr>
            <w:tcW w:w="1435" w:type="dxa"/>
            <w:shd w:val="clear" w:color="auto" w:fill="FFFFFF"/>
            <w:vAlign w:val="center"/>
          </w:tcPr>
          <w:p w14:paraId="641183DB">
            <w:pPr>
              <w:spacing w:line="360" w:lineRule="auto"/>
              <w:jc w:val="center"/>
              <w:rPr>
                <w:rFonts w:ascii="宋体" w:hAnsi="宋体" w:eastAsia="宋体" w:cs="宋体"/>
                <w:sz w:val="18"/>
                <w:szCs w:val="18"/>
              </w:rPr>
            </w:pPr>
          </w:p>
        </w:tc>
        <w:tc>
          <w:tcPr>
            <w:tcW w:w="1133" w:type="dxa"/>
            <w:shd w:val="clear" w:color="auto" w:fill="FFFFFF"/>
            <w:vAlign w:val="center"/>
          </w:tcPr>
          <w:p w14:paraId="2AE35366">
            <w:pPr>
              <w:spacing w:line="360" w:lineRule="auto"/>
              <w:jc w:val="center"/>
              <w:rPr>
                <w:rFonts w:ascii="宋体" w:hAnsi="宋体" w:eastAsia="宋体" w:cs="宋体"/>
                <w:sz w:val="18"/>
                <w:szCs w:val="18"/>
              </w:rPr>
            </w:pPr>
          </w:p>
        </w:tc>
        <w:tc>
          <w:tcPr>
            <w:tcW w:w="686" w:type="dxa"/>
            <w:shd w:val="clear" w:color="auto" w:fill="FFFFFF"/>
            <w:vAlign w:val="center"/>
          </w:tcPr>
          <w:p w14:paraId="4B0E1F58">
            <w:pPr>
              <w:spacing w:line="360" w:lineRule="auto"/>
              <w:jc w:val="center"/>
              <w:rPr>
                <w:rFonts w:ascii="宋体" w:hAnsi="宋体" w:eastAsia="宋体" w:cs="宋体"/>
                <w:sz w:val="18"/>
                <w:szCs w:val="18"/>
              </w:rPr>
            </w:pPr>
          </w:p>
        </w:tc>
        <w:tc>
          <w:tcPr>
            <w:tcW w:w="677" w:type="dxa"/>
            <w:shd w:val="clear" w:color="auto" w:fill="FFFFFF"/>
            <w:vAlign w:val="center"/>
          </w:tcPr>
          <w:p w14:paraId="5C10796D">
            <w:pPr>
              <w:spacing w:line="360" w:lineRule="auto"/>
              <w:jc w:val="center"/>
              <w:rPr>
                <w:rFonts w:ascii="宋体" w:hAnsi="宋体" w:eastAsia="宋体" w:cs="宋体"/>
                <w:sz w:val="18"/>
                <w:szCs w:val="18"/>
              </w:rPr>
            </w:pPr>
          </w:p>
        </w:tc>
        <w:tc>
          <w:tcPr>
            <w:tcW w:w="1238" w:type="dxa"/>
            <w:shd w:val="clear" w:color="auto" w:fill="FFFFFF"/>
            <w:vAlign w:val="center"/>
          </w:tcPr>
          <w:p w14:paraId="6BE3DF01">
            <w:pPr>
              <w:spacing w:line="360" w:lineRule="auto"/>
              <w:jc w:val="center"/>
              <w:rPr>
                <w:rFonts w:ascii="宋体" w:hAnsi="宋体" w:eastAsia="宋体" w:cs="宋体"/>
                <w:sz w:val="18"/>
                <w:szCs w:val="18"/>
              </w:rPr>
            </w:pPr>
          </w:p>
        </w:tc>
        <w:tc>
          <w:tcPr>
            <w:tcW w:w="850" w:type="dxa"/>
            <w:shd w:val="clear" w:color="auto" w:fill="FFFFFF"/>
            <w:vAlign w:val="center"/>
          </w:tcPr>
          <w:p w14:paraId="3708C253">
            <w:pPr>
              <w:spacing w:line="360" w:lineRule="auto"/>
              <w:jc w:val="center"/>
              <w:rPr>
                <w:rFonts w:ascii="宋体" w:hAnsi="宋体" w:eastAsia="宋体" w:cs="宋体"/>
                <w:sz w:val="18"/>
                <w:szCs w:val="18"/>
              </w:rPr>
            </w:pPr>
          </w:p>
        </w:tc>
        <w:tc>
          <w:tcPr>
            <w:tcW w:w="850" w:type="dxa"/>
            <w:shd w:val="clear" w:color="auto" w:fill="FFFFFF"/>
            <w:vAlign w:val="center"/>
          </w:tcPr>
          <w:p w14:paraId="162B2911">
            <w:pPr>
              <w:spacing w:line="360" w:lineRule="auto"/>
              <w:jc w:val="center"/>
              <w:rPr>
                <w:rFonts w:ascii="宋体" w:hAnsi="宋体" w:eastAsia="宋体" w:cs="宋体"/>
                <w:sz w:val="18"/>
                <w:szCs w:val="18"/>
              </w:rPr>
            </w:pPr>
          </w:p>
        </w:tc>
        <w:tc>
          <w:tcPr>
            <w:tcW w:w="1382" w:type="dxa"/>
            <w:shd w:val="clear" w:color="auto" w:fill="FFFFFF"/>
            <w:vAlign w:val="center"/>
          </w:tcPr>
          <w:p w14:paraId="6F2E75DA">
            <w:pPr>
              <w:spacing w:line="360" w:lineRule="auto"/>
              <w:jc w:val="center"/>
              <w:rPr>
                <w:rFonts w:ascii="宋体" w:hAnsi="宋体" w:eastAsia="宋体" w:cs="宋体"/>
                <w:sz w:val="18"/>
                <w:szCs w:val="18"/>
              </w:rPr>
            </w:pPr>
          </w:p>
        </w:tc>
      </w:tr>
      <w:tr w14:paraId="2CE3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265E2A">
            <w:pPr>
              <w:spacing w:line="360" w:lineRule="auto"/>
              <w:jc w:val="center"/>
              <w:rPr>
                <w:rFonts w:ascii="宋体" w:hAnsi="宋体" w:eastAsia="宋体" w:cs="宋体"/>
                <w:sz w:val="18"/>
                <w:szCs w:val="18"/>
              </w:rPr>
            </w:pPr>
          </w:p>
        </w:tc>
        <w:tc>
          <w:tcPr>
            <w:tcW w:w="1435" w:type="dxa"/>
            <w:shd w:val="clear" w:color="auto" w:fill="FFFFFF"/>
            <w:vAlign w:val="center"/>
          </w:tcPr>
          <w:p w14:paraId="34931356">
            <w:pPr>
              <w:spacing w:line="360" w:lineRule="auto"/>
              <w:jc w:val="center"/>
              <w:rPr>
                <w:rFonts w:ascii="宋体" w:hAnsi="宋体" w:eastAsia="宋体" w:cs="宋体"/>
                <w:sz w:val="18"/>
                <w:szCs w:val="18"/>
              </w:rPr>
            </w:pPr>
          </w:p>
        </w:tc>
        <w:tc>
          <w:tcPr>
            <w:tcW w:w="1133" w:type="dxa"/>
            <w:shd w:val="clear" w:color="auto" w:fill="FFFFFF"/>
            <w:vAlign w:val="center"/>
          </w:tcPr>
          <w:p w14:paraId="1C44B36F">
            <w:pPr>
              <w:spacing w:line="360" w:lineRule="auto"/>
              <w:jc w:val="center"/>
              <w:rPr>
                <w:rFonts w:ascii="宋体" w:hAnsi="宋体" w:eastAsia="宋体" w:cs="宋体"/>
                <w:sz w:val="18"/>
                <w:szCs w:val="18"/>
              </w:rPr>
            </w:pPr>
          </w:p>
        </w:tc>
        <w:tc>
          <w:tcPr>
            <w:tcW w:w="686" w:type="dxa"/>
            <w:shd w:val="clear" w:color="auto" w:fill="FFFFFF"/>
            <w:vAlign w:val="center"/>
          </w:tcPr>
          <w:p w14:paraId="614248DE">
            <w:pPr>
              <w:spacing w:line="360" w:lineRule="auto"/>
              <w:jc w:val="center"/>
              <w:rPr>
                <w:rFonts w:ascii="宋体" w:hAnsi="宋体" w:eastAsia="宋体" w:cs="宋体"/>
                <w:sz w:val="18"/>
                <w:szCs w:val="18"/>
              </w:rPr>
            </w:pPr>
          </w:p>
        </w:tc>
        <w:tc>
          <w:tcPr>
            <w:tcW w:w="677" w:type="dxa"/>
            <w:shd w:val="clear" w:color="auto" w:fill="FFFFFF"/>
            <w:vAlign w:val="center"/>
          </w:tcPr>
          <w:p w14:paraId="6C923D92">
            <w:pPr>
              <w:spacing w:line="360" w:lineRule="auto"/>
              <w:jc w:val="center"/>
              <w:rPr>
                <w:rFonts w:ascii="宋体" w:hAnsi="宋体" w:eastAsia="宋体" w:cs="宋体"/>
                <w:sz w:val="18"/>
                <w:szCs w:val="18"/>
              </w:rPr>
            </w:pPr>
          </w:p>
        </w:tc>
        <w:tc>
          <w:tcPr>
            <w:tcW w:w="1238" w:type="dxa"/>
            <w:shd w:val="clear" w:color="auto" w:fill="FFFFFF"/>
            <w:vAlign w:val="center"/>
          </w:tcPr>
          <w:p w14:paraId="097ED45E">
            <w:pPr>
              <w:spacing w:line="360" w:lineRule="auto"/>
              <w:jc w:val="center"/>
              <w:rPr>
                <w:rFonts w:ascii="宋体" w:hAnsi="宋体" w:eastAsia="宋体" w:cs="宋体"/>
                <w:sz w:val="18"/>
                <w:szCs w:val="18"/>
              </w:rPr>
            </w:pPr>
          </w:p>
        </w:tc>
        <w:tc>
          <w:tcPr>
            <w:tcW w:w="850" w:type="dxa"/>
            <w:shd w:val="clear" w:color="auto" w:fill="FFFFFF"/>
            <w:vAlign w:val="center"/>
          </w:tcPr>
          <w:p w14:paraId="283D4F44">
            <w:pPr>
              <w:spacing w:line="360" w:lineRule="auto"/>
              <w:jc w:val="center"/>
              <w:rPr>
                <w:rFonts w:ascii="宋体" w:hAnsi="宋体" w:eastAsia="宋体" w:cs="宋体"/>
                <w:sz w:val="18"/>
                <w:szCs w:val="18"/>
              </w:rPr>
            </w:pPr>
          </w:p>
        </w:tc>
        <w:tc>
          <w:tcPr>
            <w:tcW w:w="850" w:type="dxa"/>
            <w:shd w:val="clear" w:color="auto" w:fill="FFFFFF"/>
            <w:vAlign w:val="center"/>
          </w:tcPr>
          <w:p w14:paraId="5CA227E2">
            <w:pPr>
              <w:spacing w:line="360" w:lineRule="auto"/>
              <w:jc w:val="center"/>
              <w:rPr>
                <w:rFonts w:ascii="宋体" w:hAnsi="宋体" w:eastAsia="宋体" w:cs="宋体"/>
                <w:sz w:val="18"/>
                <w:szCs w:val="18"/>
              </w:rPr>
            </w:pPr>
          </w:p>
        </w:tc>
        <w:tc>
          <w:tcPr>
            <w:tcW w:w="1382" w:type="dxa"/>
            <w:shd w:val="clear" w:color="auto" w:fill="FFFFFF"/>
            <w:vAlign w:val="center"/>
          </w:tcPr>
          <w:p w14:paraId="3A5C1424">
            <w:pPr>
              <w:spacing w:line="360" w:lineRule="auto"/>
              <w:jc w:val="center"/>
              <w:rPr>
                <w:rFonts w:ascii="宋体" w:hAnsi="宋体" w:eastAsia="宋体" w:cs="宋体"/>
                <w:sz w:val="18"/>
                <w:szCs w:val="18"/>
              </w:rPr>
            </w:pPr>
          </w:p>
        </w:tc>
      </w:tr>
      <w:tr w14:paraId="08C1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776EB6">
            <w:pPr>
              <w:spacing w:line="360" w:lineRule="auto"/>
              <w:jc w:val="center"/>
              <w:rPr>
                <w:rFonts w:ascii="宋体" w:hAnsi="宋体" w:eastAsia="宋体" w:cs="宋体"/>
                <w:sz w:val="18"/>
                <w:szCs w:val="18"/>
              </w:rPr>
            </w:pPr>
          </w:p>
        </w:tc>
        <w:tc>
          <w:tcPr>
            <w:tcW w:w="1435" w:type="dxa"/>
            <w:shd w:val="clear" w:color="auto" w:fill="FFFFFF"/>
            <w:vAlign w:val="center"/>
          </w:tcPr>
          <w:p w14:paraId="5DA2D142">
            <w:pPr>
              <w:spacing w:line="360" w:lineRule="auto"/>
              <w:jc w:val="center"/>
              <w:rPr>
                <w:rFonts w:ascii="宋体" w:hAnsi="宋体" w:eastAsia="宋体" w:cs="宋体"/>
                <w:sz w:val="18"/>
                <w:szCs w:val="18"/>
              </w:rPr>
            </w:pPr>
          </w:p>
        </w:tc>
        <w:tc>
          <w:tcPr>
            <w:tcW w:w="1133" w:type="dxa"/>
            <w:shd w:val="clear" w:color="auto" w:fill="FFFFFF"/>
            <w:vAlign w:val="center"/>
          </w:tcPr>
          <w:p w14:paraId="23B8A326">
            <w:pPr>
              <w:spacing w:line="360" w:lineRule="auto"/>
              <w:jc w:val="center"/>
              <w:rPr>
                <w:rFonts w:ascii="宋体" w:hAnsi="宋体" w:eastAsia="宋体" w:cs="宋体"/>
                <w:sz w:val="18"/>
                <w:szCs w:val="18"/>
              </w:rPr>
            </w:pPr>
          </w:p>
        </w:tc>
        <w:tc>
          <w:tcPr>
            <w:tcW w:w="686" w:type="dxa"/>
            <w:shd w:val="clear" w:color="auto" w:fill="FFFFFF"/>
            <w:vAlign w:val="center"/>
          </w:tcPr>
          <w:p w14:paraId="389150D2">
            <w:pPr>
              <w:spacing w:line="360" w:lineRule="auto"/>
              <w:jc w:val="center"/>
              <w:rPr>
                <w:rFonts w:ascii="宋体" w:hAnsi="宋体" w:eastAsia="宋体" w:cs="宋体"/>
                <w:sz w:val="18"/>
                <w:szCs w:val="18"/>
              </w:rPr>
            </w:pPr>
          </w:p>
        </w:tc>
        <w:tc>
          <w:tcPr>
            <w:tcW w:w="677" w:type="dxa"/>
            <w:shd w:val="clear" w:color="auto" w:fill="FFFFFF"/>
            <w:vAlign w:val="center"/>
          </w:tcPr>
          <w:p w14:paraId="7193AE93">
            <w:pPr>
              <w:spacing w:line="360" w:lineRule="auto"/>
              <w:jc w:val="center"/>
              <w:rPr>
                <w:rFonts w:ascii="宋体" w:hAnsi="宋体" w:eastAsia="宋体" w:cs="宋体"/>
                <w:sz w:val="18"/>
                <w:szCs w:val="18"/>
              </w:rPr>
            </w:pPr>
          </w:p>
        </w:tc>
        <w:tc>
          <w:tcPr>
            <w:tcW w:w="1238" w:type="dxa"/>
            <w:shd w:val="clear" w:color="auto" w:fill="FFFFFF"/>
            <w:vAlign w:val="center"/>
          </w:tcPr>
          <w:p w14:paraId="798C38FE">
            <w:pPr>
              <w:spacing w:line="360" w:lineRule="auto"/>
              <w:jc w:val="center"/>
              <w:rPr>
                <w:rFonts w:ascii="宋体" w:hAnsi="宋体" w:eastAsia="宋体" w:cs="宋体"/>
                <w:sz w:val="18"/>
                <w:szCs w:val="18"/>
              </w:rPr>
            </w:pPr>
          </w:p>
        </w:tc>
        <w:tc>
          <w:tcPr>
            <w:tcW w:w="850" w:type="dxa"/>
            <w:shd w:val="clear" w:color="auto" w:fill="FFFFFF"/>
            <w:vAlign w:val="center"/>
          </w:tcPr>
          <w:p w14:paraId="08AA971B">
            <w:pPr>
              <w:spacing w:line="360" w:lineRule="auto"/>
              <w:jc w:val="center"/>
              <w:rPr>
                <w:rFonts w:ascii="宋体" w:hAnsi="宋体" w:eastAsia="宋体" w:cs="宋体"/>
                <w:sz w:val="18"/>
                <w:szCs w:val="18"/>
              </w:rPr>
            </w:pPr>
          </w:p>
        </w:tc>
        <w:tc>
          <w:tcPr>
            <w:tcW w:w="850" w:type="dxa"/>
            <w:shd w:val="clear" w:color="auto" w:fill="FFFFFF"/>
            <w:vAlign w:val="center"/>
          </w:tcPr>
          <w:p w14:paraId="34152070">
            <w:pPr>
              <w:spacing w:line="360" w:lineRule="auto"/>
              <w:jc w:val="center"/>
              <w:rPr>
                <w:rFonts w:ascii="宋体" w:hAnsi="宋体" w:eastAsia="宋体" w:cs="宋体"/>
                <w:sz w:val="18"/>
                <w:szCs w:val="18"/>
              </w:rPr>
            </w:pPr>
          </w:p>
        </w:tc>
        <w:tc>
          <w:tcPr>
            <w:tcW w:w="1382" w:type="dxa"/>
            <w:shd w:val="clear" w:color="auto" w:fill="FFFFFF"/>
            <w:vAlign w:val="center"/>
          </w:tcPr>
          <w:p w14:paraId="34FA08D5">
            <w:pPr>
              <w:spacing w:line="360" w:lineRule="auto"/>
              <w:jc w:val="center"/>
              <w:rPr>
                <w:rFonts w:ascii="宋体" w:hAnsi="宋体" w:eastAsia="宋体" w:cs="宋体"/>
                <w:sz w:val="18"/>
                <w:szCs w:val="18"/>
              </w:rPr>
            </w:pPr>
          </w:p>
        </w:tc>
      </w:tr>
      <w:tr w14:paraId="6F7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C3B94F">
            <w:pPr>
              <w:spacing w:line="360" w:lineRule="auto"/>
              <w:jc w:val="center"/>
              <w:rPr>
                <w:rFonts w:ascii="宋体" w:hAnsi="宋体" w:eastAsia="宋体" w:cs="宋体"/>
                <w:sz w:val="18"/>
                <w:szCs w:val="18"/>
              </w:rPr>
            </w:pPr>
          </w:p>
        </w:tc>
        <w:tc>
          <w:tcPr>
            <w:tcW w:w="1435" w:type="dxa"/>
            <w:shd w:val="clear" w:color="auto" w:fill="FFFFFF"/>
            <w:vAlign w:val="center"/>
          </w:tcPr>
          <w:p w14:paraId="569C2C27">
            <w:pPr>
              <w:spacing w:line="360" w:lineRule="auto"/>
              <w:jc w:val="center"/>
              <w:rPr>
                <w:rFonts w:ascii="宋体" w:hAnsi="宋体" w:eastAsia="宋体" w:cs="宋体"/>
                <w:sz w:val="18"/>
                <w:szCs w:val="18"/>
              </w:rPr>
            </w:pPr>
          </w:p>
        </w:tc>
        <w:tc>
          <w:tcPr>
            <w:tcW w:w="1133" w:type="dxa"/>
            <w:shd w:val="clear" w:color="auto" w:fill="FFFFFF"/>
            <w:vAlign w:val="center"/>
          </w:tcPr>
          <w:p w14:paraId="0E2BC897">
            <w:pPr>
              <w:spacing w:line="360" w:lineRule="auto"/>
              <w:jc w:val="center"/>
              <w:rPr>
                <w:rFonts w:ascii="宋体" w:hAnsi="宋体" w:eastAsia="宋体" w:cs="宋体"/>
                <w:sz w:val="18"/>
                <w:szCs w:val="18"/>
              </w:rPr>
            </w:pPr>
          </w:p>
        </w:tc>
        <w:tc>
          <w:tcPr>
            <w:tcW w:w="686" w:type="dxa"/>
            <w:shd w:val="clear" w:color="auto" w:fill="FFFFFF"/>
            <w:vAlign w:val="center"/>
          </w:tcPr>
          <w:p w14:paraId="201F3F8C">
            <w:pPr>
              <w:spacing w:line="360" w:lineRule="auto"/>
              <w:jc w:val="center"/>
              <w:rPr>
                <w:rFonts w:ascii="宋体" w:hAnsi="宋体" w:eastAsia="宋体" w:cs="宋体"/>
                <w:sz w:val="18"/>
                <w:szCs w:val="18"/>
              </w:rPr>
            </w:pPr>
          </w:p>
        </w:tc>
        <w:tc>
          <w:tcPr>
            <w:tcW w:w="677" w:type="dxa"/>
            <w:shd w:val="clear" w:color="auto" w:fill="FFFFFF"/>
            <w:vAlign w:val="center"/>
          </w:tcPr>
          <w:p w14:paraId="391A19DB">
            <w:pPr>
              <w:spacing w:line="360" w:lineRule="auto"/>
              <w:jc w:val="center"/>
              <w:rPr>
                <w:rFonts w:ascii="宋体" w:hAnsi="宋体" w:eastAsia="宋体" w:cs="宋体"/>
                <w:sz w:val="18"/>
                <w:szCs w:val="18"/>
              </w:rPr>
            </w:pPr>
          </w:p>
        </w:tc>
        <w:tc>
          <w:tcPr>
            <w:tcW w:w="1238" w:type="dxa"/>
            <w:shd w:val="clear" w:color="auto" w:fill="FFFFFF"/>
            <w:vAlign w:val="center"/>
          </w:tcPr>
          <w:p w14:paraId="583694D7">
            <w:pPr>
              <w:spacing w:line="360" w:lineRule="auto"/>
              <w:jc w:val="center"/>
              <w:rPr>
                <w:rFonts w:ascii="宋体" w:hAnsi="宋体" w:eastAsia="宋体" w:cs="宋体"/>
                <w:sz w:val="18"/>
                <w:szCs w:val="18"/>
              </w:rPr>
            </w:pPr>
          </w:p>
        </w:tc>
        <w:tc>
          <w:tcPr>
            <w:tcW w:w="850" w:type="dxa"/>
            <w:shd w:val="clear" w:color="auto" w:fill="FFFFFF"/>
            <w:vAlign w:val="center"/>
          </w:tcPr>
          <w:p w14:paraId="74555A2B">
            <w:pPr>
              <w:spacing w:line="360" w:lineRule="auto"/>
              <w:jc w:val="center"/>
              <w:rPr>
                <w:rFonts w:ascii="宋体" w:hAnsi="宋体" w:eastAsia="宋体" w:cs="宋体"/>
                <w:sz w:val="18"/>
                <w:szCs w:val="18"/>
              </w:rPr>
            </w:pPr>
          </w:p>
        </w:tc>
        <w:tc>
          <w:tcPr>
            <w:tcW w:w="850" w:type="dxa"/>
            <w:shd w:val="clear" w:color="auto" w:fill="FFFFFF"/>
            <w:vAlign w:val="center"/>
          </w:tcPr>
          <w:p w14:paraId="14801618">
            <w:pPr>
              <w:spacing w:line="360" w:lineRule="auto"/>
              <w:jc w:val="center"/>
              <w:rPr>
                <w:rFonts w:ascii="宋体" w:hAnsi="宋体" w:eastAsia="宋体" w:cs="宋体"/>
                <w:sz w:val="18"/>
                <w:szCs w:val="18"/>
              </w:rPr>
            </w:pPr>
          </w:p>
        </w:tc>
        <w:tc>
          <w:tcPr>
            <w:tcW w:w="1382" w:type="dxa"/>
            <w:shd w:val="clear" w:color="auto" w:fill="FFFFFF"/>
            <w:vAlign w:val="center"/>
          </w:tcPr>
          <w:p w14:paraId="79FEF6A2">
            <w:pPr>
              <w:spacing w:line="360" w:lineRule="auto"/>
              <w:jc w:val="center"/>
              <w:rPr>
                <w:rFonts w:ascii="宋体" w:hAnsi="宋体" w:eastAsia="宋体" w:cs="宋体"/>
                <w:sz w:val="18"/>
                <w:szCs w:val="18"/>
              </w:rPr>
            </w:pPr>
          </w:p>
        </w:tc>
      </w:tr>
      <w:tr w14:paraId="657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B02C188">
            <w:pPr>
              <w:spacing w:line="360" w:lineRule="auto"/>
              <w:jc w:val="center"/>
              <w:rPr>
                <w:rFonts w:ascii="宋体" w:hAnsi="宋体" w:eastAsia="宋体" w:cs="宋体"/>
                <w:sz w:val="18"/>
                <w:szCs w:val="18"/>
              </w:rPr>
            </w:pPr>
          </w:p>
        </w:tc>
        <w:tc>
          <w:tcPr>
            <w:tcW w:w="1435" w:type="dxa"/>
            <w:shd w:val="clear" w:color="auto" w:fill="FFFFFF"/>
            <w:vAlign w:val="center"/>
          </w:tcPr>
          <w:p w14:paraId="7EF77587">
            <w:pPr>
              <w:spacing w:line="360" w:lineRule="auto"/>
              <w:jc w:val="center"/>
              <w:rPr>
                <w:rFonts w:ascii="宋体" w:hAnsi="宋体" w:eastAsia="宋体" w:cs="宋体"/>
                <w:sz w:val="18"/>
                <w:szCs w:val="18"/>
              </w:rPr>
            </w:pPr>
          </w:p>
        </w:tc>
        <w:tc>
          <w:tcPr>
            <w:tcW w:w="1133" w:type="dxa"/>
            <w:shd w:val="clear" w:color="auto" w:fill="FFFFFF"/>
            <w:vAlign w:val="center"/>
          </w:tcPr>
          <w:p w14:paraId="2EDBBACF">
            <w:pPr>
              <w:spacing w:line="360" w:lineRule="auto"/>
              <w:jc w:val="center"/>
              <w:rPr>
                <w:rFonts w:ascii="宋体" w:hAnsi="宋体" w:eastAsia="宋体" w:cs="宋体"/>
                <w:sz w:val="18"/>
                <w:szCs w:val="18"/>
              </w:rPr>
            </w:pPr>
          </w:p>
        </w:tc>
        <w:tc>
          <w:tcPr>
            <w:tcW w:w="686" w:type="dxa"/>
            <w:shd w:val="clear" w:color="auto" w:fill="FFFFFF"/>
            <w:vAlign w:val="center"/>
          </w:tcPr>
          <w:p w14:paraId="3B73C1AE">
            <w:pPr>
              <w:spacing w:line="360" w:lineRule="auto"/>
              <w:jc w:val="center"/>
              <w:rPr>
                <w:rFonts w:ascii="宋体" w:hAnsi="宋体" w:eastAsia="宋体" w:cs="宋体"/>
                <w:sz w:val="18"/>
                <w:szCs w:val="18"/>
              </w:rPr>
            </w:pPr>
          </w:p>
        </w:tc>
        <w:tc>
          <w:tcPr>
            <w:tcW w:w="677" w:type="dxa"/>
            <w:shd w:val="clear" w:color="auto" w:fill="FFFFFF"/>
            <w:vAlign w:val="center"/>
          </w:tcPr>
          <w:p w14:paraId="2FCBF1A5">
            <w:pPr>
              <w:spacing w:line="360" w:lineRule="auto"/>
              <w:jc w:val="center"/>
              <w:rPr>
                <w:rFonts w:ascii="宋体" w:hAnsi="宋体" w:eastAsia="宋体" w:cs="宋体"/>
                <w:sz w:val="18"/>
                <w:szCs w:val="18"/>
              </w:rPr>
            </w:pPr>
          </w:p>
        </w:tc>
        <w:tc>
          <w:tcPr>
            <w:tcW w:w="1238" w:type="dxa"/>
            <w:shd w:val="clear" w:color="auto" w:fill="FFFFFF"/>
            <w:vAlign w:val="center"/>
          </w:tcPr>
          <w:p w14:paraId="1C3E97A0">
            <w:pPr>
              <w:spacing w:line="360" w:lineRule="auto"/>
              <w:jc w:val="center"/>
              <w:rPr>
                <w:rFonts w:ascii="宋体" w:hAnsi="宋体" w:eastAsia="宋体" w:cs="宋体"/>
                <w:sz w:val="18"/>
                <w:szCs w:val="18"/>
              </w:rPr>
            </w:pPr>
          </w:p>
        </w:tc>
        <w:tc>
          <w:tcPr>
            <w:tcW w:w="850" w:type="dxa"/>
            <w:shd w:val="clear" w:color="auto" w:fill="FFFFFF"/>
            <w:vAlign w:val="center"/>
          </w:tcPr>
          <w:p w14:paraId="08C68CBD">
            <w:pPr>
              <w:spacing w:line="360" w:lineRule="auto"/>
              <w:jc w:val="center"/>
              <w:rPr>
                <w:rFonts w:ascii="宋体" w:hAnsi="宋体" w:eastAsia="宋体" w:cs="宋体"/>
                <w:sz w:val="18"/>
                <w:szCs w:val="18"/>
              </w:rPr>
            </w:pPr>
          </w:p>
        </w:tc>
        <w:tc>
          <w:tcPr>
            <w:tcW w:w="850" w:type="dxa"/>
            <w:shd w:val="clear" w:color="auto" w:fill="FFFFFF"/>
            <w:vAlign w:val="center"/>
          </w:tcPr>
          <w:p w14:paraId="5C6342FF">
            <w:pPr>
              <w:spacing w:line="360" w:lineRule="auto"/>
              <w:jc w:val="center"/>
              <w:rPr>
                <w:rFonts w:ascii="宋体" w:hAnsi="宋体" w:eastAsia="宋体" w:cs="宋体"/>
                <w:sz w:val="18"/>
                <w:szCs w:val="18"/>
              </w:rPr>
            </w:pPr>
          </w:p>
        </w:tc>
        <w:tc>
          <w:tcPr>
            <w:tcW w:w="1382" w:type="dxa"/>
            <w:shd w:val="clear" w:color="auto" w:fill="FFFFFF"/>
            <w:vAlign w:val="center"/>
          </w:tcPr>
          <w:p w14:paraId="2547F6D8">
            <w:pPr>
              <w:spacing w:line="360" w:lineRule="auto"/>
              <w:jc w:val="center"/>
              <w:rPr>
                <w:rFonts w:ascii="宋体" w:hAnsi="宋体" w:eastAsia="宋体" w:cs="宋体"/>
                <w:sz w:val="18"/>
                <w:szCs w:val="18"/>
              </w:rPr>
            </w:pPr>
          </w:p>
        </w:tc>
      </w:tr>
      <w:tr w14:paraId="073A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D9DE504">
            <w:pPr>
              <w:spacing w:line="360" w:lineRule="auto"/>
              <w:jc w:val="center"/>
              <w:rPr>
                <w:rFonts w:ascii="宋体" w:hAnsi="宋体" w:eastAsia="宋体" w:cs="宋体"/>
                <w:sz w:val="18"/>
                <w:szCs w:val="18"/>
              </w:rPr>
            </w:pPr>
          </w:p>
        </w:tc>
        <w:tc>
          <w:tcPr>
            <w:tcW w:w="1435" w:type="dxa"/>
            <w:shd w:val="clear" w:color="auto" w:fill="FFFFFF"/>
            <w:vAlign w:val="center"/>
          </w:tcPr>
          <w:p w14:paraId="5D42A9CE">
            <w:pPr>
              <w:spacing w:line="360" w:lineRule="auto"/>
              <w:jc w:val="center"/>
              <w:rPr>
                <w:rFonts w:ascii="宋体" w:hAnsi="宋体" w:eastAsia="宋体" w:cs="宋体"/>
                <w:sz w:val="18"/>
                <w:szCs w:val="18"/>
              </w:rPr>
            </w:pPr>
          </w:p>
        </w:tc>
        <w:tc>
          <w:tcPr>
            <w:tcW w:w="1133" w:type="dxa"/>
            <w:shd w:val="clear" w:color="auto" w:fill="FFFFFF"/>
            <w:vAlign w:val="center"/>
          </w:tcPr>
          <w:p w14:paraId="42EA2E8D">
            <w:pPr>
              <w:spacing w:line="360" w:lineRule="auto"/>
              <w:jc w:val="center"/>
              <w:rPr>
                <w:rFonts w:ascii="宋体" w:hAnsi="宋体" w:eastAsia="宋体" w:cs="宋体"/>
                <w:sz w:val="18"/>
                <w:szCs w:val="18"/>
              </w:rPr>
            </w:pPr>
          </w:p>
        </w:tc>
        <w:tc>
          <w:tcPr>
            <w:tcW w:w="686" w:type="dxa"/>
            <w:shd w:val="clear" w:color="auto" w:fill="FFFFFF"/>
            <w:vAlign w:val="center"/>
          </w:tcPr>
          <w:p w14:paraId="14C5354E">
            <w:pPr>
              <w:spacing w:line="360" w:lineRule="auto"/>
              <w:jc w:val="center"/>
              <w:rPr>
                <w:rFonts w:ascii="宋体" w:hAnsi="宋体" w:eastAsia="宋体" w:cs="宋体"/>
                <w:sz w:val="18"/>
                <w:szCs w:val="18"/>
              </w:rPr>
            </w:pPr>
          </w:p>
        </w:tc>
        <w:tc>
          <w:tcPr>
            <w:tcW w:w="677" w:type="dxa"/>
            <w:shd w:val="clear" w:color="auto" w:fill="FFFFFF"/>
            <w:vAlign w:val="center"/>
          </w:tcPr>
          <w:p w14:paraId="0CE94EEC">
            <w:pPr>
              <w:spacing w:line="360" w:lineRule="auto"/>
              <w:jc w:val="center"/>
              <w:rPr>
                <w:rFonts w:ascii="宋体" w:hAnsi="宋体" w:eastAsia="宋体" w:cs="宋体"/>
                <w:sz w:val="18"/>
                <w:szCs w:val="18"/>
              </w:rPr>
            </w:pPr>
          </w:p>
        </w:tc>
        <w:tc>
          <w:tcPr>
            <w:tcW w:w="1238" w:type="dxa"/>
            <w:shd w:val="clear" w:color="auto" w:fill="FFFFFF"/>
            <w:vAlign w:val="center"/>
          </w:tcPr>
          <w:p w14:paraId="79CD5795">
            <w:pPr>
              <w:spacing w:line="360" w:lineRule="auto"/>
              <w:jc w:val="center"/>
              <w:rPr>
                <w:rFonts w:ascii="宋体" w:hAnsi="宋体" w:eastAsia="宋体" w:cs="宋体"/>
                <w:sz w:val="18"/>
                <w:szCs w:val="18"/>
              </w:rPr>
            </w:pPr>
          </w:p>
        </w:tc>
        <w:tc>
          <w:tcPr>
            <w:tcW w:w="850" w:type="dxa"/>
            <w:shd w:val="clear" w:color="auto" w:fill="FFFFFF"/>
            <w:vAlign w:val="center"/>
          </w:tcPr>
          <w:p w14:paraId="4BD3A9D3">
            <w:pPr>
              <w:spacing w:line="360" w:lineRule="auto"/>
              <w:jc w:val="center"/>
              <w:rPr>
                <w:rFonts w:ascii="宋体" w:hAnsi="宋体" w:eastAsia="宋体" w:cs="宋体"/>
                <w:sz w:val="18"/>
                <w:szCs w:val="18"/>
              </w:rPr>
            </w:pPr>
          </w:p>
        </w:tc>
        <w:tc>
          <w:tcPr>
            <w:tcW w:w="850" w:type="dxa"/>
            <w:shd w:val="clear" w:color="auto" w:fill="FFFFFF"/>
            <w:vAlign w:val="center"/>
          </w:tcPr>
          <w:p w14:paraId="59667BD9">
            <w:pPr>
              <w:spacing w:line="360" w:lineRule="auto"/>
              <w:jc w:val="center"/>
              <w:rPr>
                <w:rFonts w:ascii="宋体" w:hAnsi="宋体" w:eastAsia="宋体" w:cs="宋体"/>
                <w:sz w:val="18"/>
                <w:szCs w:val="18"/>
              </w:rPr>
            </w:pPr>
          </w:p>
        </w:tc>
        <w:tc>
          <w:tcPr>
            <w:tcW w:w="1382" w:type="dxa"/>
            <w:shd w:val="clear" w:color="auto" w:fill="FFFFFF"/>
            <w:vAlign w:val="center"/>
          </w:tcPr>
          <w:p w14:paraId="392F9920">
            <w:pPr>
              <w:spacing w:line="360" w:lineRule="auto"/>
              <w:jc w:val="center"/>
              <w:rPr>
                <w:rFonts w:ascii="宋体" w:hAnsi="宋体" w:eastAsia="宋体" w:cs="宋体"/>
                <w:sz w:val="18"/>
                <w:szCs w:val="18"/>
              </w:rPr>
            </w:pPr>
          </w:p>
        </w:tc>
      </w:tr>
      <w:tr w14:paraId="0F4A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0F933BE">
            <w:pPr>
              <w:spacing w:line="360" w:lineRule="auto"/>
              <w:jc w:val="center"/>
              <w:rPr>
                <w:rFonts w:ascii="宋体" w:hAnsi="宋体" w:eastAsia="宋体" w:cs="宋体"/>
                <w:sz w:val="18"/>
                <w:szCs w:val="18"/>
              </w:rPr>
            </w:pPr>
          </w:p>
        </w:tc>
        <w:tc>
          <w:tcPr>
            <w:tcW w:w="1435" w:type="dxa"/>
            <w:shd w:val="clear" w:color="auto" w:fill="FFFFFF"/>
            <w:vAlign w:val="center"/>
          </w:tcPr>
          <w:p w14:paraId="6CD299FD">
            <w:pPr>
              <w:spacing w:line="360" w:lineRule="auto"/>
              <w:jc w:val="center"/>
              <w:rPr>
                <w:rFonts w:ascii="宋体" w:hAnsi="宋体" w:eastAsia="宋体" w:cs="宋体"/>
                <w:sz w:val="18"/>
                <w:szCs w:val="18"/>
              </w:rPr>
            </w:pPr>
          </w:p>
        </w:tc>
        <w:tc>
          <w:tcPr>
            <w:tcW w:w="1133" w:type="dxa"/>
            <w:shd w:val="clear" w:color="auto" w:fill="FFFFFF"/>
            <w:vAlign w:val="center"/>
          </w:tcPr>
          <w:p w14:paraId="42CF520C">
            <w:pPr>
              <w:spacing w:line="360" w:lineRule="auto"/>
              <w:jc w:val="center"/>
              <w:rPr>
                <w:rFonts w:ascii="宋体" w:hAnsi="宋体" w:eastAsia="宋体" w:cs="宋体"/>
                <w:sz w:val="18"/>
                <w:szCs w:val="18"/>
              </w:rPr>
            </w:pPr>
          </w:p>
        </w:tc>
        <w:tc>
          <w:tcPr>
            <w:tcW w:w="686" w:type="dxa"/>
            <w:shd w:val="clear" w:color="auto" w:fill="FFFFFF"/>
            <w:vAlign w:val="center"/>
          </w:tcPr>
          <w:p w14:paraId="110FB644">
            <w:pPr>
              <w:spacing w:line="360" w:lineRule="auto"/>
              <w:jc w:val="center"/>
              <w:rPr>
                <w:rFonts w:ascii="宋体" w:hAnsi="宋体" w:eastAsia="宋体" w:cs="宋体"/>
                <w:sz w:val="18"/>
                <w:szCs w:val="18"/>
              </w:rPr>
            </w:pPr>
          </w:p>
        </w:tc>
        <w:tc>
          <w:tcPr>
            <w:tcW w:w="677" w:type="dxa"/>
            <w:shd w:val="clear" w:color="auto" w:fill="FFFFFF"/>
            <w:vAlign w:val="center"/>
          </w:tcPr>
          <w:p w14:paraId="1312D96E">
            <w:pPr>
              <w:spacing w:line="360" w:lineRule="auto"/>
              <w:jc w:val="center"/>
              <w:rPr>
                <w:rFonts w:ascii="宋体" w:hAnsi="宋体" w:eastAsia="宋体" w:cs="宋体"/>
                <w:sz w:val="18"/>
                <w:szCs w:val="18"/>
              </w:rPr>
            </w:pPr>
          </w:p>
        </w:tc>
        <w:tc>
          <w:tcPr>
            <w:tcW w:w="1238" w:type="dxa"/>
            <w:shd w:val="clear" w:color="auto" w:fill="FFFFFF"/>
            <w:vAlign w:val="center"/>
          </w:tcPr>
          <w:p w14:paraId="2B182137">
            <w:pPr>
              <w:spacing w:line="360" w:lineRule="auto"/>
              <w:jc w:val="center"/>
              <w:rPr>
                <w:rFonts w:ascii="宋体" w:hAnsi="宋体" w:eastAsia="宋体" w:cs="宋体"/>
                <w:sz w:val="18"/>
                <w:szCs w:val="18"/>
              </w:rPr>
            </w:pPr>
          </w:p>
        </w:tc>
        <w:tc>
          <w:tcPr>
            <w:tcW w:w="850" w:type="dxa"/>
            <w:shd w:val="clear" w:color="auto" w:fill="FFFFFF"/>
            <w:vAlign w:val="center"/>
          </w:tcPr>
          <w:p w14:paraId="7BD2A65A">
            <w:pPr>
              <w:spacing w:line="360" w:lineRule="auto"/>
              <w:jc w:val="center"/>
              <w:rPr>
                <w:rFonts w:ascii="宋体" w:hAnsi="宋体" w:eastAsia="宋体" w:cs="宋体"/>
                <w:sz w:val="18"/>
                <w:szCs w:val="18"/>
              </w:rPr>
            </w:pPr>
          </w:p>
        </w:tc>
        <w:tc>
          <w:tcPr>
            <w:tcW w:w="850" w:type="dxa"/>
            <w:shd w:val="clear" w:color="auto" w:fill="FFFFFF"/>
            <w:vAlign w:val="center"/>
          </w:tcPr>
          <w:p w14:paraId="1B85A09C">
            <w:pPr>
              <w:spacing w:line="360" w:lineRule="auto"/>
              <w:jc w:val="center"/>
              <w:rPr>
                <w:rFonts w:ascii="宋体" w:hAnsi="宋体" w:eastAsia="宋体" w:cs="宋体"/>
                <w:sz w:val="18"/>
                <w:szCs w:val="18"/>
              </w:rPr>
            </w:pPr>
          </w:p>
        </w:tc>
        <w:tc>
          <w:tcPr>
            <w:tcW w:w="1382" w:type="dxa"/>
            <w:shd w:val="clear" w:color="auto" w:fill="FFFFFF"/>
            <w:vAlign w:val="center"/>
          </w:tcPr>
          <w:p w14:paraId="5AAD34D8">
            <w:pPr>
              <w:spacing w:line="360" w:lineRule="auto"/>
              <w:jc w:val="center"/>
              <w:rPr>
                <w:rFonts w:ascii="宋体" w:hAnsi="宋体" w:eastAsia="宋体" w:cs="宋体"/>
                <w:sz w:val="18"/>
                <w:szCs w:val="18"/>
              </w:rPr>
            </w:pPr>
          </w:p>
        </w:tc>
      </w:tr>
      <w:tr w14:paraId="53F2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31B664">
            <w:pPr>
              <w:spacing w:line="360" w:lineRule="auto"/>
              <w:jc w:val="center"/>
              <w:rPr>
                <w:rFonts w:ascii="宋体" w:hAnsi="宋体" w:eastAsia="宋体" w:cs="宋体"/>
                <w:sz w:val="18"/>
                <w:szCs w:val="18"/>
              </w:rPr>
            </w:pPr>
          </w:p>
        </w:tc>
        <w:tc>
          <w:tcPr>
            <w:tcW w:w="1435" w:type="dxa"/>
            <w:shd w:val="clear" w:color="auto" w:fill="FFFFFF"/>
            <w:vAlign w:val="center"/>
          </w:tcPr>
          <w:p w14:paraId="6C549D59">
            <w:pPr>
              <w:spacing w:line="360" w:lineRule="auto"/>
              <w:jc w:val="center"/>
              <w:rPr>
                <w:rFonts w:ascii="宋体" w:hAnsi="宋体" w:eastAsia="宋体" w:cs="宋体"/>
                <w:sz w:val="18"/>
                <w:szCs w:val="18"/>
              </w:rPr>
            </w:pPr>
          </w:p>
        </w:tc>
        <w:tc>
          <w:tcPr>
            <w:tcW w:w="1133" w:type="dxa"/>
            <w:shd w:val="clear" w:color="auto" w:fill="FFFFFF"/>
            <w:vAlign w:val="center"/>
          </w:tcPr>
          <w:p w14:paraId="7DDE54BF">
            <w:pPr>
              <w:spacing w:line="360" w:lineRule="auto"/>
              <w:jc w:val="center"/>
              <w:rPr>
                <w:rFonts w:ascii="宋体" w:hAnsi="宋体" w:eastAsia="宋体" w:cs="宋体"/>
                <w:sz w:val="18"/>
                <w:szCs w:val="18"/>
              </w:rPr>
            </w:pPr>
          </w:p>
        </w:tc>
        <w:tc>
          <w:tcPr>
            <w:tcW w:w="686" w:type="dxa"/>
            <w:shd w:val="clear" w:color="auto" w:fill="FFFFFF"/>
            <w:vAlign w:val="center"/>
          </w:tcPr>
          <w:p w14:paraId="23DC696B">
            <w:pPr>
              <w:spacing w:line="360" w:lineRule="auto"/>
              <w:jc w:val="center"/>
              <w:rPr>
                <w:rFonts w:ascii="宋体" w:hAnsi="宋体" w:eastAsia="宋体" w:cs="宋体"/>
                <w:sz w:val="18"/>
                <w:szCs w:val="18"/>
              </w:rPr>
            </w:pPr>
          </w:p>
        </w:tc>
        <w:tc>
          <w:tcPr>
            <w:tcW w:w="677" w:type="dxa"/>
            <w:shd w:val="clear" w:color="auto" w:fill="FFFFFF"/>
            <w:vAlign w:val="center"/>
          </w:tcPr>
          <w:p w14:paraId="12A15A35">
            <w:pPr>
              <w:spacing w:line="360" w:lineRule="auto"/>
              <w:jc w:val="center"/>
              <w:rPr>
                <w:rFonts w:ascii="宋体" w:hAnsi="宋体" w:eastAsia="宋体" w:cs="宋体"/>
                <w:sz w:val="18"/>
                <w:szCs w:val="18"/>
              </w:rPr>
            </w:pPr>
          </w:p>
        </w:tc>
        <w:tc>
          <w:tcPr>
            <w:tcW w:w="1238" w:type="dxa"/>
            <w:shd w:val="clear" w:color="auto" w:fill="FFFFFF"/>
            <w:vAlign w:val="center"/>
          </w:tcPr>
          <w:p w14:paraId="6144B9FF">
            <w:pPr>
              <w:spacing w:line="360" w:lineRule="auto"/>
              <w:jc w:val="center"/>
              <w:rPr>
                <w:rFonts w:ascii="宋体" w:hAnsi="宋体" w:eastAsia="宋体" w:cs="宋体"/>
                <w:sz w:val="18"/>
                <w:szCs w:val="18"/>
              </w:rPr>
            </w:pPr>
          </w:p>
        </w:tc>
        <w:tc>
          <w:tcPr>
            <w:tcW w:w="850" w:type="dxa"/>
            <w:shd w:val="clear" w:color="auto" w:fill="FFFFFF"/>
            <w:vAlign w:val="center"/>
          </w:tcPr>
          <w:p w14:paraId="26D47AA3">
            <w:pPr>
              <w:spacing w:line="360" w:lineRule="auto"/>
              <w:jc w:val="center"/>
              <w:rPr>
                <w:rFonts w:ascii="宋体" w:hAnsi="宋体" w:eastAsia="宋体" w:cs="宋体"/>
                <w:sz w:val="18"/>
                <w:szCs w:val="18"/>
              </w:rPr>
            </w:pPr>
          </w:p>
        </w:tc>
        <w:tc>
          <w:tcPr>
            <w:tcW w:w="850" w:type="dxa"/>
            <w:shd w:val="clear" w:color="auto" w:fill="FFFFFF"/>
            <w:vAlign w:val="center"/>
          </w:tcPr>
          <w:p w14:paraId="7D8C7FA7">
            <w:pPr>
              <w:spacing w:line="360" w:lineRule="auto"/>
              <w:jc w:val="center"/>
              <w:rPr>
                <w:rFonts w:ascii="宋体" w:hAnsi="宋体" w:eastAsia="宋体" w:cs="宋体"/>
                <w:sz w:val="18"/>
                <w:szCs w:val="18"/>
              </w:rPr>
            </w:pPr>
          </w:p>
        </w:tc>
        <w:tc>
          <w:tcPr>
            <w:tcW w:w="1382" w:type="dxa"/>
            <w:shd w:val="clear" w:color="auto" w:fill="FFFFFF"/>
            <w:vAlign w:val="center"/>
          </w:tcPr>
          <w:p w14:paraId="35E48BF3">
            <w:pPr>
              <w:spacing w:line="360" w:lineRule="auto"/>
              <w:jc w:val="center"/>
              <w:rPr>
                <w:rFonts w:ascii="宋体" w:hAnsi="宋体" w:eastAsia="宋体" w:cs="宋体"/>
                <w:sz w:val="18"/>
                <w:szCs w:val="18"/>
              </w:rPr>
            </w:pPr>
          </w:p>
        </w:tc>
      </w:tr>
      <w:tr w14:paraId="0F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AF3CFE">
            <w:pPr>
              <w:spacing w:line="360" w:lineRule="auto"/>
              <w:jc w:val="center"/>
              <w:rPr>
                <w:rFonts w:ascii="宋体" w:hAnsi="宋体" w:eastAsia="宋体" w:cs="宋体"/>
                <w:sz w:val="18"/>
                <w:szCs w:val="18"/>
              </w:rPr>
            </w:pPr>
          </w:p>
        </w:tc>
        <w:tc>
          <w:tcPr>
            <w:tcW w:w="1435" w:type="dxa"/>
            <w:shd w:val="clear" w:color="auto" w:fill="FFFFFF"/>
            <w:vAlign w:val="center"/>
          </w:tcPr>
          <w:p w14:paraId="157F63F4">
            <w:pPr>
              <w:spacing w:line="360" w:lineRule="auto"/>
              <w:jc w:val="center"/>
              <w:rPr>
                <w:rFonts w:ascii="宋体" w:hAnsi="宋体" w:eastAsia="宋体" w:cs="宋体"/>
                <w:sz w:val="18"/>
                <w:szCs w:val="18"/>
              </w:rPr>
            </w:pPr>
          </w:p>
        </w:tc>
        <w:tc>
          <w:tcPr>
            <w:tcW w:w="1133" w:type="dxa"/>
            <w:shd w:val="clear" w:color="auto" w:fill="FFFFFF"/>
            <w:vAlign w:val="center"/>
          </w:tcPr>
          <w:p w14:paraId="155E9335">
            <w:pPr>
              <w:spacing w:line="360" w:lineRule="auto"/>
              <w:jc w:val="center"/>
              <w:rPr>
                <w:rFonts w:ascii="宋体" w:hAnsi="宋体" w:eastAsia="宋体" w:cs="宋体"/>
                <w:sz w:val="18"/>
                <w:szCs w:val="18"/>
              </w:rPr>
            </w:pPr>
          </w:p>
        </w:tc>
        <w:tc>
          <w:tcPr>
            <w:tcW w:w="686" w:type="dxa"/>
            <w:shd w:val="clear" w:color="auto" w:fill="FFFFFF"/>
            <w:vAlign w:val="center"/>
          </w:tcPr>
          <w:p w14:paraId="33FF4C5C">
            <w:pPr>
              <w:spacing w:line="360" w:lineRule="auto"/>
              <w:jc w:val="center"/>
              <w:rPr>
                <w:rFonts w:ascii="宋体" w:hAnsi="宋体" w:eastAsia="宋体" w:cs="宋体"/>
                <w:sz w:val="18"/>
                <w:szCs w:val="18"/>
              </w:rPr>
            </w:pPr>
          </w:p>
        </w:tc>
        <w:tc>
          <w:tcPr>
            <w:tcW w:w="677" w:type="dxa"/>
            <w:shd w:val="clear" w:color="auto" w:fill="FFFFFF"/>
            <w:vAlign w:val="center"/>
          </w:tcPr>
          <w:p w14:paraId="27B3DDC8">
            <w:pPr>
              <w:spacing w:line="360" w:lineRule="auto"/>
              <w:jc w:val="center"/>
              <w:rPr>
                <w:rFonts w:ascii="宋体" w:hAnsi="宋体" w:eastAsia="宋体" w:cs="宋体"/>
                <w:sz w:val="18"/>
                <w:szCs w:val="18"/>
              </w:rPr>
            </w:pPr>
          </w:p>
        </w:tc>
        <w:tc>
          <w:tcPr>
            <w:tcW w:w="1238" w:type="dxa"/>
            <w:shd w:val="clear" w:color="auto" w:fill="FFFFFF"/>
            <w:vAlign w:val="center"/>
          </w:tcPr>
          <w:p w14:paraId="6396F805">
            <w:pPr>
              <w:spacing w:line="360" w:lineRule="auto"/>
              <w:jc w:val="center"/>
              <w:rPr>
                <w:rFonts w:ascii="宋体" w:hAnsi="宋体" w:eastAsia="宋体" w:cs="宋体"/>
                <w:sz w:val="18"/>
                <w:szCs w:val="18"/>
              </w:rPr>
            </w:pPr>
          </w:p>
        </w:tc>
        <w:tc>
          <w:tcPr>
            <w:tcW w:w="850" w:type="dxa"/>
            <w:shd w:val="clear" w:color="auto" w:fill="FFFFFF"/>
            <w:vAlign w:val="center"/>
          </w:tcPr>
          <w:p w14:paraId="1B30D88C">
            <w:pPr>
              <w:spacing w:line="360" w:lineRule="auto"/>
              <w:jc w:val="center"/>
              <w:rPr>
                <w:rFonts w:ascii="宋体" w:hAnsi="宋体" w:eastAsia="宋体" w:cs="宋体"/>
                <w:sz w:val="18"/>
                <w:szCs w:val="18"/>
              </w:rPr>
            </w:pPr>
          </w:p>
        </w:tc>
        <w:tc>
          <w:tcPr>
            <w:tcW w:w="850" w:type="dxa"/>
            <w:shd w:val="clear" w:color="auto" w:fill="FFFFFF"/>
            <w:vAlign w:val="center"/>
          </w:tcPr>
          <w:p w14:paraId="7EEB8DDD">
            <w:pPr>
              <w:spacing w:line="360" w:lineRule="auto"/>
              <w:jc w:val="center"/>
              <w:rPr>
                <w:rFonts w:ascii="宋体" w:hAnsi="宋体" w:eastAsia="宋体" w:cs="宋体"/>
                <w:sz w:val="18"/>
                <w:szCs w:val="18"/>
              </w:rPr>
            </w:pPr>
          </w:p>
        </w:tc>
        <w:tc>
          <w:tcPr>
            <w:tcW w:w="1382" w:type="dxa"/>
            <w:shd w:val="clear" w:color="auto" w:fill="FFFFFF"/>
            <w:vAlign w:val="center"/>
          </w:tcPr>
          <w:p w14:paraId="44FB72E6">
            <w:pPr>
              <w:spacing w:line="360" w:lineRule="auto"/>
              <w:jc w:val="center"/>
              <w:rPr>
                <w:rFonts w:ascii="宋体" w:hAnsi="宋体" w:eastAsia="宋体" w:cs="宋体"/>
                <w:sz w:val="18"/>
                <w:szCs w:val="18"/>
              </w:rPr>
            </w:pPr>
          </w:p>
        </w:tc>
      </w:tr>
      <w:tr w14:paraId="4FE2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240423">
            <w:pPr>
              <w:spacing w:line="360" w:lineRule="auto"/>
              <w:jc w:val="center"/>
              <w:rPr>
                <w:rFonts w:ascii="宋体" w:hAnsi="宋体" w:eastAsia="宋体" w:cs="宋体"/>
                <w:sz w:val="18"/>
                <w:szCs w:val="18"/>
              </w:rPr>
            </w:pPr>
          </w:p>
        </w:tc>
        <w:tc>
          <w:tcPr>
            <w:tcW w:w="1435" w:type="dxa"/>
            <w:shd w:val="clear" w:color="auto" w:fill="FFFFFF"/>
            <w:vAlign w:val="center"/>
          </w:tcPr>
          <w:p w14:paraId="2A2F4F17">
            <w:pPr>
              <w:spacing w:line="360" w:lineRule="auto"/>
              <w:jc w:val="center"/>
              <w:rPr>
                <w:rFonts w:ascii="宋体" w:hAnsi="宋体" w:eastAsia="宋体" w:cs="宋体"/>
                <w:sz w:val="18"/>
                <w:szCs w:val="18"/>
              </w:rPr>
            </w:pPr>
          </w:p>
        </w:tc>
        <w:tc>
          <w:tcPr>
            <w:tcW w:w="1133" w:type="dxa"/>
            <w:shd w:val="clear" w:color="auto" w:fill="FFFFFF"/>
            <w:vAlign w:val="center"/>
          </w:tcPr>
          <w:p w14:paraId="4E79ABDE">
            <w:pPr>
              <w:spacing w:line="360" w:lineRule="auto"/>
              <w:jc w:val="center"/>
              <w:rPr>
                <w:rFonts w:ascii="宋体" w:hAnsi="宋体" w:eastAsia="宋体" w:cs="宋体"/>
                <w:sz w:val="18"/>
                <w:szCs w:val="18"/>
              </w:rPr>
            </w:pPr>
          </w:p>
        </w:tc>
        <w:tc>
          <w:tcPr>
            <w:tcW w:w="686" w:type="dxa"/>
            <w:shd w:val="clear" w:color="auto" w:fill="FFFFFF"/>
            <w:vAlign w:val="center"/>
          </w:tcPr>
          <w:p w14:paraId="29C8B6F2">
            <w:pPr>
              <w:spacing w:line="360" w:lineRule="auto"/>
              <w:jc w:val="center"/>
              <w:rPr>
                <w:rFonts w:ascii="宋体" w:hAnsi="宋体" w:eastAsia="宋体" w:cs="宋体"/>
                <w:sz w:val="18"/>
                <w:szCs w:val="18"/>
              </w:rPr>
            </w:pPr>
          </w:p>
        </w:tc>
        <w:tc>
          <w:tcPr>
            <w:tcW w:w="677" w:type="dxa"/>
            <w:shd w:val="clear" w:color="auto" w:fill="FFFFFF"/>
            <w:vAlign w:val="center"/>
          </w:tcPr>
          <w:p w14:paraId="0C3B88E9">
            <w:pPr>
              <w:spacing w:line="360" w:lineRule="auto"/>
              <w:jc w:val="center"/>
              <w:rPr>
                <w:rFonts w:ascii="宋体" w:hAnsi="宋体" w:eastAsia="宋体" w:cs="宋体"/>
                <w:sz w:val="18"/>
                <w:szCs w:val="18"/>
              </w:rPr>
            </w:pPr>
          </w:p>
        </w:tc>
        <w:tc>
          <w:tcPr>
            <w:tcW w:w="1238" w:type="dxa"/>
            <w:shd w:val="clear" w:color="auto" w:fill="FFFFFF"/>
            <w:vAlign w:val="center"/>
          </w:tcPr>
          <w:p w14:paraId="72AB8B93">
            <w:pPr>
              <w:spacing w:line="360" w:lineRule="auto"/>
              <w:jc w:val="center"/>
              <w:rPr>
                <w:rFonts w:ascii="宋体" w:hAnsi="宋体" w:eastAsia="宋体" w:cs="宋体"/>
                <w:sz w:val="18"/>
                <w:szCs w:val="18"/>
              </w:rPr>
            </w:pPr>
          </w:p>
        </w:tc>
        <w:tc>
          <w:tcPr>
            <w:tcW w:w="850" w:type="dxa"/>
            <w:shd w:val="clear" w:color="auto" w:fill="FFFFFF"/>
            <w:vAlign w:val="center"/>
          </w:tcPr>
          <w:p w14:paraId="264491A2">
            <w:pPr>
              <w:spacing w:line="360" w:lineRule="auto"/>
              <w:jc w:val="center"/>
              <w:rPr>
                <w:rFonts w:ascii="宋体" w:hAnsi="宋体" w:eastAsia="宋体" w:cs="宋体"/>
                <w:sz w:val="18"/>
                <w:szCs w:val="18"/>
              </w:rPr>
            </w:pPr>
          </w:p>
        </w:tc>
        <w:tc>
          <w:tcPr>
            <w:tcW w:w="850" w:type="dxa"/>
            <w:shd w:val="clear" w:color="auto" w:fill="FFFFFF"/>
            <w:vAlign w:val="center"/>
          </w:tcPr>
          <w:p w14:paraId="085B5A3B">
            <w:pPr>
              <w:spacing w:line="360" w:lineRule="auto"/>
              <w:jc w:val="center"/>
              <w:rPr>
                <w:rFonts w:ascii="宋体" w:hAnsi="宋体" w:eastAsia="宋体" w:cs="宋体"/>
                <w:sz w:val="18"/>
                <w:szCs w:val="18"/>
              </w:rPr>
            </w:pPr>
          </w:p>
        </w:tc>
        <w:tc>
          <w:tcPr>
            <w:tcW w:w="1382" w:type="dxa"/>
            <w:shd w:val="clear" w:color="auto" w:fill="FFFFFF"/>
            <w:vAlign w:val="center"/>
          </w:tcPr>
          <w:p w14:paraId="47382974">
            <w:pPr>
              <w:spacing w:line="360" w:lineRule="auto"/>
              <w:jc w:val="center"/>
              <w:rPr>
                <w:rFonts w:ascii="宋体" w:hAnsi="宋体" w:eastAsia="宋体" w:cs="宋体"/>
                <w:sz w:val="18"/>
                <w:szCs w:val="18"/>
              </w:rPr>
            </w:pPr>
          </w:p>
        </w:tc>
      </w:tr>
      <w:tr w14:paraId="45A2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ACFAF40">
            <w:pPr>
              <w:spacing w:line="360" w:lineRule="auto"/>
              <w:jc w:val="center"/>
              <w:rPr>
                <w:rFonts w:ascii="宋体" w:hAnsi="宋体" w:eastAsia="宋体" w:cs="宋体"/>
                <w:sz w:val="18"/>
                <w:szCs w:val="18"/>
              </w:rPr>
            </w:pPr>
          </w:p>
        </w:tc>
        <w:tc>
          <w:tcPr>
            <w:tcW w:w="1435" w:type="dxa"/>
            <w:shd w:val="clear" w:color="auto" w:fill="FFFFFF"/>
            <w:vAlign w:val="center"/>
          </w:tcPr>
          <w:p w14:paraId="701C4266">
            <w:pPr>
              <w:spacing w:line="360" w:lineRule="auto"/>
              <w:jc w:val="center"/>
              <w:rPr>
                <w:rFonts w:ascii="宋体" w:hAnsi="宋体" w:eastAsia="宋体" w:cs="宋体"/>
                <w:sz w:val="18"/>
                <w:szCs w:val="18"/>
              </w:rPr>
            </w:pPr>
          </w:p>
        </w:tc>
        <w:tc>
          <w:tcPr>
            <w:tcW w:w="1133" w:type="dxa"/>
            <w:shd w:val="clear" w:color="auto" w:fill="FFFFFF"/>
            <w:vAlign w:val="center"/>
          </w:tcPr>
          <w:p w14:paraId="064CBE98">
            <w:pPr>
              <w:spacing w:line="360" w:lineRule="auto"/>
              <w:jc w:val="center"/>
              <w:rPr>
                <w:rFonts w:ascii="宋体" w:hAnsi="宋体" w:eastAsia="宋体" w:cs="宋体"/>
                <w:sz w:val="18"/>
                <w:szCs w:val="18"/>
              </w:rPr>
            </w:pPr>
          </w:p>
        </w:tc>
        <w:tc>
          <w:tcPr>
            <w:tcW w:w="686" w:type="dxa"/>
            <w:shd w:val="clear" w:color="auto" w:fill="FFFFFF"/>
            <w:vAlign w:val="center"/>
          </w:tcPr>
          <w:p w14:paraId="084A6FF3">
            <w:pPr>
              <w:spacing w:line="360" w:lineRule="auto"/>
              <w:jc w:val="center"/>
              <w:rPr>
                <w:rFonts w:ascii="宋体" w:hAnsi="宋体" w:eastAsia="宋体" w:cs="宋体"/>
                <w:sz w:val="18"/>
                <w:szCs w:val="18"/>
              </w:rPr>
            </w:pPr>
          </w:p>
        </w:tc>
        <w:tc>
          <w:tcPr>
            <w:tcW w:w="677" w:type="dxa"/>
            <w:shd w:val="clear" w:color="auto" w:fill="FFFFFF"/>
            <w:vAlign w:val="center"/>
          </w:tcPr>
          <w:p w14:paraId="06232754">
            <w:pPr>
              <w:spacing w:line="360" w:lineRule="auto"/>
              <w:jc w:val="center"/>
              <w:rPr>
                <w:rFonts w:ascii="宋体" w:hAnsi="宋体" w:eastAsia="宋体" w:cs="宋体"/>
                <w:sz w:val="18"/>
                <w:szCs w:val="18"/>
              </w:rPr>
            </w:pPr>
          </w:p>
        </w:tc>
        <w:tc>
          <w:tcPr>
            <w:tcW w:w="1238" w:type="dxa"/>
            <w:shd w:val="clear" w:color="auto" w:fill="FFFFFF"/>
            <w:vAlign w:val="center"/>
          </w:tcPr>
          <w:p w14:paraId="03B8DA6F">
            <w:pPr>
              <w:spacing w:line="360" w:lineRule="auto"/>
              <w:jc w:val="center"/>
              <w:rPr>
                <w:rFonts w:ascii="宋体" w:hAnsi="宋体" w:eastAsia="宋体" w:cs="宋体"/>
                <w:sz w:val="18"/>
                <w:szCs w:val="18"/>
              </w:rPr>
            </w:pPr>
          </w:p>
        </w:tc>
        <w:tc>
          <w:tcPr>
            <w:tcW w:w="850" w:type="dxa"/>
            <w:shd w:val="clear" w:color="auto" w:fill="FFFFFF"/>
            <w:vAlign w:val="center"/>
          </w:tcPr>
          <w:p w14:paraId="14A7BB14">
            <w:pPr>
              <w:spacing w:line="360" w:lineRule="auto"/>
              <w:jc w:val="center"/>
              <w:rPr>
                <w:rFonts w:ascii="宋体" w:hAnsi="宋体" w:eastAsia="宋体" w:cs="宋体"/>
                <w:sz w:val="18"/>
                <w:szCs w:val="18"/>
              </w:rPr>
            </w:pPr>
          </w:p>
        </w:tc>
        <w:tc>
          <w:tcPr>
            <w:tcW w:w="850" w:type="dxa"/>
            <w:shd w:val="clear" w:color="auto" w:fill="FFFFFF"/>
            <w:vAlign w:val="center"/>
          </w:tcPr>
          <w:p w14:paraId="0D6FAF05">
            <w:pPr>
              <w:spacing w:line="360" w:lineRule="auto"/>
              <w:jc w:val="center"/>
              <w:rPr>
                <w:rFonts w:ascii="宋体" w:hAnsi="宋体" w:eastAsia="宋体" w:cs="宋体"/>
                <w:sz w:val="18"/>
                <w:szCs w:val="18"/>
              </w:rPr>
            </w:pPr>
          </w:p>
        </w:tc>
        <w:tc>
          <w:tcPr>
            <w:tcW w:w="1382" w:type="dxa"/>
            <w:shd w:val="clear" w:color="auto" w:fill="FFFFFF"/>
            <w:vAlign w:val="center"/>
          </w:tcPr>
          <w:p w14:paraId="2A94DF23">
            <w:pPr>
              <w:spacing w:line="360" w:lineRule="auto"/>
              <w:jc w:val="center"/>
              <w:rPr>
                <w:rFonts w:ascii="宋体" w:hAnsi="宋体" w:eastAsia="宋体" w:cs="宋体"/>
                <w:sz w:val="18"/>
                <w:szCs w:val="18"/>
              </w:rPr>
            </w:pPr>
          </w:p>
        </w:tc>
      </w:tr>
      <w:tr w14:paraId="32D1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89765D">
            <w:pPr>
              <w:spacing w:line="360" w:lineRule="auto"/>
              <w:jc w:val="center"/>
              <w:rPr>
                <w:rFonts w:ascii="宋体" w:hAnsi="宋体" w:eastAsia="宋体" w:cs="宋体"/>
                <w:sz w:val="18"/>
                <w:szCs w:val="18"/>
              </w:rPr>
            </w:pPr>
          </w:p>
        </w:tc>
        <w:tc>
          <w:tcPr>
            <w:tcW w:w="1435" w:type="dxa"/>
            <w:shd w:val="clear" w:color="auto" w:fill="FFFFFF"/>
            <w:vAlign w:val="center"/>
          </w:tcPr>
          <w:p w14:paraId="108FFDC7">
            <w:pPr>
              <w:spacing w:line="360" w:lineRule="auto"/>
              <w:jc w:val="center"/>
              <w:rPr>
                <w:rFonts w:ascii="宋体" w:hAnsi="宋体" w:eastAsia="宋体" w:cs="宋体"/>
                <w:sz w:val="18"/>
                <w:szCs w:val="18"/>
              </w:rPr>
            </w:pPr>
          </w:p>
        </w:tc>
        <w:tc>
          <w:tcPr>
            <w:tcW w:w="1133" w:type="dxa"/>
            <w:shd w:val="clear" w:color="auto" w:fill="FFFFFF"/>
            <w:vAlign w:val="center"/>
          </w:tcPr>
          <w:p w14:paraId="129BB93A">
            <w:pPr>
              <w:spacing w:line="360" w:lineRule="auto"/>
              <w:jc w:val="center"/>
              <w:rPr>
                <w:rFonts w:ascii="宋体" w:hAnsi="宋体" w:eastAsia="宋体" w:cs="宋体"/>
                <w:sz w:val="18"/>
                <w:szCs w:val="18"/>
              </w:rPr>
            </w:pPr>
          </w:p>
        </w:tc>
        <w:tc>
          <w:tcPr>
            <w:tcW w:w="686" w:type="dxa"/>
            <w:shd w:val="clear" w:color="auto" w:fill="FFFFFF"/>
            <w:vAlign w:val="center"/>
          </w:tcPr>
          <w:p w14:paraId="70CBC5A8">
            <w:pPr>
              <w:spacing w:line="360" w:lineRule="auto"/>
              <w:jc w:val="center"/>
              <w:rPr>
                <w:rFonts w:ascii="宋体" w:hAnsi="宋体" w:eastAsia="宋体" w:cs="宋体"/>
                <w:sz w:val="18"/>
                <w:szCs w:val="18"/>
              </w:rPr>
            </w:pPr>
          </w:p>
        </w:tc>
        <w:tc>
          <w:tcPr>
            <w:tcW w:w="677" w:type="dxa"/>
            <w:shd w:val="clear" w:color="auto" w:fill="FFFFFF"/>
            <w:vAlign w:val="center"/>
          </w:tcPr>
          <w:p w14:paraId="3FBDEDE6">
            <w:pPr>
              <w:spacing w:line="360" w:lineRule="auto"/>
              <w:jc w:val="center"/>
              <w:rPr>
                <w:rFonts w:ascii="宋体" w:hAnsi="宋体" w:eastAsia="宋体" w:cs="宋体"/>
                <w:sz w:val="18"/>
                <w:szCs w:val="18"/>
              </w:rPr>
            </w:pPr>
          </w:p>
        </w:tc>
        <w:tc>
          <w:tcPr>
            <w:tcW w:w="1238" w:type="dxa"/>
            <w:shd w:val="clear" w:color="auto" w:fill="FFFFFF"/>
            <w:vAlign w:val="center"/>
          </w:tcPr>
          <w:p w14:paraId="2500B894">
            <w:pPr>
              <w:spacing w:line="360" w:lineRule="auto"/>
              <w:jc w:val="center"/>
              <w:rPr>
                <w:rFonts w:ascii="宋体" w:hAnsi="宋体" w:eastAsia="宋体" w:cs="宋体"/>
                <w:sz w:val="18"/>
                <w:szCs w:val="18"/>
              </w:rPr>
            </w:pPr>
          </w:p>
        </w:tc>
        <w:tc>
          <w:tcPr>
            <w:tcW w:w="850" w:type="dxa"/>
            <w:shd w:val="clear" w:color="auto" w:fill="FFFFFF"/>
            <w:vAlign w:val="center"/>
          </w:tcPr>
          <w:p w14:paraId="19AC27BE">
            <w:pPr>
              <w:spacing w:line="360" w:lineRule="auto"/>
              <w:jc w:val="center"/>
              <w:rPr>
                <w:rFonts w:ascii="宋体" w:hAnsi="宋体" w:eastAsia="宋体" w:cs="宋体"/>
                <w:sz w:val="18"/>
                <w:szCs w:val="18"/>
              </w:rPr>
            </w:pPr>
          </w:p>
        </w:tc>
        <w:tc>
          <w:tcPr>
            <w:tcW w:w="850" w:type="dxa"/>
            <w:shd w:val="clear" w:color="auto" w:fill="FFFFFF"/>
            <w:vAlign w:val="center"/>
          </w:tcPr>
          <w:p w14:paraId="0EC89786">
            <w:pPr>
              <w:spacing w:line="360" w:lineRule="auto"/>
              <w:jc w:val="center"/>
              <w:rPr>
                <w:rFonts w:ascii="宋体" w:hAnsi="宋体" w:eastAsia="宋体" w:cs="宋体"/>
                <w:sz w:val="18"/>
                <w:szCs w:val="18"/>
              </w:rPr>
            </w:pPr>
          </w:p>
        </w:tc>
        <w:tc>
          <w:tcPr>
            <w:tcW w:w="1382" w:type="dxa"/>
            <w:shd w:val="clear" w:color="auto" w:fill="FFFFFF"/>
            <w:vAlign w:val="center"/>
          </w:tcPr>
          <w:p w14:paraId="7CE7CD6F">
            <w:pPr>
              <w:spacing w:line="360" w:lineRule="auto"/>
              <w:jc w:val="center"/>
              <w:rPr>
                <w:rFonts w:ascii="宋体" w:hAnsi="宋体" w:eastAsia="宋体" w:cs="宋体"/>
                <w:sz w:val="18"/>
                <w:szCs w:val="18"/>
              </w:rPr>
            </w:pPr>
          </w:p>
        </w:tc>
      </w:tr>
      <w:tr w14:paraId="5637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B0D64C">
            <w:pPr>
              <w:spacing w:line="360" w:lineRule="auto"/>
              <w:jc w:val="center"/>
              <w:rPr>
                <w:rFonts w:ascii="宋体" w:hAnsi="宋体" w:eastAsia="宋体" w:cs="宋体"/>
                <w:sz w:val="18"/>
                <w:szCs w:val="18"/>
              </w:rPr>
            </w:pPr>
          </w:p>
        </w:tc>
        <w:tc>
          <w:tcPr>
            <w:tcW w:w="1435" w:type="dxa"/>
            <w:shd w:val="clear" w:color="auto" w:fill="FFFFFF"/>
            <w:vAlign w:val="center"/>
          </w:tcPr>
          <w:p w14:paraId="26C516D4">
            <w:pPr>
              <w:spacing w:line="360" w:lineRule="auto"/>
              <w:jc w:val="center"/>
              <w:rPr>
                <w:rFonts w:ascii="宋体" w:hAnsi="宋体" w:eastAsia="宋体" w:cs="宋体"/>
                <w:sz w:val="18"/>
                <w:szCs w:val="18"/>
              </w:rPr>
            </w:pPr>
          </w:p>
        </w:tc>
        <w:tc>
          <w:tcPr>
            <w:tcW w:w="1133" w:type="dxa"/>
            <w:shd w:val="clear" w:color="auto" w:fill="FFFFFF"/>
            <w:vAlign w:val="center"/>
          </w:tcPr>
          <w:p w14:paraId="1F4EA316">
            <w:pPr>
              <w:spacing w:line="360" w:lineRule="auto"/>
              <w:jc w:val="center"/>
              <w:rPr>
                <w:rFonts w:ascii="宋体" w:hAnsi="宋体" w:eastAsia="宋体" w:cs="宋体"/>
                <w:sz w:val="18"/>
                <w:szCs w:val="18"/>
              </w:rPr>
            </w:pPr>
          </w:p>
        </w:tc>
        <w:tc>
          <w:tcPr>
            <w:tcW w:w="686" w:type="dxa"/>
            <w:shd w:val="clear" w:color="auto" w:fill="FFFFFF"/>
            <w:vAlign w:val="center"/>
          </w:tcPr>
          <w:p w14:paraId="7B3142B8">
            <w:pPr>
              <w:spacing w:line="360" w:lineRule="auto"/>
              <w:jc w:val="center"/>
              <w:rPr>
                <w:rFonts w:ascii="宋体" w:hAnsi="宋体" w:eastAsia="宋体" w:cs="宋体"/>
                <w:sz w:val="18"/>
                <w:szCs w:val="18"/>
              </w:rPr>
            </w:pPr>
          </w:p>
        </w:tc>
        <w:tc>
          <w:tcPr>
            <w:tcW w:w="677" w:type="dxa"/>
            <w:shd w:val="clear" w:color="auto" w:fill="FFFFFF"/>
            <w:vAlign w:val="center"/>
          </w:tcPr>
          <w:p w14:paraId="06D04BC6">
            <w:pPr>
              <w:spacing w:line="360" w:lineRule="auto"/>
              <w:jc w:val="center"/>
              <w:rPr>
                <w:rFonts w:ascii="宋体" w:hAnsi="宋体" w:eastAsia="宋体" w:cs="宋体"/>
                <w:sz w:val="18"/>
                <w:szCs w:val="18"/>
              </w:rPr>
            </w:pPr>
          </w:p>
        </w:tc>
        <w:tc>
          <w:tcPr>
            <w:tcW w:w="1238" w:type="dxa"/>
            <w:shd w:val="clear" w:color="auto" w:fill="FFFFFF"/>
            <w:vAlign w:val="center"/>
          </w:tcPr>
          <w:p w14:paraId="0B741AD6">
            <w:pPr>
              <w:spacing w:line="360" w:lineRule="auto"/>
              <w:jc w:val="center"/>
              <w:rPr>
                <w:rFonts w:ascii="宋体" w:hAnsi="宋体" w:eastAsia="宋体" w:cs="宋体"/>
                <w:sz w:val="18"/>
                <w:szCs w:val="18"/>
              </w:rPr>
            </w:pPr>
          </w:p>
        </w:tc>
        <w:tc>
          <w:tcPr>
            <w:tcW w:w="850" w:type="dxa"/>
            <w:shd w:val="clear" w:color="auto" w:fill="FFFFFF"/>
            <w:vAlign w:val="center"/>
          </w:tcPr>
          <w:p w14:paraId="60D0B93E">
            <w:pPr>
              <w:spacing w:line="360" w:lineRule="auto"/>
              <w:jc w:val="center"/>
              <w:rPr>
                <w:rFonts w:ascii="宋体" w:hAnsi="宋体" w:eastAsia="宋体" w:cs="宋体"/>
                <w:sz w:val="18"/>
                <w:szCs w:val="18"/>
              </w:rPr>
            </w:pPr>
          </w:p>
        </w:tc>
        <w:tc>
          <w:tcPr>
            <w:tcW w:w="850" w:type="dxa"/>
            <w:shd w:val="clear" w:color="auto" w:fill="FFFFFF"/>
            <w:vAlign w:val="center"/>
          </w:tcPr>
          <w:p w14:paraId="6A33D407">
            <w:pPr>
              <w:spacing w:line="360" w:lineRule="auto"/>
              <w:jc w:val="center"/>
              <w:rPr>
                <w:rFonts w:ascii="宋体" w:hAnsi="宋体" w:eastAsia="宋体" w:cs="宋体"/>
                <w:sz w:val="18"/>
                <w:szCs w:val="18"/>
              </w:rPr>
            </w:pPr>
          </w:p>
        </w:tc>
        <w:tc>
          <w:tcPr>
            <w:tcW w:w="1382" w:type="dxa"/>
            <w:shd w:val="clear" w:color="auto" w:fill="FFFFFF"/>
            <w:vAlign w:val="center"/>
          </w:tcPr>
          <w:p w14:paraId="593C59BD">
            <w:pPr>
              <w:spacing w:line="360" w:lineRule="auto"/>
              <w:jc w:val="center"/>
              <w:rPr>
                <w:rFonts w:ascii="宋体" w:hAnsi="宋体" w:eastAsia="宋体" w:cs="宋体"/>
                <w:sz w:val="18"/>
                <w:szCs w:val="18"/>
              </w:rPr>
            </w:pPr>
          </w:p>
        </w:tc>
      </w:tr>
    </w:tbl>
    <w:p w14:paraId="136CC8F6">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14:paraId="63C5C0AA">
      <w:pPr>
        <w:bidi w:val="0"/>
        <w:jc w:val="center"/>
        <w:rPr>
          <w:rFonts w:hint="eastAsia" w:ascii="宋体" w:hAnsi="宋体" w:eastAsia="宋体" w:cs="宋体"/>
          <w:b/>
          <w:bCs/>
        </w:rPr>
      </w:pPr>
      <w:bookmarkStart w:id="467" w:name="_Toc29754"/>
      <w:r>
        <w:rPr>
          <w:rFonts w:hint="eastAsia" w:ascii="宋体" w:hAnsi="宋体" w:eastAsia="宋体" w:cs="宋体"/>
          <w:b/>
          <w:bCs/>
        </w:rPr>
        <w:t>主要人员简历表</w:t>
      </w:r>
      <w:bookmarkEnd w:id="467"/>
    </w:p>
    <w:p w14:paraId="32B91B2D">
      <w:pPr>
        <w:bidi w:val="0"/>
        <w:jc w:val="center"/>
        <w:rPr>
          <w:rFonts w:hint="eastAsia" w:ascii="宋体" w:hAnsi="宋体" w:eastAsia="宋体" w:cs="宋体"/>
        </w:rPr>
      </w:pPr>
    </w:p>
    <w:tbl>
      <w:tblPr>
        <w:tblStyle w:val="15"/>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1593AB0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CB61B41">
            <w:pPr>
              <w:pStyle w:val="29"/>
              <w:spacing w:line="240" w:lineRule="auto"/>
              <w:ind w:firstLine="0"/>
              <w:jc w:val="center"/>
              <w:rPr>
                <w:sz w:val="21"/>
                <w:szCs w:val="21"/>
              </w:rPr>
            </w:pPr>
            <w:r>
              <w:rPr>
                <w:rFonts w:hint="eastAsia"/>
                <w:sz w:val="21"/>
                <w:szCs w:val="21"/>
              </w:rPr>
              <w:t>姓名</w:t>
            </w:r>
          </w:p>
        </w:tc>
        <w:tc>
          <w:tcPr>
            <w:tcW w:w="1405" w:type="dxa"/>
            <w:tcBorders>
              <w:top w:val="single" w:color="auto" w:sz="4" w:space="0"/>
              <w:left w:val="single" w:color="auto" w:sz="4" w:space="0"/>
            </w:tcBorders>
            <w:shd w:val="clear" w:color="auto" w:fill="FFFFFF"/>
            <w:vAlign w:val="center"/>
          </w:tcPr>
          <w:p w14:paraId="189A3F0D">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7C3DCC3">
            <w:pPr>
              <w:pStyle w:val="29"/>
              <w:spacing w:line="240" w:lineRule="auto"/>
              <w:ind w:firstLine="0"/>
              <w:jc w:val="center"/>
              <w:rPr>
                <w:sz w:val="21"/>
                <w:szCs w:val="21"/>
              </w:rPr>
            </w:pPr>
            <w:r>
              <w:rPr>
                <w:rFonts w:hint="eastAsia"/>
                <w:sz w:val="21"/>
                <w:szCs w:val="21"/>
              </w:rPr>
              <w:t>年龄</w:t>
            </w:r>
          </w:p>
        </w:tc>
        <w:tc>
          <w:tcPr>
            <w:tcW w:w="1590" w:type="dxa"/>
            <w:gridSpan w:val="2"/>
            <w:tcBorders>
              <w:top w:val="single" w:color="auto" w:sz="4" w:space="0"/>
              <w:left w:val="single" w:color="auto" w:sz="4" w:space="0"/>
            </w:tcBorders>
            <w:shd w:val="clear" w:color="auto" w:fill="FFFFFF"/>
            <w:vAlign w:val="center"/>
          </w:tcPr>
          <w:p w14:paraId="2CD99275">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073E8369">
            <w:pPr>
              <w:pStyle w:val="29"/>
              <w:spacing w:line="240" w:lineRule="auto"/>
              <w:ind w:firstLine="0"/>
              <w:jc w:val="center"/>
              <w:rPr>
                <w:sz w:val="21"/>
                <w:szCs w:val="21"/>
              </w:rPr>
            </w:pPr>
            <w:r>
              <w:rPr>
                <w:rFonts w:hint="eastAsia"/>
                <w:sz w:val="21"/>
                <w:szCs w:val="21"/>
              </w:rPr>
              <w:t>执业或职业</w:t>
            </w:r>
          </w:p>
          <w:p w14:paraId="67B74BCA">
            <w:pPr>
              <w:pStyle w:val="29"/>
              <w:spacing w:line="240" w:lineRule="auto"/>
              <w:ind w:firstLine="0"/>
              <w:jc w:val="center"/>
              <w:rPr>
                <w:sz w:val="21"/>
                <w:szCs w:val="21"/>
              </w:rPr>
            </w:pPr>
            <w:r>
              <w:rPr>
                <w:rFonts w:hint="eastAsia"/>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16BAD657">
            <w:pPr>
              <w:jc w:val="center"/>
              <w:rPr>
                <w:rFonts w:ascii="宋体" w:hAnsi="宋体" w:eastAsia="宋体" w:cs="宋体"/>
                <w:sz w:val="21"/>
                <w:szCs w:val="21"/>
                <w:lang w:eastAsia="zh-CN"/>
              </w:rPr>
            </w:pPr>
          </w:p>
        </w:tc>
      </w:tr>
      <w:tr w14:paraId="6C86B88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752FB2B">
            <w:pPr>
              <w:pStyle w:val="29"/>
              <w:spacing w:line="240" w:lineRule="auto"/>
              <w:ind w:firstLine="0"/>
              <w:jc w:val="center"/>
              <w:rPr>
                <w:sz w:val="21"/>
                <w:szCs w:val="21"/>
              </w:rPr>
            </w:pPr>
            <w:r>
              <w:rPr>
                <w:rFonts w:hint="eastAsia"/>
                <w:sz w:val="21"/>
                <w:szCs w:val="21"/>
              </w:rPr>
              <w:t>职称</w:t>
            </w:r>
          </w:p>
        </w:tc>
        <w:tc>
          <w:tcPr>
            <w:tcW w:w="1405" w:type="dxa"/>
            <w:tcBorders>
              <w:top w:val="single" w:color="auto" w:sz="4" w:space="0"/>
              <w:left w:val="single" w:color="auto" w:sz="4" w:space="0"/>
            </w:tcBorders>
            <w:shd w:val="clear" w:color="auto" w:fill="FFFFFF"/>
            <w:vAlign w:val="center"/>
          </w:tcPr>
          <w:p w14:paraId="3B56A8E2">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8C665E4">
            <w:pPr>
              <w:pStyle w:val="29"/>
              <w:spacing w:line="240" w:lineRule="auto"/>
              <w:ind w:firstLine="0"/>
              <w:jc w:val="center"/>
              <w:rPr>
                <w:sz w:val="21"/>
                <w:szCs w:val="21"/>
              </w:rPr>
            </w:pPr>
            <w:r>
              <w:rPr>
                <w:rFonts w:hint="eastAsia"/>
                <w:sz w:val="21"/>
                <w:szCs w:val="21"/>
              </w:rPr>
              <w:t>学历</w:t>
            </w:r>
          </w:p>
        </w:tc>
        <w:tc>
          <w:tcPr>
            <w:tcW w:w="1590" w:type="dxa"/>
            <w:gridSpan w:val="2"/>
            <w:tcBorders>
              <w:top w:val="single" w:color="auto" w:sz="4" w:space="0"/>
              <w:left w:val="single" w:color="auto" w:sz="4" w:space="0"/>
            </w:tcBorders>
            <w:shd w:val="clear" w:color="auto" w:fill="FFFFFF"/>
            <w:vAlign w:val="center"/>
          </w:tcPr>
          <w:p w14:paraId="462AC887">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5284394F">
            <w:pPr>
              <w:pStyle w:val="29"/>
              <w:spacing w:line="240" w:lineRule="auto"/>
              <w:ind w:firstLine="0"/>
              <w:jc w:val="center"/>
              <w:rPr>
                <w:sz w:val="21"/>
                <w:szCs w:val="21"/>
              </w:rPr>
            </w:pPr>
            <w:r>
              <w:rPr>
                <w:rFonts w:hint="eastAsia"/>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2A189256">
            <w:pPr>
              <w:jc w:val="center"/>
              <w:rPr>
                <w:rFonts w:ascii="宋体" w:hAnsi="宋体" w:eastAsia="宋体" w:cs="宋体"/>
                <w:sz w:val="21"/>
                <w:szCs w:val="21"/>
              </w:rPr>
            </w:pPr>
          </w:p>
        </w:tc>
      </w:tr>
      <w:tr w14:paraId="6008E9C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050225F">
            <w:pPr>
              <w:pStyle w:val="29"/>
              <w:spacing w:line="240" w:lineRule="auto"/>
              <w:ind w:firstLine="0"/>
              <w:jc w:val="center"/>
              <w:rPr>
                <w:sz w:val="21"/>
                <w:szCs w:val="21"/>
              </w:rPr>
            </w:pPr>
            <w:r>
              <w:rPr>
                <w:rFonts w:hint="eastAsia"/>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2D40BDB4">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D609FFF">
            <w:pPr>
              <w:pStyle w:val="29"/>
              <w:spacing w:line="240" w:lineRule="auto"/>
              <w:ind w:firstLine="0"/>
              <w:jc w:val="center"/>
              <w:rPr>
                <w:sz w:val="21"/>
                <w:szCs w:val="21"/>
              </w:rPr>
            </w:pPr>
            <w:r>
              <w:rPr>
                <w:rFonts w:hint="eastAsia"/>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8C342F0">
            <w:pPr>
              <w:jc w:val="center"/>
              <w:rPr>
                <w:rFonts w:ascii="宋体" w:hAnsi="宋体" w:eastAsia="宋体" w:cs="宋体"/>
                <w:sz w:val="21"/>
                <w:szCs w:val="21"/>
              </w:rPr>
            </w:pPr>
          </w:p>
        </w:tc>
      </w:tr>
      <w:tr w14:paraId="61FC6D3D">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7E7E2591">
            <w:pPr>
              <w:pStyle w:val="29"/>
              <w:spacing w:line="240" w:lineRule="auto"/>
              <w:ind w:firstLine="0"/>
              <w:jc w:val="center"/>
              <w:rPr>
                <w:sz w:val="21"/>
                <w:szCs w:val="21"/>
              </w:rPr>
            </w:pPr>
            <w:r>
              <w:rPr>
                <w:rFonts w:hint="eastAsia"/>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2817498">
            <w:pPr>
              <w:pStyle w:val="29"/>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2CB62A55">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22D119F">
            <w:pPr>
              <w:pStyle w:val="29"/>
              <w:spacing w:line="240" w:lineRule="auto"/>
              <w:ind w:firstLine="210" w:firstLineChars="100"/>
              <w:rPr>
                <w:sz w:val="21"/>
                <w:szCs w:val="21"/>
              </w:rPr>
            </w:pPr>
            <w:r>
              <w:rPr>
                <w:rFonts w:hint="eastAsia"/>
                <w:sz w:val="21"/>
                <w:szCs w:val="21"/>
              </w:rPr>
              <w:t>主要工作经历</w:t>
            </w:r>
          </w:p>
        </w:tc>
      </w:tr>
      <w:tr w14:paraId="1ADBBFE1">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5E322AD">
            <w:pPr>
              <w:pStyle w:val="29"/>
              <w:spacing w:line="240" w:lineRule="auto"/>
              <w:ind w:firstLine="0"/>
              <w:jc w:val="center"/>
              <w:rPr>
                <w:sz w:val="21"/>
                <w:szCs w:val="21"/>
              </w:rPr>
            </w:pPr>
            <w:r>
              <w:rPr>
                <w:rFonts w:hint="eastAsia"/>
                <w:sz w:val="21"/>
                <w:szCs w:val="21"/>
              </w:rPr>
              <w:t>时间</w:t>
            </w:r>
          </w:p>
        </w:tc>
        <w:tc>
          <w:tcPr>
            <w:tcW w:w="3472" w:type="dxa"/>
            <w:gridSpan w:val="3"/>
            <w:tcBorders>
              <w:top w:val="single" w:color="auto" w:sz="4" w:space="0"/>
              <w:left w:val="single" w:color="auto" w:sz="4" w:space="0"/>
            </w:tcBorders>
            <w:shd w:val="clear" w:color="auto" w:fill="FFFFFF"/>
            <w:vAlign w:val="center"/>
          </w:tcPr>
          <w:p w14:paraId="5A6A947C">
            <w:pPr>
              <w:pStyle w:val="29"/>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5816F62">
            <w:pPr>
              <w:pStyle w:val="29"/>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FBA7DE5">
            <w:pPr>
              <w:pStyle w:val="29"/>
              <w:spacing w:line="240" w:lineRule="auto"/>
              <w:ind w:firstLine="0"/>
              <w:jc w:val="center"/>
              <w:rPr>
                <w:sz w:val="21"/>
                <w:szCs w:val="21"/>
              </w:rPr>
            </w:pPr>
            <w:r>
              <w:rPr>
                <w:rFonts w:hint="eastAsia"/>
                <w:sz w:val="21"/>
                <w:szCs w:val="21"/>
              </w:rPr>
              <w:t>发包人及联系电话</w:t>
            </w:r>
          </w:p>
        </w:tc>
      </w:tr>
      <w:tr w14:paraId="5727A2F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3EB5E06">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99AF705">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A47AD7D">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7DB845">
            <w:pPr>
              <w:jc w:val="center"/>
              <w:rPr>
                <w:rFonts w:ascii="宋体" w:hAnsi="宋体" w:eastAsia="宋体" w:cs="宋体"/>
                <w:sz w:val="21"/>
                <w:szCs w:val="21"/>
              </w:rPr>
            </w:pPr>
          </w:p>
        </w:tc>
      </w:tr>
      <w:tr w14:paraId="4941D64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B3984D9">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00D1549">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5CFAC2B">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366461F">
            <w:pPr>
              <w:jc w:val="center"/>
              <w:rPr>
                <w:rFonts w:ascii="宋体" w:hAnsi="宋体" w:eastAsia="宋体" w:cs="宋体"/>
                <w:sz w:val="21"/>
                <w:szCs w:val="21"/>
              </w:rPr>
            </w:pPr>
          </w:p>
        </w:tc>
      </w:tr>
      <w:tr w14:paraId="003B6903">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AAF7494">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D3D73A0">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98C3D15">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533C39">
            <w:pPr>
              <w:jc w:val="center"/>
              <w:rPr>
                <w:rFonts w:ascii="宋体" w:hAnsi="宋体" w:eastAsia="宋体" w:cs="宋体"/>
                <w:sz w:val="21"/>
                <w:szCs w:val="21"/>
              </w:rPr>
            </w:pPr>
          </w:p>
        </w:tc>
      </w:tr>
      <w:tr w14:paraId="50EBC3D2">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904F75C">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3FC05AE">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E7DDD7C">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E02F37">
            <w:pPr>
              <w:jc w:val="center"/>
              <w:rPr>
                <w:rFonts w:ascii="宋体" w:hAnsi="宋体" w:eastAsia="宋体" w:cs="宋体"/>
                <w:sz w:val="21"/>
                <w:szCs w:val="21"/>
              </w:rPr>
            </w:pPr>
          </w:p>
        </w:tc>
      </w:tr>
      <w:tr w14:paraId="08A6C5BA">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D9F9035">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867116">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8C85318">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1C273D">
            <w:pPr>
              <w:jc w:val="center"/>
              <w:rPr>
                <w:rFonts w:ascii="宋体" w:hAnsi="宋体" w:eastAsia="宋体" w:cs="宋体"/>
                <w:sz w:val="21"/>
                <w:szCs w:val="21"/>
              </w:rPr>
            </w:pPr>
          </w:p>
        </w:tc>
      </w:tr>
    </w:tbl>
    <w:p w14:paraId="20FB876A">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02500C44">
      <w:pPr>
        <w:pStyle w:val="5"/>
        <w:rPr>
          <w:rFonts w:ascii="宋体" w:hAnsi="宋体" w:eastAsia="宋体" w:cs="宋体"/>
          <w:b/>
          <w:bCs/>
          <w:color w:val="000000" w:themeColor="text1"/>
          <w:sz w:val="32"/>
          <w:szCs w:val="32"/>
          <w:lang w:eastAsia="zh-CN"/>
          <w14:textFill>
            <w14:solidFill>
              <w14:schemeClr w14:val="tx1"/>
            </w14:solidFill>
          </w14:textFill>
        </w:rPr>
      </w:pPr>
    </w:p>
    <w:p w14:paraId="5DAB7321">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5.项目经验</w:t>
      </w:r>
      <w:r>
        <w:rPr>
          <w:rFonts w:hint="eastAsia" w:ascii="宋体" w:hAnsi="宋体" w:eastAsia="宋体" w:cs="宋体"/>
          <w:color w:val="000000" w:themeColor="text1"/>
          <w:sz w:val="32"/>
          <w:szCs w:val="32"/>
          <w14:textFill>
            <w14:solidFill>
              <w14:schemeClr w14:val="tx1"/>
            </w14:solidFill>
          </w14:textFill>
        </w:rPr>
        <w:t>（格式自拟）</w:t>
      </w:r>
    </w:p>
    <w:p w14:paraId="211CA278">
      <w:pPr>
        <w:jc w:val="both"/>
      </w:pPr>
    </w:p>
    <w:p w14:paraId="4AD83BC6">
      <w:pPr>
        <w:jc w:val="both"/>
        <w:rPr>
          <w:rFonts w:hint="eastAsia"/>
          <w:lang w:val="en-US" w:eastAsia="en-US"/>
        </w:rPr>
      </w:pPr>
    </w:p>
    <w:p w14:paraId="4C5CA80B">
      <w:pPr>
        <w:jc w:val="both"/>
        <w:rPr>
          <w:rFonts w:hint="eastAsia"/>
          <w:lang w:val="en-US" w:eastAsia="en-US"/>
        </w:rPr>
      </w:pPr>
    </w:p>
    <w:sectPr>
      <w:headerReference r:id="rId18" w:type="default"/>
      <w:footerReference r:id="rId19"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600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B48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176B">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E85E">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FCE85E">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591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70E1">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6370E1">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B027">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A84A">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16A84A">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D4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2777F62">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12777F62">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27BD">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67FA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B167FA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2A2">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DFCF4E">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FDFCF4E">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FDF1">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A44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68A44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24B">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8333">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DA7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3F67E700">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3F67E700">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29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705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A9BE10F">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A9BE10F">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D7DB">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abstractNum w:abstractNumId="4">
    <w:nsid w:val="6CD2B65E"/>
    <w:multiLevelType w:val="singleLevel"/>
    <w:tmpl w:val="6CD2B65E"/>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757D91"/>
    <w:rsid w:val="00D27110"/>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5008ED"/>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184BE4"/>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A44FB"/>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9F611E"/>
    <w:rsid w:val="65C42497"/>
    <w:rsid w:val="65C8227B"/>
    <w:rsid w:val="65D226F5"/>
    <w:rsid w:val="65FD2A93"/>
    <w:rsid w:val="66060A30"/>
    <w:rsid w:val="662B13AC"/>
    <w:rsid w:val="6649357B"/>
    <w:rsid w:val="664C55B5"/>
    <w:rsid w:val="666E35CF"/>
    <w:rsid w:val="6686763F"/>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autoRedefine/>
    <w:qFormat/>
    <w:uiPriority w:val="0"/>
    <w:pPr>
      <w:jc w:val="left"/>
    </w:pPr>
  </w:style>
  <w:style w:type="paragraph" w:styleId="9">
    <w:name w:val="toc 3"/>
    <w:basedOn w:val="1"/>
    <w:next w:val="1"/>
    <w:qFormat/>
    <w:uiPriority w:val="0"/>
    <w:pPr>
      <w:ind w:left="840" w:leftChars="400"/>
    </w:pPr>
  </w:style>
  <w:style w:type="paragraph" w:styleId="10">
    <w:name w:val="Plain Text"/>
    <w:basedOn w:val="1"/>
    <w:next w:val="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20">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2">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3">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4">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5">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6">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7">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8">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9">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0">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3">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4">
    <w:name w:val="内容6"/>
    <w:basedOn w:val="1"/>
    <w:autoRedefine/>
    <w:qFormat/>
    <w:uiPriority w:val="0"/>
    <w:pPr>
      <w:spacing w:line="520" w:lineRule="exact"/>
    </w:pPr>
    <w:rPr>
      <w:rFonts w:eastAsia="方正仿宋_GBK" w:cs="方正仿宋_GBK"/>
      <w:sz w:val="28"/>
      <w:szCs w:val="28"/>
    </w:rPr>
  </w:style>
  <w:style w:type="character" w:customStyle="1" w:styleId="35">
    <w:name w:val="font51"/>
    <w:basedOn w:val="17"/>
    <w:autoRedefine/>
    <w:qFormat/>
    <w:uiPriority w:val="0"/>
    <w:rPr>
      <w:rFonts w:hint="eastAsia" w:ascii="宋体" w:hAnsi="宋体" w:eastAsia="宋体" w:cs="宋体"/>
      <w:color w:val="000000"/>
      <w:sz w:val="32"/>
      <w:szCs w:val="32"/>
      <w:u w:val="none"/>
    </w:rPr>
  </w:style>
  <w:style w:type="character" w:customStyle="1" w:styleId="36">
    <w:name w:val="font31"/>
    <w:basedOn w:val="17"/>
    <w:autoRedefine/>
    <w:qFormat/>
    <w:uiPriority w:val="0"/>
    <w:rPr>
      <w:rFonts w:ascii="宋体" w:hAnsi="宋体" w:eastAsia="宋体" w:cs="宋体"/>
      <w:color w:val="000000"/>
      <w:sz w:val="32"/>
      <w:szCs w:val="32"/>
      <w:u w:val="single"/>
    </w:rPr>
  </w:style>
  <w:style w:type="character" w:customStyle="1" w:styleId="37">
    <w:name w:val="font21"/>
    <w:basedOn w:val="17"/>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10832</Words>
  <Characters>11691</Characters>
  <Lines>0</Lines>
  <Paragraphs>0</Paragraphs>
  <TotalTime>0</TotalTime>
  <ScaleCrop>false</ScaleCrop>
  <LinksUpToDate>false</LinksUpToDate>
  <CharactersWithSpaces>14241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2025-06-18T08:38:52Z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