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69EC99D0">
      <w:pPr>
        <w:rPr>
          <w:rFonts w:hint="eastAsia"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rPr>
        <w:t>钦州智慧康养基地建设项目可行性研究报告</w:t>
      </w:r>
    </w:p>
    <w:p w14:paraId="1823E262">
      <w:pPr>
        <w:ind w:firstLine="1807" w:firstLineChars="500"/>
        <w:rPr>
          <w:rFonts w:hint="eastAsia"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u w:val="single"/>
        </w:rPr>
        <w:t>编制服务</w:t>
      </w:r>
    </w:p>
    <w:p w14:paraId="708AFFB0">
      <w:pP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u w:val="single"/>
        </w:rPr>
        <w:t>广西自贸区钦州港片区开发投资集团有限责任公司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4B0DDDF7">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60D5742F">
      <w:pPr>
        <w:pStyle w:val="43"/>
        <w:keepNext w:val="0"/>
        <w:keepLines w:val="0"/>
        <w:pageBreakBefore w:val="0"/>
        <w:kinsoku/>
        <w:wordWrap/>
        <w:overflowPunct/>
        <w:topLinePunct w:val="0"/>
        <w:autoSpaceDE/>
        <w:autoSpaceDN/>
        <w:bidi w:val="0"/>
        <w:spacing w:after="312" w:line="360" w:lineRule="auto"/>
        <w:textAlignment w:val="auto"/>
        <w:rPr>
          <w:rFonts w:hint="default"/>
          <w:color w:val="auto"/>
          <w:highlight w:val="none"/>
        </w:rPr>
      </w:pPr>
      <w:bookmarkStart w:id="0" w:name="OLE_LINK9"/>
      <w:r>
        <w:rPr>
          <w:color w:val="auto"/>
          <w:highlight w:val="none"/>
        </w:rPr>
        <w:t>第一章  采购公告</w:t>
      </w:r>
    </w:p>
    <w:bookmarkEnd w:id="0"/>
    <w:p w14:paraId="2CD283E3">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钦州智慧康养基地建设项目可行性研究报告编制服务</w:t>
      </w:r>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w:t>
      </w:r>
    </w:p>
    <w:p w14:paraId="28170793">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68F3E5A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钦州智慧康养基地建设项目可行性研究报告编制服务</w:t>
      </w:r>
    </w:p>
    <w:p w14:paraId="6A017AB3">
      <w:pPr>
        <w:pStyle w:val="8"/>
        <w:keepNext w:val="0"/>
        <w:keepLines w:val="0"/>
        <w:pageBreakBefore w:val="0"/>
        <w:kinsoku/>
        <w:wordWrap/>
        <w:overflowPunct/>
        <w:topLinePunct w:val="0"/>
        <w:autoSpaceDE/>
        <w:autoSpaceDN/>
        <w:bidi w:val="0"/>
        <w:adjustRightInd/>
        <w:snapToGrid/>
        <w:spacing w:before="0" w:line="360" w:lineRule="auto"/>
        <w:ind w:left="0" w:leftChars="0"/>
        <w:textAlignment w:val="auto"/>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3CAAEA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6B535343">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
          <w:bCs w:val="0"/>
          <w:color w:val="auto"/>
          <w:sz w:val="24"/>
          <w:szCs w:val="24"/>
          <w:highlight w:val="none"/>
          <w:u w:val="none"/>
        </w:rPr>
        <w:t>预算金额：</w:t>
      </w:r>
      <w:r>
        <w:rPr>
          <w:rFonts w:hint="eastAsia" w:ascii="宋体" w:hAnsi="宋体" w:eastAsia="宋体" w:cs="宋体"/>
          <w:bCs/>
          <w:color w:val="auto"/>
          <w:sz w:val="24"/>
          <w:szCs w:val="24"/>
          <w:highlight w:val="none"/>
          <w:u w:val="none"/>
        </w:rPr>
        <w:t>人民币（大写）</w:t>
      </w:r>
      <w:r>
        <w:rPr>
          <w:rFonts w:hint="eastAsia" w:ascii="宋体" w:hAnsi="宋体" w:eastAsia="宋体" w:cs="宋体"/>
          <w:bCs/>
          <w:color w:val="auto"/>
          <w:sz w:val="24"/>
          <w:szCs w:val="24"/>
          <w:highlight w:val="none"/>
          <w:u w:val="none"/>
          <w:lang w:eastAsia="zh-CN"/>
        </w:rPr>
        <w:t>贰拾</w:t>
      </w:r>
      <w:r>
        <w:rPr>
          <w:rFonts w:hint="eastAsia" w:ascii="宋体" w:hAnsi="宋体" w:eastAsia="宋体" w:cs="宋体"/>
          <w:bCs/>
          <w:color w:val="auto"/>
          <w:sz w:val="24"/>
          <w:szCs w:val="24"/>
          <w:highlight w:val="none"/>
          <w:u w:val="none"/>
          <w:lang w:val="en-US" w:eastAsia="zh-CN"/>
        </w:rPr>
        <w:t>陆万壹仟伍佰</w:t>
      </w:r>
      <w:r>
        <w:rPr>
          <w:rFonts w:hint="eastAsia" w:ascii="宋体" w:hAnsi="宋体" w:eastAsia="宋体" w:cs="宋体"/>
          <w:bCs/>
          <w:color w:val="auto"/>
          <w:sz w:val="24"/>
          <w:szCs w:val="24"/>
          <w:highlight w:val="none"/>
          <w:u w:val="none"/>
          <w:lang w:eastAsia="zh-CN"/>
        </w:rPr>
        <w:t>元整（￥：</w:t>
      </w:r>
      <w:r>
        <w:rPr>
          <w:rFonts w:hint="eastAsia" w:ascii="宋体" w:hAnsi="宋体" w:eastAsia="宋体" w:cs="宋体"/>
          <w:bCs/>
          <w:color w:val="auto"/>
          <w:sz w:val="24"/>
          <w:szCs w:val="24"/>
          <w:highlight w:val="none"/>
          <w:u w:val="none"/>
          <w:lang w:val="en-US" w:eastAsia="zh-CN"/>
        </w:rPr>
        <w:t>261500.00</w:t>
      </w:r>
      <w:r>
        <w:rPr>
          <w:rFonts w:hint="eastAsia" w:ascii="宋体" w:hAnsi="宋体" w:eastAsia="宋体" w:cs="宋体"/>
          <w:bCs/>
          <w:color w:val="auto"/>
          <w:sz w:val="24"/>
          <w:szCs w:val="24"/>
          <w:highlight w:val="none"/>
          <w:u w:val="none"/>
          <w:lang w:eastAsia="zh-CN"/>
        </w:rPr>
        <w:t>元）</w:t>
      </w:r>
    </w:p>
    <w:p w14:paraId="64EAD1C6">
      <w:pPr>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
          <w:bCs w:val="0"/>
          <w:color w:val="auto"/>
          <w:sz w:val="24"/>
          <w:szCs w:val="24"/>
          <w:highlight w:val="none"/>
          <w:u w:val="none"/>
        </w:rPr>
        <w:t>最高限价：</w:t>
      </w:r>
      <w:r>
        <w:rPr>
          <w:rFonts w:hint="eastAsia" w:ascii="宋体" w:hAnsi="宋体" w:eastAsia="宋体" w:cs="宋体"/>
          <w:bCs/>
          <w:color w:val="auto"/>
          <w:sz w:val="24"/>
          <w:szCs w:val="24"/>
          <w:highlight w:val="none"/>
          <w:u w:val="none"/>
        </w:rPr>
        <w:t>人民币（大写）</w:t>
      </w:r>
      <w:r>
        <w:rPr>
          <w:rFonts w:hint="eastAsia" w:ascii="宋体" w:hAnsi="宋体" w:eastAsia="宋体" w:cs="宋体"/>
          <w:bCs/>
          <w:color w:val="auto"/>
          <w:sz w:val="24"/>
          <w:szCs w:val="24"/>
          <w:highlight w:val="none"/>
          <w:u w:val="none"/>
          <w:lang w:eastAsia="zh-CN"/>
        </w:rPr>
        <w:t>贰拾</w:t>
      </w:r>
      <w:r>
        <w:rPr>
          <w:rFonts w:hint="eastAsia" w:ascii="宋体" w:hAnsi="宋体" w:eastAsia="宋体" w:cs="宋体"/>
          <w:bCs/>
          <w:color w:val="auto"/>
          <w:sz w:val="24"/>
          <w:szCs w:val="24"/>
          <w:highlight w:val="none"/>
          <w:u w:val="none"/>
          <w:lang w:val="en-US" w:eastAsia="zh-CN"/>
        </w:rPr>
        <w:t>陆万壹仟伍佰</w:t>
      </w:r>
      <w:r>
        <w:rPr>
          <w:rFonts w:hint="eastAsia" w:ascii="宋体" w:hAnsi="宋体" w:eastAsia="宋体" w:cs="宋体"/>
          <w:bCs/>
          <w:color w:val="auto"/>
          <w:sz w:val="24"/>
          <w:szCs w:val="24"/>
          <w:highlight w:val="none"/>
          <w:u w:val="none"/>
          <w:lang w:eastAsia="zh-CN"/>
        </w:rPr>
        <w:t>元整（￥：</w:t>
      </w:r>
      <w:r>
        <w:rPr>
          <w:rFonts w:hint="eastAsia" w:ascii="宋体" w:hAnsi="宋体" w:eastAsia="宋体" w:cs="宋体"/>
          <w:bCs/>
          <w:color w:val="auto"/>
          <w:sz w:val="24"/>
          <w:szCs w:val="24"/>
          <w:highlight w:val="none"/>
          <w:u w:val="none"/>
          <w:lang w:val="en-US" w:eastAsia="zh-CN"/>
        </w:rPr>
        <w:t>261500.00</w:t>
      </w:r>
      <w:r>
        <w:rPr>
          <w:rFonts w:hint="eastAsia" w:ascii="宋体" w:hAnsi="宋体" w:eastAsia="宋体" w:cs="宋体"/>
          <w:bCs/>
          <w:color w:val="auto"/>
          <w:sz w:val="24"/>
          <w:szCs w:val="24"/>
          <w:highlight w:val="none"/>
          <w:u w:val="none"/>
          <w:lang w:eastAsia="zh-CN"/>
        </w:rPr>
        <w:t>元）</w:t>
      </w:r>
    </w:p>
    <w:p w14:paraId="28FF580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w:t>
      </w:r>
      <w:r>
        <w:rPr>
          <w:rFonts w:hint="eastAsia" w:ascii="宋体" w:hAnsi="宋体" w:eastAsia="宋体" w:cs="宋体"/>
          <w:bCs/>
          <w:color w:val="auto"/>
          <w:sz w:val="24"/>
          <w:szCs w:val="24"/>
          <w:highlight w:val="none"/>
          <w:lang w:eastAsia="zh-CN"/>
        </w:rPr>
        <w:t>概念性规划等</w:t>
      </w:r>
      <w:r>
        <w:rPr>
          <w:rFonts w:hint="eastAsia" w:ascii="宋体" w:hAnsi="宋体" w:eastAsia="宋体" w:cs="宋体"/>
          <w:bCs/>
          <w:color w:val="auto"/>
          <w:sz w:val="24"/>
          <w:szCs w:val="24"/>
          <w:highlight w:val="none"/>
        </w:rPr>
        <w:t>相关资料之日起，</w:t>
      </w:r>
      <w:r>
        <w:rPr>
          <w:rFonts w:hint="eastAsia" w:ascii="宋体" w:hAnsi="宋体" w:eastAsia="宋体" w:cs="宋体"/>
          <w:bCs/>
          <w:color w:val="auto"/>
          <w:sz w:val="24"/>
          <w:szCs w:val="24"/>
          <w:highlight w:val="none"/>
          <w:lang w:val="en-US" w:eastAsia="zh-CN"/>
        </w:rPr>
        <w:t>15</w:t>
      </w:r>
      <w:r>
        <w:rPr>
          <w:rFonts w:ascii="宋体" w:hAnsi="宋体" w:eastAsia="宋体" w:cs="宋体"/>
          <w:bCs/>
          <w:color w:val="auto"/>
          <w:sz w:val="24"/>
          <w:szCs w:val="24"/>
          <w:highlight w:val="none"/>
        </w:rPr>
        <w:t>个日历天完成</w:t>
      </w:r>
      <w:r>
        <w:rPr>
          <w:rFonts w:hint="eastAsia" w:ascii="宋体" w:hAnsi="宋体" w:eastAsia="宋体" w:cs="宋体"/>
          <w:bCs/>
          <w:color w:val="auto"/>
          <w:sz w:val="24"/>
          <w:szCs w:val="24"/>
          <w:highlight w:val="none"/>
          <w:u w:val="single"/>
        </w:rPr>
        <w:t>钦州智慧康养基地建设项目可行性研究报告编制服务。</w:t>
      </w:r>
    </w:p>
    <w:p w14:paraId="5B6069A0">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95F2C13">
      <w:pPr>
        <w:keepNext w:val="0"/>
        <w:keepLines w:val="0"/>
        <w:pageBreakBefore w:val="0"/>
        <w:kinsoku/>
        <w:wordWrap/>
        <w:overflowPunct/>
        <w:topLinePunct w:val="0"/>
        <w:autoSpaceDE/>
        <w:autoSpaceDN/>
        <w:bidi w:val="0"/>
        <w:adjustRightInd/>
        <w:snapToGrid/>
        <w:spacing w:line="360" w:lineRule="auto"/>
        <w:ind w:left="720" w:leftChars="0" w:hanging="720" w:hangingChars="3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07637C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237C4E8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116E100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33C2BD4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年内（自202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年1月1日以来）具有相应或类似的</w:t>
      </w:r>
      <w:r>
        <w:rPr>
          <w:rFonts w:hint="eastAsia" w:ascii="宋体" w:hAnsi="宋体" w:eastAsia="宋体" w:cs="宋体"/>
          <w:bCs/>
          <w:color w:val="auto"/>
          <w:sz w:val="24"/>
          <w:highlight w:val="none"/>
          <w:lang w:val="en-US" w:eastAsia="zh-CN"/>
        </w:rPr>
        <w:t>项目建议书及可行性研究报告服务</w:t>
      </w:r>
      <w:r>
        <w:rPr>
          <w:rFonts w:hint="eastAsia" w:ascii="宋体" w:hAnsi="宋体" w:eastAsia="宋体" w:cs="宋体"/>
          <w:bCs/>
          <w:color w:val="auto"/>
          <w:sz w:val="24"/>
          <w:highlight w:val="none"/>
        </w:rPr>
        <w:t>业绩，并附上相应的合同复印件，需提供1个及以上的服务业绩。</w:t>
      </w:r>
    </w:p>
    <w:p w14:paraId="403479B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3C99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602B5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7E4F0D9E">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23</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93502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35D6446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468FF40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keepNext w:val="0"/>
        <w:keepLines w:val="0"/>
        <w:pageBreakBefore w:val="0"/>
        <w:numPr>
          <w:ins w:id="0" w:author="风控审计部 黄全炳" w:date=""/>
        </w:numPr>
        <w:kinsoku/>
        <w:wordWrap/>
        <w:overflowPunct/>
        <w:topLinePunct w:val="0"/>
        <w:autoSpaceDE/>
        <w:autoSpaceDN/>
        <w:bidi w:val="0"/>
        <w:adjustRightInd/>
        <w:snapToGrid/>
        <w:spacing w:line="360" w:lineRule="auto"/>
        <w:ind w:left="0" w:leftChars="0" w:firstLine="480" w:firstLineChars="200"/>
        <w:textAlignment w:val="auto"/>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30</w:t>
      </w:r>
      <w:bookmarkStart w:id="7" w:name="_GoBack"/>
      <w:bookmarkEnd w:id="7"/>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60D7249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keepNext w:val="0"/>
        <w:keepLines w:val="0"/>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89278A3">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w:t>
      </w:r>
    </w:p>
    <w:p w14:paraId="780D69E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A10A6D3">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6356CEB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2B5">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eastAsia="宋体" w:cs="宋体"/>
                <w:color w:val="auto"/>
                <w:kern w:val="0"/>
                <w:sz w:val="22"/>
                <w:highlight w:val="none"/>
                <w:u w:val="none"/>
              </w:rPr>
            </w:pPr>
            <w:r>
              <w:rPr>
                <w:rFonts w:hint="eastAsia" w:ascii="宋体" w:hAnsi="宋体" w:eastAsia="宋体" w:cs="宋体"/>
                <w:bCs/>
                <w:color w:val="auto"/>
                <w:sz w:val="21"/>
                <w:szCs w:val="21"/>
                <w:highlight w:val="none"/>
                <w:u w:val="none"/>
              </w:rPr>
              <w:t>合同签订后，服务单位收到编制报告所需的</w:t>
            </w:r>
            <w:r>
              <w:rPr>
                <w:rFonts w:hint="eastAsia" w:ascii="宋体" w:hAnsi="宋体" w:eastAsia="宋体" w:cs="宋体"/>
                <w:bCs/>
                <w:color w:val="auto"/>
                <w:sz w:val="21"/>
                <w:szCs w:val="21"/>
                <w:highlight w:val="none"/>
                <w:u w:val="none"/>
                <w:lang w:eastAsia="zh-CN"/>
              </w:rPr>
              <w:t>概念性规划等</w:t>
            </w:r>
            <w:r>
              <w:rPr>
                <w:rFonts w:hint="eastAsia" w:ascii="宋体" w:hAnsi="宋体" w:eastAsia="宋体" w:cs="宋体"/>
                <w:bCs/>
                <w:color w:val="auto"/>
                <w:sz w:val="21"/>
                <w:szCs w:val="21"/>
                <w:highlight w:val="none"/>
                <w:u w:val="none"/>
              </w:rPr>
              <w:t>相关资料之日起，</w:t>
            </w:r>
            <w:r>
              <w:rPr>
                <w:rFonts w:hint="eastAsia" w:ascii="宋体" w:hAnsi="宋体" w:eastAsia="宋体" w:cs="宋体"/>
                <w:bCs/>
                <w:color w:val="auto"/>
                <w:sz w:val="21"/>
                <w:szCs w:val="21"/>
                <w:highlight w:val="none"/>
                <w:u w:val="none"/>
                <w:lang w:val="en-US" w:eastAsia="zh-CN"/>
              </w:rPr>
              <w:t>15</w:t>
            </w:r>
            <w:r>
              <w:rPr>
                <w:rFonts w:ascii="宋体" w:hAnsi="宋体" w:eastAsia="宋体" w:cs="宋体"/>
                <w:bCs/>
                <w:color w:val="auto"/>
                <w:sz w:val="21"/>
                <w:szCs w:val="21"/>
                <w:highlight w:val="none"/>
                <w:u w:val="none"/>
              </w:rPr>
              <w:t>个日历天完成</w:t>
            </w:r>
            <w:r>
              <w:rPr>
                <w:rFonts w:hint="eastAsia" w:ascii="宋体" w:hAnsi="宋体" w:eastAsia="宋体" w:cs="宋体"/>
                <w:bCs/>
                <w:color w:val="auto"/>
                <w:sz w:val="21"/>
                <w:szCs w:val="21"/>
                <w:highlight w:val="none"/>
                <w:u w:val="none"/>
              </w:rPr>
              <w:t>钦州智慧康养基地建设项目可行性研究报告编制服务。</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pStyle w:val="9"/>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cs="宋体"/>
                <w:color w:val="auto"/>
                <w:kern w:val="0"/>
                <w:sz w:val="22"/>
                <w:highlight w:val="none"/>
              </w:rPr>
            </w:pPr>
            <w:r>
              <w:rPr>
                <w:rFonts w:hint="eastAsia" w:ascii="宋体" w:hAnsi="宋体" w:eastAsia="宋体" w:cs="宋体"/>
                <w:color w:val="auto"/>
                <w:highlight w:val="none"/>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D927">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1.本项目无预付款。</w:t>
            </w:r>
            <w:r>
              <w:rPr>
                <w:rFonts w:hint="eastAsia" w:ascii="宋体" w:hAnsi="宋体" w:eastAsia="宋体" w:cs="宋体"/>
                <w:bCs/>
                <w:color w:val="auto"/>
                <w:sz w:val="21"/>
                <w:szCs w:val="21"/>
                <w:highlight w:val="none"/>
                <w:u w:val="none"/>
                <w:lang w:eastAsia="zh-CN"/>
              </w:rPr>
              <w:t>签订合同之后，</w:t>
            </w:r>
            <w:r>
              <w:rPr>
                <w:rFonts w:hint="eastAsia" w:ascii="宋体" w:hAnsi="宋体" w:eastAsia="宋体" w:cs="宋体"/>
                <w:bCs/>
                <w:color w:val="auto"/>
                <w:sz w:val="21"/>
                <w:szCs w:val="21"/>
                <w:highlight w:val="none"/>
                <w:u w:val="none"/>
              </w:rPr>
              <w:t>乙方向甲方提交《钦州智慧康养基地建设项目可行性研究报告》</w:t>
            </w:r>
            <w:r>
              <w:rPr>
                <w:rFonts w:hint="eastAsia" w:ascii="宋体" w:hAnsi="宋体" w:eastAsia="宋体" w:cs="宋体"/>
                <w:color w:val="auto"/>
                <w:highlight w:val="none"/>
              </w:rPr>
              <w:t>(评审稿)</w:t>
            </w:r>
            <w:r>
              <w:rPr>
                <w:rFonts w:hint="eastAsia" w:ascii="宋体" w:hAnsi="宋体" w:eastAsia="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rPr>
              <w:t>个工作日内</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甲方向乙方支付合同金额的</w:t>
            </w:r>
            <w:r>
              <w:rPr>
                <w:rFonts w:hint="eastAsia" w:ascii="宋体" w:hAnsi="宋体" w:eastAsia="宋体" w:cs="宋体"/>
                <w:bCs/>
                <w:color w:val="auto"/>
                <w:sz w:val="21"/>
                <w:szCs w:val="21"/>
                <w:highlight w:val="none"/>
                <w:u w:val="none"/>
                <w:lang w:val="en-US" w:eastAsia="zh-CN"/>
              </w:rPr>
              <w:t>60</w:t>
            </w:r>
            <w:r>
              <w:rPr>
                <w:rFonts w:hint="eastAsia" w:ascii="宋体" w:hAnsi="宋体" w:eastAsia="宋体" w:cs="宋体"/>
                <w:bCs/>
                <w:color w:val="auto"/>
                <w:sz w:val="21"/>
                <w:szCs w:val="21"/>
                <w:highlight w:val="none"/>
                <w:u w:val="none"/>
              </w:rPr>
              <w:t>%。经</w:t>
            </w:r>
            <w:r>
              <w:rPr>
                <w:rFonts w:hint="eastAsia" w:ascii="宋体" w:hAnsi="宋体" w:eastAsia="宋体" w:cs="宋体"/>
                <w:bCs/>
                <w:color w:val="auto"/>
                <w:sz w:val="21"/>
                <w:szCs w:val="21"/>
                <w:highlight w:val="none"/>
                <w:u w:val="none"/>
                <w:lang w:eastAsia="zh-CN"/>
              </w:rPr>
              <w:t>第三方机构评估通过后</w:t>
            </w:r>
            <w:r>
              <w:rPr>
                <w:rFonts w:hint="eastAsia" w:ascii="宋体" w:hAnsi="宋体" w:eastAsia="宋体" w:cs="宋体"/>
                <w:bCs/>
                <w:color w:val="auto"/>
                <w:sz w:val="21"/>
                <w:szCs w:val="21"/>
                <w:highlight w:val="none"/>
                <w:u w:val="none"/>
              </w:rPr>
              <w:t>，乙方向甲方提交</w:t>
            </w:r>
            <w:r>
              <w:rPr>
                <w:rFonts w:hint="eastAsia" w:ascii="宋体" w:hAnsi="宋体" w:eastAsia="宋体" w:cs="宋体"/>
                <w:bCs/>
                <w:color w:val="auto"/>
                <w:sz w:val="21"/>
                <w:szCs w:val="21"/>
                <w:highlight w:val="none"/>
                <w:u w:val="none"/>
                <w:lang w:eastAsia="zh-CN"/>
              </w:rPr>
              <w:t>按照评估意见修改完整的</w:t>
            </w:r>
            <w:r>
              <w:rPr>
                <w:rFonts w:hint="eastAsia" w:ascii="宋体" w:hAnsi="宋体" w:eastAsia="宋体" w:cs="宋体"/>
                <w:bCs/>
                <w:color w:val="auto"/>
                <w:sz w:val="21"/>
                <w:szCs w:val="21"/>
                <w:highlight w:val="none"/>
                <w:u w:val="none"/>
              </w:rPr>
              <w:t>《钦州智慧康养基地建设项目可行性研究报告》成果</w:t>
            </w:r>
            <w:r>
              <w:rPr>
                <w:rFonts w:hint="eastAsia" w:ascii="宋体" w:hAnsi="宋体" w:eastAsia="宋体" w:cs="宋体"/>
                <w:bCs/>
                <w:color w:val="auto"/>
                <w:sz w:val="21"/>
                <w:szCs w:val="21"/>
                <w:highlight w:val="none"/>
                <w:u w:val="none"/>
                <w:lang w:eastAsia="zh-CN"/>
              </w:rPr>
              <w:t>文件</w:t>
            </w:r>
            <w:r>
              <w:rPr>
                <w:rFonts w:hint="eastAsia" w:ascii="宋体" w:hAnsi="宋体" w:eastAsia="宋体" w:cs="宋体"/>
                <w:bCs/>
                <w:color w:val="auto"/>
                <w:sz w:val="21"/>
                <w:szCs w:val="21"/>
                <w:highlight w:val="none"/>
                <w:u w:val="none"/>
              </w:rPr>
              <w:t>，甲方在</w:t>
            </w:r>
            <w:r>
              <w:rPr>
                <w:rFonts w:hint="eastAsia" w:ascii="宋体" w:hAnsi="宋体" w:eastAsia="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rPr>
              <w:t>个工作日内一次性无息付清余款。</w:t>
            </w:r>
            <w:r>
              <w:rPr>
                <w:rFonts w:hint="eastAsia" w:ascii="宋体" w:hAnsi="宋体" w:eastAsia="宋体" w:cs="宋体"/>
                <w:color w:val="auto"/>
                <w:highlight w:val="none"/>
              </w:rPr>
              <w:t>乙方应在甲方付款前提供合格、有效且等额发票给甲方。</w:t>
            </w:r>
          </w:p>
          <w:p w14:paraId="5DC9F03C">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宋体"/>
                <w:color w:val="auto"/>
                <w:kern w:val="0"/>
                <w:sz w:val="22"/>
                <w:highlight w:val="none"/>
              </w:rPr>
            </w:pPr>
            <w:r>
              <w:rPr>
                <w:rFonts w:hint="eastAsia" w:ascii="宋体" w:hAnsi="宋体" w:eastAsia="宋体" w:cs="宋体"/>
                <w:color w:val="auto"/>
                <w:highlight w:val="none"/>
              </w:rPr>
              <w:t>2.采购人付款前，成交人应向采购人提交书面付款申请（说明应付款的理由、金额、收款账户等）及增值税专用发票，否则采购人有权拒绝付款，且不构成违约。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2928A842">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6279CEF9">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w:t>
            </w:r>
            <w:r>
              <w:rPr>
                <w:rFonts w:hint="eastAsia" w:ascii="宋体" w:hAnsi="宋体" w:eastAsia="宋体" w:cs="宋体"/>
                <w:bCs/>
                <w:color w:val="auto"/>
                <w:sz w:val="24"/>
                <w:szCs w:val="24"/>
                <w:highlight w:val="none"/>
                <w:u w:val="single"/>
              </w:rPr>
              <w:t>广西自贸区钦州港片区开发投资集团有限责任公司</w:t>
            </w:r>
          </w:p>
          <w:p w14:paraId="6A1BA5E0">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BB462D2">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spacing w:line="400" w:lineRule="exact"/>
              <w:jc w:val="cente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项目名称</w:t>
            </w:r>
          </w:p>
        </w:tc>
        <w:tc>
          <w:tcPr>
            <w:tcW w:w="6418" w:type="dxa"/>
            <w:vAlign w:val="center"/>
          </w:tcPr>
          <w:p w14:paraId="36B1DA17">
            <w:pPr>
              <w:pStyle w:val="12"/>
              <w:spacing w:line="360" w:lineRule="exact"/>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钦州智慧康养基地建设项目可行性研究报告编制服务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spacing w:line="400" w:lineRule="exact"/>
              <w:jc w:val="center"/>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采购预算</w:t>
            </w:r>
          </w:p>
        </w:tc>
        <w:tc>
          <w:tcPr>
            <w:tcW w:w="6418" w:type="dxa"/>
            <w:vAlign w:val="center"/>
          </w:tcPr>
          <w:p w14:paraId="38E26941">
            <w:pPr>
              <w:pStyle w:val="12"/>
              <w:spacing w:line="360" w:lineRule="exact"/>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人民币（大写）</w:t>
            </w:r>
            <w:r>
              <w:rPr>
                <w:rFonts w:hint="eastAsia" w:ascii="宋体" w:hAnsi="宋体" w:eastAsia="宋体" w:cs="宋体"/>
                <w:bCs/>
                <w:color w:val="auto"/>
                <w:sz w:val="24"/>
                <w:szCs w:val="24"/>
                <w:highlight w:val="none"/>
                <w:u w:val="none"/>
                <w:lang w:eastAsia="zh-CN"/>
              </w:rPr>
              <w:t>贰拾</w:t>
            </w:r>
            <w:r>
              <w:rPr>
                <w:rFonts w:hint="eastAsia" w:ascii="宋体" w:hAnsi="宋体" w:eastAsia="宋体" w:cs="宋体"/>
                <w:bCs/>
                <w:color w:val="auto"/>
                <w:sz w:val="24"/>
                <w:szCs w:val="24"/>
                <w:highlight w:val="none"/>
                <w:u w:val="none"/>
                <w:lang w:val="en-US" w:eastAsia="zh-CN"/>
              </w:rPr>
              <w:t>陆万壹仟伍佰</w:t>
            </w:r>
            <w:r>
              <w:rPr>
                <w:rFonts w:hint="eastAsia" w:ascii="宋体" w:hAnsi="宋体" w:eastAsia="宋体" w:cs="宋体"/>
                <w:bCs/>
                <w:color w:val="auto"/>
                <w:sz w:val="24"/>
                <w:szCs w:val="24"/>
                <w:highlight w:val="none"/>
                <w:u w:val="none"/>
                <w:lang w:eastAsia="zh-CN"/>
              </w:rPr>
              <w:t>元整（￥：</w:t>
            </w:r>
            <w:r>
              <w:rPr>
                <w:rFonts w:hint="eastAsia" w:ascii="宋体" w:hAnsi="宋体" w:eastAsia="宋体" w:cs="宋体"/>
                <w:bCs/>
                <w:color w:val="auto"/>
                <w:sz w:val="24"/>
                <w:szCs w:val="24"/>
                <w:highlight w:val="none"/>
                <w:u w:val="none"/>
                <w:lang w:val="en-US" w:eastAsia="zh-CN"/>
              </w:rPr>
              <w:t>261500.00</w:t>
            </w:r>
            <w:r>
              <w:rPr>
                <w:rFonts w:hint="eastAsia" w:ascii="宋体" w:hAnsi="宋体" w:eastAsia="宋体" w:cs="宋体"/>
                <w:bCs/>
                <w:color w:val="auto"/>
                <w:sz w:val="24"/>
                <w:szCs w:val="24"/>
                <w:highlight w:val="none"/>
                <w:u w:val="none"/>
                <w:lang w:eastAsia="zh-CN"/>
              </w:rPr>
              <w:t>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43B5CC73">
            <w:pPr>
              <w:pStyle w:val="12"/>
              <w:spacing w:line="360" w:lineRule="exact"/>
              <w:jc w:val="left"/>
              <w:rPr>
                <w:rFonts w:hint="eastAsia" w:ascii="宋体" w:hAnsi="宋体" w:eastAsia="宋体" w:cs="宋体"/>
                <w:bCs/>
                <w:color w:val="auto"/>
                <w:sz w:val="21"/>
                <w:szCs w:val="21"/>
                <w:highlight w:val="none"/>
                <w:u w:val="none"/>
                <w:lang w:eastAsia="zh-CN"/>
              </w:rPr>
            </w:pPr>
            <w:r>
              <w:rPr>
                <w:rFonts w:hint="eastAsia" w:ascii="宋体" w:hAnsi="宋体" w:eastAsia="宋体" w:cs="宋体"/>
                <w:bCs/>
                <w:color w:val="auto"/>
                <w:sz w:val="21"/>
                <w:szCs w:val="21"/>
                <w:highlight w:val="none"/>
                <w:u w:val="none"/>
              </w:rPr>
              <w:t>人民币（大写）</w:t>
            </w:r>
            <w:r>
              <w:rPr>
                <w:rFonts w:hint="eastAsia" w:ascii="宋体" w:hAnsi="宋体" w:eastAsia="宋体" w:cs="宋体"/>
                <w:bCs/>
                <w:color w:val="auto"/>
                <w:sz w:val="24"/>
                <w:szCs w:val="24"/>
                <w:highlight w:val="none"/>
                <w:u w:val="none"/>
                <w:lang w:eastAsia="zh-CN"/>
              </w:rPr>
              <w:t>贰拾</w:t>
            </w:r>
            <w:r>
              <w:rPr>
                <w:rFonts w:hint="eastAsia" w:ascii="宋体" w:hAnsi="宋体" w:eastAsia="宋体" w:cs="宋体"/>
                <w:bCs/>
                <w:color w:val="auto"/>
                <w:sz w:val="24"/>
                <w:szCs w:val="24"/>
                <w:highlight w:val="none"/>
                <w:u w:val="none"/>
                <w:lang w:val="en-US" w:eastAsia="zh-CN"/>
              </w:rPr>
              <w:t>陆万壹仟伍佰</w:t>
            </w:r>
            <w:r>
              <w:rPr>
                <w:rFonts w:hint="eastAsia" w:ascii="宋体" w:hAnsi="宋体" w:eastAsia="宋体" w:cs="宋体"/>
                <w:bCs/>
                <w:color w:val="auto"/>
                <w:sz w:val="24"/>
                <w:szCs w:val="24"/>
                <w:highlight w:val="none"/>
                <w:u w:val="none"/>
                <w:lang w:eastAsia="zh-CN"/>
              </w:rPr>
              <w:t>元整（￥：</w:t>
            </w:r>
            <w:r>
              <w:rPr>
                <w:rFonts w:hint="eastAsia" w:ascii="宋体" w:hAnsi="宋体" w:eastAsia="宋体" w:cs="宋体"/>
                <w:bCs/>
                <w:color w:val="auto"/>
                <w:sz w:val="24"/>
                <w:szCs w:val="24"/>
                <w:highlight w:val="none"/>
                <w:u w:val="none"/>
                <w:lang w:val="en-US" w:eastAsia="zh-CN"/>
              </w:rPr>
              <w:t>261500.00</w:t>
            </w:r>
            <w:r>
              <w:rPr>
                <w:rFonts w:hint="eastAsia" w:ascii="宋体" w:hAnsi="宋体" w:eastAsia="宋体" w:cs="宋体"/>
                <w:bCs/>
                <w:color w:val="auto"/>
                <w:sz w:val="24"/>
                <w:szCs w:val="24"/>
                <w:highlight w:val="none"/>
                <w:u w:val="none"/>
                <w:lang w:eastAsia="zh-CN"/>
              </w:rPr>
              <w:t>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7A883D7C">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1178A3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34CB56B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D0EAE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450B306">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ascii="宋体" w:hAnsi="宋体" w:eastAsia="宋体" w:cs="宋体"/>
                <w:bCs/>
                <w:color w:val="auto"/>
                <w:sz w:val="24"/>
                <w:highlight w:val="none"/>
              </w:rPr>
              <w:t>4</w:t>
            </w:r>
            <w:r>
              <w:rPr>
                <w:rFonts w:hint="eastAsia" w:ascii="宋体" w:hAnsi="宋体" w:eastAsia="宋体" w:cs="宋体"/>
                <w:bCs/>
                <w:color w:val="auto"/>
                <w:sz w:val="24"/>
                <w:highlight w:val="none"/>
              </w:rPr>
              <w:t>）近</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年内（自202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年1月1日以来）具有相应或类似的</w:t>
            </w:r>
            <w:r>
              <w:rPr>
                <w:rFonts w:hint="eastAsia" w:ascii="宋体" w:hAnsi="宋体" w:eastAsia="宋体" w:cs="宋体"/>
                <w:bCs/>
                <w:color w:val="auto"/>
                <w:sz w:val="24"/>
                <w:highlight w:val="none"/>
                <w:lang w:val="en-US" w:eastAsia="zh-CN"/>
              </w:rPr>
              <w:t>项目建议书及可行性研究报告服务</w:t>
            </w:r>
            <w:r>
              <w:rPr>
                <w:rFonts w:hint="eastAsia" w:ascii="宋体" w:hAnsi="宋体" w:eastAsia="宋体" w:cs="宋体"/>
                <w:bCs/>
                <w:color w:val="auto"/>
                <w:sz w:val="24"/>
                <w:highlight w:val="none"/>
              </w:rPr>
              <w:t>业绩，并附上相应的合同复印件，需提供1个及以上的服务业绩。</w:t>
            </w:r>
          </w:p>
          <w:p w14:paraId="6B4F9AB6">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32FC3A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656A1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71D1AA6">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pStyle w:val="20"/>
              <w:widowControl/>
              <w:numPr>
                <w:ilvl w:val="255"/>
                <w:numId w:val="0"/>
              </w:numPr>
              <w:rPr>
                <w:rFonts w:hint="eastAsia" w:ascii="宋体" w:hAnsi="宋体" w:eastAsia="宋体" w:cs="宋体"/>
                <w:color w:val="auto"/>
                <w:szCs w:val="24"/>
                <w:highlight w:val="none"/>
                <w:lang w:bidi="zh-CN"/>
              </w:rPr>
            </w:pPr>
            <w:r>
              <w:rPr>
                <w:rFonts w:hint="eastAsia" w:ascii="宋体" w:hAnsi="宋体" w:eastAsia="宋体" w:cs="宋体"/>
                <w:color w:val="auto"/>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73D4EB9">
            <w:pPr>
              <w:pStyle w:val="20"/>
              <w:widowControl/>
              <w:numPr>
                <w:ilvl w:val="255"/>
                <w:numId w:val="0"/>
              </w:numPr>
              <w:rPr>
                <w:rFonts w:hint="default" w:ascii="宋体" w:hAnsi="宋体" w:eastAsia="宋体" w:cs="宋体"/>
                <w:color w:val="auto"/>
                <w:szCs w:val="24"/>
                <w:highlight w:val="none"/>
                <w:lang w:val="en-US" w:eastAsia="zh-CN" w:bidi="zh-CN"/>
              </w:rPr>
            </w:pPr>
            <w:r>
              <w:rPr>
                <w:rFonts w:hint="eastAsia" w:ascii="宋体" w:hAnsi="宋体" w:eastAsia="宋体" w:cs="宋体"/>
                <w:color w:val="auto"/>
                <w:szCs w:val="24"/>
                <w:highlight w:val="none"/>
                <w:lang w:bidi="zh-CN"/>
              </w:rPr>
              <w:t>一档（</w:t>
            </w:r>
            <w:r>
              <w:rPr>
                <w:rFonts w:hint="eastAsia" w:ascii="宋体" w:hAnsi="宋体" w:eastAsia="宋体" w:cs="宋体"/>
                <w:color w:val="auto"/>
                <w:szCs w:val="24"/>
                <w:highlight w:val="none"/>
                <w:lang w:val="en-US" w:eastAsia="zh-CN" w:bidi="zh-CN"/>
              </w:rPr>
              <w:t>1-</w:t>
            </w:r>
            <w:r>
              <w:rPr>
                <w:rFonts w:hint="eastAsia" w:ascii="宋体" w:hAnsi="宋体" w:eastAsia="宋体" w:cs="宋体"/>
                <w:color w:val="auto"/>
                <w:szCs w:val="24"/>
                <w:highlight w:val="none"/>
                <w:lang w:bidi="zh-CN"/>
              </w:rPr>
              <w:t>1</w:t>
            </w:r>
            <w:r>
              <w:rPr>
                <w:rFonts w:hint="eastAsia" w:ascii="宋体" w:hAnsi="宋体" w:eastAsia="宋体" w:cs="宋体"/>
                <w:color w:val="auto"/>
                <w:szCs w:val="24"/>
                <w:highlight w:val="none"/>
                <w:lang w:val="en-US" w:eastAsia="zh-CN" w:bidi="zh-CN"/>
              </w:rPr>
              <w:t>0</w:t>
            </w:r>
            <w:r>
              <w:rPr>
                <w:rFonts w:hint="eastAsia" w:ascii="宋体" w:hAnsi="宋体" w:eastAsia="宋体" w:cs="宋体"/>
                <w:color w:val="auto"/>
                <w:szCs w:val="24"/>
                <w:highlight w:val="none"/>
                <w:lang w:bidi="zh-CN"/>
              </w:rPr>
              <w:t>分）：对本项目背景理解有偏差，工作思路、方法、工作大纲基本可行，</w:t>
            </w:r>
            <w:r>
              <w:rPr>
                <w:rFonts w:hint="eastAsia" w:ascii="宋体" w:hAnsi="宋体" w:eastAsia="宋体" w:cs="宋体"/>
                <w:color w:val="auto"/>
                <w:szCs w:val="24"/>
                <w:highlight w:val="none"/>
                <w:lang w:eastAsia="zh-CN" w:bidi="zh-CN"/>
              </w:rPr>
              <w:t>对</w:t>
            </w:r>
            <w:r>
              <w:rPr>
                <w:rFonts w:hint="eastAsia" w:ascii="宋体" w:hAnsi="宋体" w:eastAsia="宋体" w:cs="宋体"/>
                <w:color w:val="auto"/>
                <w:szCs w:val="24"/>
                <w:highlight w:val="none"/>
                <w:lang w:bidi="zh-CN"/>
              </w:rPr>
              <w:t>收集</w:t>
            </w:r>
            <w:r>
              <w:rPr>
                <w:rFonts w:hint="eastAsia" w:ascii="宋体" w:hAnsi="宋体" w:eastAsia="宋体" w:cs="宋体"/>
                <w:color w:val="auto"/>
                <w:szCs w:val="24"/>
                <w:highlight w:val="none"/>
                <w:lang w:eastAsia="zh-CN" w:bidi="zh-CN"/>
              </w:rPr>
              <w:t>的</w:t>
            </w:r>
            <w:r>
              <w:rPr>
                <w:rFonts w:hint="eastAsia" w:ascii="宋体" w:hAnsi="宋体" w:eastAsia="宋体" w:cs="宋体"/>
                <w:color w:val="auto"/>
                <w:szCs w:val="24"/>
                <w:highlight w:val="none"/>
                <w:lang w:bidi="zh-CN"/>
              </w:rPr>
              <w:t>资料的基础进行</w:t>
            </w:r>
            <w:r>
              <w:rPr>
                <w:rFonts w:hint="eastAsia" w:ascii="宋体" w:hAnsi="宋体" w:eastAsia="宋体" w:cs="宋体"/>
                <w:color w:val="auto"/>
                <w:szCs w:val="24"/>
                <w:highlight w:val="none"/>
                <w:lang w:eastAsia="zh-CN" w:bidi="zh-CN"/>
              </w:rPr>
              <w:t>简单</w:t>
            </w:r>
            <w:r>
              <w:rPr>
                <w:rFonts w:hint="eastAsia" w:ascii="宋体" w:hAnsi="宋体" w:eastAsia="宋体" w:cs="宋体"/>
                <w:color w:val="auto"/>
                <w:szCs w:val="24"/>
                <w:highlight w:val="none"/>
                <w:lang w:bidi="zh-CN"/>
              </w:rPr>
              <w:t>研究</w:t>
            </w:r>
            <w:r>
              <w:rPr>
                <w:rFonts w:hint="eastAsia" w:ascii="宋体" w:hAnsi="宋体" w:eastAsia="宋体" w:cs="宋体"/>
                <w:color w:val="auto"/>
                <w:szCs w:val="24"/>
                <w:highlight w:val="none"/>
                <w:lang w:eastAsia="zh-CN" w:bidi="zh-CN"/>
              </w:rPr>
              <w:t>、</w:t>
            </w:r>
            <w:r>
              <w:rPr>
                <w:rFonts w:hint="eastAsia" w:ascii="宋体" w:hAnsi="宋体" w:eastAsia="宋体" w:cs="宋体"/>
                <w:color w:val="auto"/>
                <w:szCs w:val="24"/>
                <w:highlight w:val="none"/>
                <w:lang w:bidi="zh-CN"/>
              </w:rPr>
              <w:t>工作部署</w:t>
            </w:r>
            <w:r>
              <w:rPr>
                <w:rFonts w:hint="eastAsia" w:ascii="宋体" w:hAnsi="宋体" w:eastAsia="宋体" w:cs="宋体"/>
                <w:color w:val="auto"/>
                <w:szCs w:val="24"/>
                <w:highlight w:val="none"/>
                <w:lang w:eastAsia="zh-CN" w:bidi="zh-CN"/>
              </w:rPr>
              <w:t>、</w:t>
            </w:r>
            <w:r>
              <w:rPr>
                <w:rFonts w:hint="eastAsia" w:ascii="宋体" w:hAnsi="宋体" w:eastAsia="宋体" w:cs="宋体"/>
                <w:color w:val="auto"/>
                <w:szCs w:val="24"/>
                <w:highlight w:val="none"/>
                <w:lang w:bidi="zh-CN"/>
              </w:rPr>
              <w:t>可操作性</w:t>
            </w:r>
            <w:r>
              <w:rPr>
                <w:rFonts w:hint="eastAsia" w:ascii="宋体" w:hAnsi="宋体" w:eastAsia="宋体" w:cs="宋体"/>
                <w:color w:val="auto"/>
                <w:szCs w:val="24"/>
                <w:highlight w:val="none"/>
                <w:lang w:eastAsia="zh-CN" w:bidi="zh-CN"/>
              </w:rPr>
              <w:t>一般、</w:t>
            </w:r>
            <w:r>
              <w:rPr>
                <w:rFonts w:hint="eastAsia" w:ascii="宋体" w:hAnsi="宋体" w:eastAsia="宋体" w:cs="宋体"/>
                <w:color w:val="auto"/>
                <w:szCs w:val="24"/>
                <w:highlight w:val="none"/>
                <w:lang w:bidi="zh-CN"/>
              </w:rPr>
              <w:t>工作周期安排不合理；</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B6FBA55">
            <w:pPr>
              <w:pStyle w:val="20"/>
              <w:widowControl/>
              <w:numPr>
                <w:ilvl w:val="255"/>
                <w:numId w:val="0"/>
              </w:numPr>
              <w:rPr>
                <w:rFonts w:hint="eastAsia" w:ascii="宋体" w:hAnsi="宋体" w:eastAsia="宋体" w:cs="宋体"/>
                <w:color w:val="auto"/>
                <w:szCs w:val="24"/>
                <w:highlight w:val="none"/>
                <w:lang w:bidi="zh-CN"/>
              </w:rPr>
            </w:pPr>
            <w:r>
              <w:rPr>
                <w:rFonts w:hint="eastAsia" w:ascii="宋体" w:hAnsi="宋体" w:eastAsia="宋体" w:cs="宋体"/>
                <w:color w:val="auto"/>
                <w:szCs w:val="24"/>
                <w:highlight w:val="none"/>
                <w:lang w:bidi="zh-CN"/>
              </w:rPr>
              <w:t>二档（</w:t>
            </w:r>
            <w:r>
              <w:rPr>
                <w:rFonts w:hint="eastAsia" w:ascii="宋体" w:hAnsi="宋体" w:eastAsia="宋体" w:cs="宋体"/>
                <w:color w:val="auto"/>
                <w:szCs w:val="24"/>
                <w:highlight w:val="none"/>
                <w:lang w:val="en-US" w:eastAsia="zh-CN" w:bidi="zh-CN"/>
              </w:rPr>
              <w:t>11-20</w:t>
            </w:r>
            <w:r>
              <w:rPr>
                <w:rFonts w:hint="eastAsia" w:ascii="宋体" w:hAnsi="宋体" w:eastAsia="宋体" w:cs="宋体"/>
                <w:color w:val="auto"/>
                <w:szCs w:val="24"/>
                <w:highlight w:val="none"/>
                <w:lang w:bidi="zh-CN"/>
              </w:rPr>
              <w:t>分）：对本项目背景理解一般，工作思路、方法、工作大纲基本可行，</w:t>
            </w:r>
            <w:r>
              <w:rPr>
                <w:rFonts w:hint="eastAsia" w:ascii="宋体" w:hAnsi="宋体" w:eastAsia="宋体" w:cs="宋体"/>
                <w:color w:val="auto"/>
                <w:szCs w:val="24"/>
                <w:highlight w:val="none"/>
                <w:lang w:eastAsia="zh-CN" w:bidi="zh-CN"/>
              </w:rPr>
              <w:t>对</w:t>
            </w:r>
            <w:r>
              <w:rPr>
                <w:rFonts w:hint="eastAsia" w:ascii="宋体" w:hAnsi="宋体" w:eastAsia="宋体" w:cs="宋体"/>
                <w:color w:val="auto"/>
                <w:szCs w:val="24"/>
                <w:highlight w:val="none"/>
                <w:lang w:bidi="zh-CN"/>
              </w:rPr>
              <w:t>收集</w:t>
            </w:r>
            <w:r>
              <w:rPr>
                <w:rFonts w:hint="eastAsia" w:ascii="宋体" w:hAnsi="宋体" w:eastAsia="宋体" w:cs="宋体"/>
                <w:color w:val="auto"/>
                <w:szCs w:val="24"/>
                <w:highlight w:val="none"/>
                <w:lang w:eastAsia="zh-CN" w:bidi="zh-CN"/>
              </w:rPr>
              <w:t>的</w:t>
            </w:r>
            <w:r>
              <w:rPr>
                <w:rFonts w:hint="eastAsia" w:ascii="宋体" w:hAnsi="宋体" w:eastAsia="宋体" w:cs="宋体"/>
                <w:color w:val="auto"/>
                <w:szCs w:val="24"/>
                <w:highlight w:val="none"/>
                <w:lang w:bidi="zh-CN"/>
              </w:rPr>
              <w:t>资料的基础进行</w:t>
            </w:r>
            <w:r>
              <w:rPr>
                <w:rFonts w:hint="eastAsia" w:ascii="宋体" w:hAnsi="宋体" w:eastAsia="宋体" w:cs="宋体"/>
                <w:color w:val="auto"/>
                <w:szCs w:val="24"/>
                <w:highlight w:val="none"/>
                <w:lang w:eastAsia="zh-CN" w:bidi="zh-CN"/>
              </w:rPr>
              <w:t>简约综合</w:t>
            </w:r>
            <w:r>
              <w:rPr>
                <w:rFonts w:hint="eastAsia" w:ascii="宋体" w:hAnsi="宋体" w:eastAsia="宋体" w:cs="宋体"/>
                <w:color w:val="auto"/>
                <w:szCs w:val="24"/>
                <w:highlight w:val="none"/>
                <w:lang w:bidi="zh-CN"/>
              </w:rPr>
              <w:t>研究</w:t>
            </w:r>
            <w:r>
              <w:rPr>
                <w:rFonts w:hint="eastAsia" w:ascii="宋体" w:hAnsi="宋体" w:eastAsia="宋体" w:cs="宋体"/>
                <w:color w:val="auto"/>
                <w:szCs w:val="24"/>
                <w:highlight w:val="none"/>
                <w:lang w:eastAsia="zh-CN" w:bidi="zh-CN"/>
              </w:rPr>
              <w:t>、</w:t>
            </w:r>
            <w:r>
              <w:rPr>
                <w:rFonts w:hint="eastAsia" w:ascii="宋体" w:hAnsi="宋体" w:eastAsia="宋体" w:cs="宋体"/>
                <w:color w:val="auto"/>
                <w:szCs w:val="24"/>
                <w:highlight w:val="none"/>
                <w:lang w:bidi="zh-CN"/>
              </w:rPr>
              <w:t>工作部署</w:t>
            </w:r>
            <w:r>
              <w:rPr>
                <w:rFonts w:hint="eastAsia" w:ascii="宋体" w:hAnsi="宋体" w:eastAsia="宋体" w:cs="宋体"/>
                <w:color w:val="auto"/>
                <w:szCs w:val="24"/>
                <w:highlight w:val="none"/>
                <w:lang w:eastAsia="zh-CN" w:bidi="zh-CN"/>
              </w:rPr>
              <w:t>、</w:t>
            </w:r>
            <w:r>
              <w:rPr>
                <w:rFonts w:hint="eastAsia" w:ascii="宋体" w:hAnsi="宋体" w:eastAsia="宋体" w:cs="宋体"/>
                <w:color w:val="auto"/>
                <w:szCs w:val="24"/>
                <w:highlight w:val="none"/>
                <w:lang w:bidi="zh-CN"/>
              </w:rPr>
              <w:t>操作</w:t>
            </w:r>
            <w:r>
              <w:rPr>
                <w:rFonts w:hint="eastAsia" w:ascii="宋体" w:hAnsi="宋体" w:eastAsia="宋体" w:cs="宋体"/>
                <w:color w:val="auto"/>
                <w:szCs w:val="24"/>
                <w:highlight w:val="none"/>
                <w:lang w:eastAsia="zh-CN" w:bidi="zh-CN"/>
              </w:rPr>
              <w:t>可行，</w:t>
            </w:r>
            <w:r>
              <w:rPr>
                <w:rFonts w:hint="eastAsia" w:ascii="宋体" w:hAnsi="宋体" w:eastAsia="宋体" w:cs="宋体"/>
                <w:color w:val="auto"/>
                <w:szCs w:val="24"/>
                <w:highlight w:val="none"/>
                <w:lang w:bidi="zh-CN"/>
              </w:rPr>
              <w:t>工作周期安排基本满足项目要求；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6D56C68">
            <w:pPr>
              <w:pStyle w:val="20"/>
              <w:widowControl/>
              <w:numPr>
                <w:ilvl w:val="255"/>
                <w:numId w:val="0"/>
              </w:numPr>
              <w:rPr>
                <w:rFonts w:hint="eastAsia" w:ascii="宋体" w:hAnsi="宋体" w:eastAsia="宋体" w:cs="宋体"/>
                <w:color w:val="auto"/>
                <w:szCs w:val="24"/>
                <w:highlight w:val="none"/>
                <w:lang w:eastAsia="zh-CN" w:bidi="zh-CN"/>
              </w:rPr>
            </w:pPr>
            <w:r>
              <w:rPr>
                <w:rFonts w:hint="eastAsia" w:ascii="宋体" w:hAnsi="宋体" w:eastAsia="宋体" w:cs="宋体"/>
                <w:color w:val="auto"/>
                <w:szCs w:val="24"/>
                <w:highlight w:val="none"/>
                <w:lang w:bidi="zh-CN"/>
              </w:rPr>
              <w:t>三档（</w:t>
            </w:r>
            <w:r>
              <w:rPr>
                <w:rFonts w:hint="eastAsia" w:ascii="宋体" w:hAnsi="宋体" w:eastAsia="宋体" w:cs="宋体"/>
                <w:color w:val="auto"/>
                <w:szCs w:val="24"/>
                <w:highlight w:val="none"/>
                <w:lang w:val="en-US" w:eastAsia="zh-CN" w:bidi="zh-CN"/>
              </w:rPr>
              <w:t>21-30</w:t>
            </w:r>
            <w:r>
              <w:rPr>
                <w:rFonts w:hint="eastAsia" w:ascii="宋体" w:hAnsi="宋体" w:eastAsia="宋体" w:cs="宋体"/>
                <w:color w:val="auto"/>
                <w:szCs w:val="24"/>
                <w:highlight w:val="none"/>
                <w:lang w:bidi="zh-CN"/>
              </w:rPr>
              <w:t>分）：对本项目背景理解深入，工作思路、方法、工作大纲详细符合实际，</w:t>
            </w:r>
            <w:r>
              <w:rPr>
                <w:rFonts w:hint="eastAsia" w:ascii="宋体" w:hAnsi="宋体" w:eastAsia="宋体" w:cs="宋体"/>
                <w:color w:val="auto"/>
                <w:szCs w:val="24"/>
                <w:highlight w:val="none"/>
                <w:lang w:eastAsia="zh-CN" w:bidi="zh-CN"/>
              </w:rPr>
              <w:t>对</w:t>
            </w:r>
            <w:r>
              <w:rPr>
                <w:rFonts w:hint="eastAsia" w:ascii="宋体" w:hAnsi="宋体" w:eastAsia="宋体" w:cs="宋体"/>
                <w:color w:val="auto"/>
                <w:szCs w:val="24"/>
                <w:highlight w:val="none"/>
                <w:lang w:bidi="zh-CN"/>
              </w:rPr>
              <w:t>收集</w:t>
            </w:r>
            <w:r>
              <w:rPr>
                <w:rFonts w:hint="eastAsia" w:ascii="宋体" w:hAnsi="宋体" w:eastAsia="宋体" w:cs="宋体"/>
                <w:color w:val="auto"/>
                <w:szCs w:val="24"/>
                <w:highlight w:val="none"/>
                <w:lang w:eastAsia="zh-CN" w:bidi="zh-CN"/>
              </w:rPr>
              <w:t>的</w:t>
            </w:r>
            <w:r>
              <w:rPr>
                <w:rFonts w:hint="eastAsia" w:ascii="宋体" w:hAnsi="宋体" w:eastAsia="宋体" w:cs="宋体"/>
                <w:color w:val="auto"/>
                <w:szCs w:val="24"/>
                <w:highlight w:val="none"/>
                <w:lang w:bidi="zh-CN"/>
              </w:rPr>
              <w:t>资料的基础进行</w:t>
            </w:r>
            <w:r>
              <w:rPr>
                <w:rFonts w:hint="eastAsia" w:ascii="宋体" w:hAnsi="宋体" w:eastAsia="宋体" w:cs="宋体"/>
                <w:color w:val="auto"/>
                <w:szCs w:val="24"/>
                <w:highlight w:val="none"/>
                <w:lang w:eastAsia="zh-CN" w:bidi="zh-CN"/>
              </w:rPr>
              <w:t>深入</w:t>
            </w:r>
            <w:r>
              <w:rPr>
                <w:rFonts w:hint="eastAsia" w:ascii="宋体" w:hAnsi="宋体" w:eastAsia="宋体" w:cs="宋体"/>
                <w:color w:val="auto"/>
                <w:szCs w:val="24"/>
                <w:highlight w:val="none"/>
                <w:lang w:bidi="zh-CN"/>
              </w:rPr>
              <w:t>研究</w:t>
            </w:r>
            <w:r>
              <w:rPr>
                <w:rFonts w:hint="eastAsia" w:ascii="宋体" w:hAnsi="宋体" w:eastAsia="宋体" w:cs="宋体"/>
                <w:color w:val="auto"/>
                <w:szCs w:val="24"/>
                <w:highlight w:val="none"/>
                <w:lang w:eastAsia="zh-CN" w:bidi="zh-CN"/>
              </w:rPr>
              <w:t>、</w:t>
            </w:r>
            <w:r>
              <w:rPr>
                <w:rFonts w:hint="eastAsia" w:ascii="宋体" w:hAnsi="宋体" w:eastAsia="宋体" w:cs="宋体"/>
                <w:color w:val="auto"/>
                <w:szCs w:val="24"/>
                <w:highlight w:val="none"/>
                <w:lang w:bidi="zh-CN"/>
              </w:rPr>
              <w:t>工作周期安排紧凑合理、科学可行，合理化建议可操作性强</w:t>
            </w:r>
            <w:r>
              <w:rPr>
                <w:rFonts w:hint="eastAsia" w:ascii="宋体" w:hAnsi="宋体" w:eastAsia="宋体" w:cs="宋体"/>
                <w:color w:val="auto"/>
                <w:szCs w:val="24"/>
                <w:highlight w:val="none"/>
                <w:lang w:eastAsia="zh-CN" w:bidi="zh-CN"/>
              </w:rPr>
              <w:t>，</w:t>
            </w:r>
            <w:r>
              <w:rPr>
                <w:rFonts w:hint="eastAsia" w:ascii="宋体" w:hAnsi="宋体" w:eastAsia="宋体" w:cs="宋体"/>
                <w:color w:val="auto"/>
                <w:szCs w:val="24"/>
                <w:highlight w:val="none"/>
                <w:lang w:bidi="zh-CN"/>
              </w:rPr>
              <w:t>内容完整，重点突出。</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1495"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bidi="zh-CN"/>
              </w:rPr>
              <w:t>高级职称并且持有咨询工程师证书</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15</w:t>
            </w:r>
            <w:r>
              <w:rPr>
                <w:rFonts w:ascii="宋体" w:hAnsi="宋体" w:eastAsia="宋体" w:cs="宋体"/>
                <w:color w:val="auto"/>
                <w:kern w:val="2"/>
                <w:szCs w:val="24"/>
                <w:highlight w:val="none"/>
                <w:lang w:bidi="zh-CN"/>
              </w:rPr>
              <w:t>分。</w:t>
            </w:r>
          </w:p>
          <w:p w14:paraId="64EB9148">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工程相关专业</w:t>
            </w:r>
            <w:r>
              <w:rPr>
                <w:rFonts w:hint="eastAsia" w:ascii="宋体" w:hAnsi="宋体" w:eastAsia="宋体" w:cs="宋体"/>
                <w:color w:val="auto"/>
                <w:szCs w:val="24"/>
                <w:highlight w:val="none"/>
                <w:lang w:bidi="zh-CN"/>
              </w:rPr>
              <w:t>高级职称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hint="eastAsia" w:ascii="宋体" w:hAnsi="宋体" w:eastAsia="宋体" w:cs="宋体"/>
                <w:color w:val="auto"/>
                <w:kern w:val="2"/>
                <w:szCs w:val="24"/>
                <w:highlight w:val="none"/>
                <w:lang w:val="en-US" w:bidi="zh-CN"/>
              </w:rPr>
              <w:t>10</w:t>
            </w:r>
            <w:r>
              <w:rPr>
                <w:rFonts w:ascii="宋体" w:hAnsi="宋体" w:eastAsia="宋体" w:cs="宋体"/>
                <w:color w:val="auto"/>
                <w:kern w:val="2"/>
                <w:szCs w:val="24"/>
                <w:highlight w:val="none"/>
                <w:lang w:bidi="zh-CN"/>
              </w:rPr>
              <w:t>分。具备</w:t>
            </w:r>
            <w:r>
              <w:rPr>
                <w:rFonts w:hint="eastAsia" w:ascii="宋体" w:hAnsi="宋体" w:eastAsia="宋体" w:cs="宋体"/>
                <w:color w:val="auto"/>
                <w:kern w:val="2"/>
                <w:szCs w:val="24"/>
                <w:highlight w:val="none"/>
                <w:lang w:bidi="zh-CN"/>
              </w:rPr>
              <w:t>工程相关专业</w:t>
            </w:r>
            <w:r>
              <w:rPr>
                <w:rFonts w:hint="eastAsia" w:ascii="宋体" w:hAnsi="宋体" w:eastAsia="宋体" w:cs="宋体"/>
                <w:color w:val="auto"/>
                <w:szCs w:val="24"/>
                <w:highlight w:val="none"/>
                <w:lang w:bidi="zh-CN"/>
              </w:rPr>
              <w:t>中级职称</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2</w:t>
            </w:r>
            <w:r>
              <w:rPr>
                <w:rFonts w:hint="eastAsia" w:ascii="宋体" w:hAnsi="宋体" w:eastAsia="宋体" w:cs="宋体"/>
                <w:color w:val="auto"/>
                <w:kern w:val="2"/>
                <w:szCs w:val="24"/>
                <w:highlight w:val="none"/>
                <w:lang w:bidi="zh-CN"/>
              </w:rPr>
              <w:t>分，满分</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bidi="zh-CN"/>
              </w:rPr>
              <w:t>每个人员只计分一次。</w:t>
            </w:r>
          </w:p>
          <w:p w14:paraId="50805E90">
            <w:pPr>
              <w:pStyle w:val="20"/>
              <w:widowControl/>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注：需提供项目负责人的身份证、注册证书或职称证书复印件以及服务商为其缴纳社保的证明（近半年连续3个月社保，如为退休人员无法提供社保证明，需提供身份证、退休相关证明文件及聘用合同，提交的注册执业证书中聘用单位名称必须与服务商单位名称一致），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682E59F7">
            <w:pPr>
              <w:pStyle w:val="20"/>
              <w:widowControl/>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类似项目业绩</w:t>
            </w:r>
          </w:p>
          <w:p w14:paraId="2B7AAC82">
            <w:pPr>
              <w:pStyle w:val="20"/>
              <w:widowControl/>
              <w:rPr>
                <w:rFonts w:hint="default"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eastAsia="zh-CN" w:bidi="zh-CN"/>
              </w:rPr>
              <w:t>满足资格审查后，增加</w:t>
            </w:r>
            <w:r>
              <w:rPr>
                <w:rFonts w:hint="default" w:ascii="宋体" w:hAnsi="宋体" w:eastAsia="宋体" w:cs="宋体"/>
                <w:color w:val="auto"/>
                <w:kern w:val="2"/>
                <w:szCs w:val="24"/>
                <w:highlight w:val="none"/>
                <w:lang w:val="en-US" w:eastAsia="zh-CN" w:bidi="zh-CN"/>
              </w:rPr>
              <w:t>2020</w:t>
            </w:r>
            <w:r>
              <w:rPr>
                <w:rFonts w:hint="default" w:ascii="宋体" w:hAnsi="宋体" w:eastAsia="宋体" w:cs="宋体"/>
                <w:color w:val="auto"/>
                <w:kern w:val="2"/>
                <w:szCs w:val="24"/>
                <w:highlight w:val="none"/>
                <w:lang w:bidi="zh-CN"/>
              </w:rPr>
              <w:t>年1月1日至投标截止时间至编制完成过</w:t>
            </w:r>
            <w:r>
              <w:rPr>
                <w:rFonts w:hint="eastAsia" w:ascii="宋体" w:hAnsi="宋体" w:eastAsia="宋体" w:cs="宋体"/>
                <w:color w:val="auto"/>
                <w:kern w:val="2"/>
                <w:szCs w:val="24"/>
                <w:highlight w:val="none"/>
                <w:lang w:bidi="zh-CN"/>
              </w:rPr>
              <w:t>旅游</w:t>
            </w:r>
            <w:r>
              <w:rPr>
                <w:rFonts w:hint="eastAsia" w:ascii="宋体" w:hAnsi="宋体" w:eastAsia="宋体" w:cs="宋体"/>
                <w:color w:val="auto"/>
                <w:kern w:val="2"/>
                <w:szCs w:val="24"/>
                <w:highlight w:val="none"/>
                <w:lang w:eastAsia="zh-CN" w:bidi="zh-CN"/>
              </w:rPr>
              <w:t>康养规划、咨询或乡村旅游、田园综合体、产业发展</w:t>
            </w:r>
            <w:r>
              <w:rPr>
                <w:rFonts w:hint="default" w:ascii="宋体" w:hAnsi="宋体" w:eastAsia="宋体" w:cs="宋体"/>
                <w:color w:val="auto"/>
                <w:kern w:val="2"/>
                <w:szCs w:val="24"/>
                <w:highlight w:val="none"/>
                <w:lang w:bidi="zh-CN"/>
              </w:rPr>
              <w:t>等</w:t>
            </w:r>
            <w:r>
              <w:rPr>
                <w:rFonts w:hint="eastAsia" w:ascii="宋体" w:hAnsi="宋体" w:eastAsia="宋体" w:cs="宋体"/>
                <w:color w:val="auto"/>
                <w:kern w:val="2"/>
                <w:szCs w:val="24"/>
                <w:highlight w:val="none"/>
                <w:lang w:bidi="zh-CN"/>
              </w:rPr>
              <w:t>类似</w:t>
            </w:r>
            <w:r>
              <w:rPr>
                <w:rFonts w:hint="eastAsia" w:ascii="宋体" w:hAnsi="宋体" w:eastAsia="宋体" w:cs="宋体"/>
                <w:color w:val="auto"/>
                <w:kern w:val="2"/>
                <w:szCs w:val="24"/>
                <w:highlight w:val="none"/>
                <w:lang w:eastAsia="zh-CN" w:bidi="zh-CN"/>
              </w:rPr>
              <w:t>咨询</w:t>
            </w:r>
            <w:r>
              <w:rPr>
                <w:rFonts w:hint="default" w:ascii="宋体" w:hAnsi="宋体" w:eastAsia="宋体" w:cs="宋体"/>
                <w:color w:val="auto"/>
                <w:kern w:val="2"/>
                <w:szCs w:val="24"/>
                <w:highlight w:val="none"/>
                <w:lang w:bidi="zh-CN"/>
              </w:rPr>
              <w:t>业绩的，每</w:t>
            </w:r>
            <w:r>
              <w:rPr>
                <w:rFonts w:hint="eastAsia" w:ascii="宋体" w:hAnsi="宋体" w:eastAsia="宋体" w:cs="宋体"/>
                <w:color w:val="auto"/>
                <w:kern w:val="2"/>
                <w:szCs w:val="24"/>
                <w:highlight w:val="none"/>
                <w:lang w:val="en-US" w:bidi="zh-CN"/>
              </w:rPr>
              <w:t>增加一</w:t>
            </w:r>
            <w:r>
              <w:rPr>
                <w:rFonts w:hint="default" w:ascii="宋体" w:hAnsi="宋体" w:eastAsia="宋体" w:cs="宋体"/>
                <w:color w:val="auto"/>
                <w:kern w:val="2"/>
                <w:szCs w:val="24"/>
                <w:highlight w:val="none"/>
                <w:lang w:bidi="zh-CN"/>
              </w:rPr>
              <w:t>项得</w:t>
            </w:r>
            <w:r>
              <w:rPr>
                <w:rFonts w:hint="eastAsia" w:ascii="宋体" w:hAnsi="宋体" w:eastAsia="宋体" w:cs="宋体"/>
                <w:color w:val="auto"/>
                <w:kern w:val="2"/>
                <w:szCs w:val="24"/>
                <w:highlight w:val="none"/>
                <w:lang w:val="en-US" w:bidi="zh-CN"/>
              </w:rPr>
              <w:t>3</w:t>
            </w:r>
            <w:r>
              <w:rPr>
                <w:rFonts w:hint="default" w:ascii="宋体" w:hAnsi="宋体" w:eastAsia="宋体" w:cs="宋体"/>
                <w:color w:val="auto"/>
                <w:kern w:val="2"/>
                <w:szCs w:val="24"/>
                <w:highlight w:val="none"/>
                <w:lang w:bidi="zh-CN"/>
              </w:rPr>
              <w:t>分，满分</w:t>
            </w:r>
            <w:r>
              <w:rPr>
                <w:rFonts w:hint="eastAsia" w:ascii="宋体" w:hAnsi="宋体" w:eastAsia="宋体" w:cs="宋体"/>
                <w:color w:val="auto"/>
                <w:kern w:val="2"/>
                <w:szCs w:val="24"/>
                <w:highlight w:val="none"/>
                <w:lang w:val="en-US" w:bidi="zh-CN"/>
              </w:rPr>
              <w:t>15</w:t>
            </w:r>
            <w:r>
              <w:rPr>
                <w:rFonts w:hint="default" w:ascii="宋体" w:hAnsi="宋体" w:eastAsia="宋体" w:cs="宋体"/>
                <w:color w:val="auto"/>
                <w:kern w:val="2"/>
                <w:szCs w:val="24"/>
                <w:highlight w:val="none"/>
                <w:lang w:bidi="zh-CN"/>
              </w:rPr>
              <w:t>分。（以提供有效的签约合同复印件或（中标）成交通知书为准，复印件必须加盖单位公章）。</w:t>
            </w:r>
          </w:p>
          <w:p w14:paraId="56C212C0">
            <w:pPr>
              <w:pStyle w:val="20"/>
              <w:widowControl/>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w:t>
            </w:r>
            <w:r>
              <w:rPr>
                <w:rFonts w:hint="eastAsia" w:ascii="宋体" w:hAnsi="宋体" w:eastAsia="宋体" w:cs="宋体"/>
                <w:color w:val="auto"/>
                <w:sz w:val="24"/>
                <w:szCs w:val="24"/>
                <w:highlight w:val="none"/>
                <w:lang w:val="en-US" w:bidi="zh-CN"/>
              </w:rPr>
              <w:t>经评审</w:t>
            </w:r>
            <w:r>
              <w:rPr>
                <w:rFonts w:hint="eastAsia" w:ascii="宋体" w:hAnsi="宋体" w:eastAsia="宋体" w:cs="宋体"/>
                <w:color w:val="auto"/>
                <w:sz w:val="24"/>
                <w:szCs w:val="24"/>
                <w:highlight w:val="none"/>
                <w:lang w:bidi="zh-CN"/>
              </w:rPr>
              <w:t>最低</w:t>
            </w:r>
            <w:r>
              <w:rPr>
                <w:rFonts w:hint="eastAsia" w:ascii="宋体" w:hAnsi="宋体" w:eastAsia="宋体" w:cs="宋体"/>
                <w:color w:val="auto"/>
                <w:sz w:val="24"/>
                <w:szCs w:val="24"/>
                <w:highlight w:val="none"/>
                <w:lang w:val="en-US" w:bidi="zh-CN"/>
              </w:rPr>
              <w:t>报价</w:t>
            </w:r>
            <w:r>
              <w:rPr>
                <w:rFonts w:hint="eastAsia" w:ascii="宋体" w:hAnsi="宋体" w:eastAsia="宋体" w:cs="宋体"/>
                <w:color w:val="auto"/>
                <w:sz w:val="24"/>
                <w:szCs w:val="24"/>
                <w:highlight w:val="none"/>
                <w:lang w:bidi="zh-CN"/>
              </w:rPr>
              <w:t>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1" w:name="_Toc31728084"/>
      <w:bookmarkStart w:id="2" w:name="_Toc31723070"/>
      <w:bookmarkStart w:id="3" w:name="_Toc35611438"/>
      <w:bookmarkStart w:id="4" w:name="_Toc30694"/>
      <w:bookmarkStart w:id="5" w:name="_Toc44229899"/>
      <w:bookmarkStart w:id="6" w:name="_Toc35611516"/>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1"/>
      <w:bookmarkEnd w:id="2"/>
      <w:bookmarkEnd w:id="3"/>
      <w:bookmarkEnd w:id="4"/>
      <w:bookmarkEnd w:id="5"/>
      <w:bookmarkEnd w:id="6"/>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1"/>
          <w:szCs w:val="21"/>
          <w:highlight w:val="none"/>
          <w:u w:val="single"/>
          <w:lang w:val="en-US" w:eastAsia="zh-CN"/>
        </w:rPr>
        <w:t>***************</w:t>
      </w:r>
    </w:p>
    <w:tbl>
      <w:tblPr>
        <w:tblStyle w:val="24"/>
        <w:tblW w:w="8974" w:type="dxa"/>
        <w:tblInd w:w="0" w:type="dxa"/>
        <w:tblLayout w:type="fixed"/>
        <w:tblCellMar>
          <w:top w:w="0" w:type="dxa"/>
          <w:left w:w="0" w:type="dxa"/>
          <w:bottom w:w="0" w:type="dxa"/>
          <w:right w:w="0" w:type="dxa"/>
        </w:tblCellMar>
      </w:tblPr>
      <w:tblGrid>
        <w:gridCol w:w="714"/>
        <w:gridCol w:w="1780"/>
        <w:gridCol w:w="802"/>
        <w:gridCol w:w="1628"/>
        <w:gridCol w:w="1563"/>
        <w:gridCol w:w="2487"/>
      </w:tblGrid>
      <w:tr w14:paraId="129B8525">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80C4">
            <w:pPr>
              <w:widowControl/>
              <w:jc w:val="center"/>
              <w:textAlignment w:val="center"/>
              <w:rPr>
                <w:rFonts w:hint="default"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u w:val="none"/>
                <w:lang w:val="en-US" w:eastAsia="zh-CN"/>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163362C9">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C701B">
            <w:pPr>
              <w:jc w:val="center"/>
              <w:rPr>
                <w:rFonts w:ascii="宋体" w:hAnsi="宋体" w:eastAsia="宋体" w:cs="宋体"/>
                <w:color w:val="auto"/>
                <w:szCs w:val="21"/>
                <w:highlight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F1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06D3">
            <w:pPr>
              <w:jc w:val="center"/>
              <w:rPr>
                <w:rFonts w:ascii="宋体" w:hAnsi="宋体" w:eastAsia="宋体" w:cs="宋体"/>
                <w:color w:val="auto"/>
                <w:kern w:val="2"/>
                <w:sz w:val="21"/>
                <w:szCs w:val="21"/>
                <w:highlight w:val="none"/>
                <w:lang w:val="en-US" w:eastAsia="zh-CN" w:bidi="ar-SA"/>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8BE0">
            <w:pPr>
              <w:widowControl/>
              <w:jc w:val="center"/>
              <w:textAlignment w:val="center"/>
              <w:rPr>
                <w:rFonts w:ascii="宋体" w:hAnsi="宋体" w:eastAsia="宋体" w:cs="宋体"/>
                <w:color w:val="auto"/>
                <w:kern w:val="2"/>
                <w:sz w:val="21"/>
                <w:szCs w:val="21"/>
                <w:highlight w:val="none"/>
                <w:lang w:val="en-US" w:eastAsia="zh-CN" w:bidi="ar-SA"/>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19CD1">
            <w:pPr>
              <w:widowControl/>
              <w:jc w:val="center"/>
              <w:textAlignment w:val="center"/>
              <w:rPr>
                <w:rFonts w:ascii="宋体" w:hAnsi="宋体" w:eastAsia="宋体" w:cs="宋体"/>
                <w:color w:val="auto"/>
                <w:kern w:val="2"/>
                <w:sz w:val="21"/>
                <w:szCs w:val="21"/>
                <w:highlight w:val="none"/>
                <w:lang w:val="en-US" w:eastAsia="zh-CN" w:bidi="ar-SA"/>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EF07">
            <w:pPr>
              <w:widowControl/>
              <w:jc w:val="center"/>
              <w:textAlignment w:val="center"/>
              <w:rPr>
                <w:rFonts w:hint="default" w:ascii="宋体" w:hAnsi="宋体" w:eastAsia="宋体" w:cs="宋体"/>
                <w:color w:val="auto"/>
                <w:kern w:val="2"/>
                <w:sz w:val="21"/>
                <w:szCs w:val="21"/>
                <w:highlight w:val="none"/>
                <w:lang w:val="en-US" w:eastAsia="zh-CN" w:bidi="ar-SA"/>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25B2F5D4">
      <w:pPr>
        <w:pStyle w:val="20"/>
        <w:widowControl/>
        <w:spacing w:beforeAutospacing="0" w:afterAutospacing="0"/>
        <w:rPr>
          <w:rFonts w:ascii="宋体" w:hAnsi="宋体" w:eastAsia="宋体" w:cs="宋体"/>
          <w:color w:val="auto"/>
          <w:sz w:val="28"/>
          <w:szCs w:val="28"/>
          <w:highlight w:val="none"/>
        </w:rPr>
      </w:pPr>
    </w:p>
    <w:p w14:paraId="4003F077">
      <w:pPr>
        <w:pStyle w:val="8"/>
        <w:rPr>
          <w:color w:val="auto"/>
          <w:highlight w:val="none"/>
        </w:rPr>
      </w:pPr>
    </w:p>
    <w:p w14:paraId="23B80594">
      <w:pPr>
        <w:rPr>
          <w:color w:val="auto"/>
          <w:highlight w:val="none"/>
        </w:rPr>
      </w:pPr>
    </w:p>
    <w:p w14:paraId="65B5A970">
      <w:pPr>
        <w:pStyle w:val="8"/>
        <w:rPr>
          <w:color w:val="auto"/>
          <w:highlight w:val="none"/>
        </w:rPr>
      </w:pPr>
    </w:p>
    <w:p w14:paraId="3377922A">
      <w:pPr>
        <w:rPr>
          <w:color w:val="auto"/>
          <w:highlight w:val="none"/>
        </w:rPr>
      </w:pPr>
    </w:p>
    <w:p w14:paraId="6BA4D3DB">
      <w:pPr>
        <w:pStyle w:val="8"/>
        <w:rPr>
          <w:color w:val="auto"/>
          <w:highlight w:val="none"/>
        </w:rPr>
      </w:pPr>
    </w:p>
    <w:p w14:paraId="66D12869">
      <w:pPr>
        <w:rPr>
          <w:color w:val="auto"/>
          <w:highlight w:val="none"/>
        </w:rPr>
      </w:pPr>
    </w:p>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5B8FF1C0">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427C91F8">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781804-1A89-46AC-8D37-745E8B4C81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CEBA5DD2-6653-4504-9CAC-E4E556B62F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9B1E99"/>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5EE6DE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2526C9"/>
    <w:rsid w:val="0B4F0EB0"/>
    <w:rsid w:val="0B5A6ECE"/>
    <w:rsid w:val="0B63734C"/>
    <w:rsid w:val="0BC243BC"/>
    <w:rsid w:val="0BF24799"/>
    <w:rsid w:val="0C2639B5"/>
    <w:rsid w:val="0C897DF8"/>
    <w:rsid w:val="0C94337F"/>
    <w:rsid w:val="0CA33AF7"/>
    <w:rsid w:val="0CAE5F50"/>
    <w:rsid w:val="0CB439C5"/>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B83C21"/>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4A4B8E"/>
    <w:rsid w:val="189C4D3A"/>
    <w:rsid w:val="18A81AF8"/>
    <w:rsid w:val="18B117B0"/>
    <w:rsid w:val="18DA1C61"/>
    <w:rsid w:val="18EF1C33"/>
    <w:rsid w:val="18F97167"/>
    <w:rsid w:val="1910640B"/>
    <w:rsid w:val="19150AB5"/>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07710"/>
    <w:rsid w:val="1EB44C9D"/>
    <w:rsid w:val="1EF652E1"/>
    <w:rsid w:val="1F2B0E21"/>
    <w:rsid w:val="1F49071C"/>
    <w:rsid w:val="1F793F7F"/>
    <w:rsid w:val="1F836367"/>
    <w:rsid w:val="1F861028"/>
    <w:rsid w:val="1F8F0CAF"/>
    <w:rsid w:val="1FA2571F"/>
    <w:rsid w:val="1FAA5CB8"/>
    <w:rsid w:val="20096994"/>
    <w:rsid w:val="200F54C2"/>
    <w:rsid w:val="2016033F"/>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22550C"/>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18250D"/>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955D60"/>
    <w:rsid w:val="2CC72354"/>
    <w:rsid w:val="2CE17AF6"/>
    <w:rsid w:val="2D0E3DF0"/>
    <w:rsid w:val="2D104000"/>
    <w:rsid w:val="2D2743AB"/>
    <w:rsid w:val="2D336BD6"/>
    <w:rsid w:val="2D562DA3"/>
    <w:rsid w:val="2D814792"/>
    <w:rsid w:val="2D881545"/>
    <w:rsid w:val="2DA61B83"/>
    <w:rsid w:val="2DB253D5"/>
    <w:rsid w:val="2DD16068"/>
    <w:rsid w:val="2DFD7E4B"/>
    <w:rsid w:val="2E275983"/>
    <w:rsid w:val="2E3D30D7"/>
    <w:rsid w:val="2E5C30C4"/>
    <w:rsid w:val="2E6E7857"/>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4E03EE7"/>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9719F6"/>
    <w:rsid w:val="37AF1DE5"/>
    <w:rsid w:val="37C761EF"/>
    <w:rsid w:val="37EA44E4"/>
    <w:rsid w:val="382376F9"/>
    <w:rsid w:val="382F1738"/>
    <w:rsid w:val="38504E49"/>
    <w:rsid w:val="38587290"/>
    <w:rsid w:val="388218CC"/>
    <w:rsid w:val="389D7EB4"/>
    <w:rsid w:val="38B5247B"/>
    <w:rsid w:val="38E23DE0"/>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8877A0"/>
    <w:rsid w:val="3BA9742E"/>
    <w:rsid w:val="3BB373DD"/>
    <w:rsid w:val="3BCD01DA"/>
    <w:rsid w:val="3BFE6763"/>
    <w:rsid w:val="3C14431E"/>
    <w:rsid w:val="3C3B7C3D"/>
    <w:rsid w:val="3C7F0083"/>
    <w:rsid w:val="3CDA47D1"/>
    <w:rsid w:val="3CDB1427"/>
    <w:rsid w:val="3D124BBA"/>
    <w:rsid w:val="3D8B30F4"/>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5793A"/>
    <w:rsid w:val="40E73CA3"/>
    <w:rsid w:val="40F74DC4"/>
    <w:rsid w:val="416D0A93"/>
    <w:rsid w:val="416F34E5"/>
    <w:rsid w:val="41A30B1C"/>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3B6D2F"/>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11118C"/>
    <w:rsid w:val="4E6C2DA7"/>
    <w:rsid w:val="4E816CDB"/>
    <w:rsid w:val="4EA34EA3"/>
    <w:rsid w:val="4EAC54CF"/>
    <w:rsid w:val="4EC1060E"/>
    <w:rsid w:val="4EC56875"/>
    <w:rsid w:val="4EFB456B"/>
    <w:rsid w:val="4F513D5F"/>
    <w:rsid w:val="4F58505D"/>
    <w:rsid w:val="4F7312EE"/>
    <w:rsid w:val="4F8F3473"/>
    <w:rsid w:val="4FB43CBE"/>
    <w:rsid w:val="4FC16BD7"/>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2FC5B1F"/>
    <w:rsid w:val="530A2FBB"/>
    <w:rsid w:val="531F27DA"/>
    <w:rsid w:val="53444042"/>
    <w:rsid w:val="5350511B"/>
    <w:rsid w:val="53601D0A"/>
    <w:rsid w:val="53853731"/>
    <w:rsid w:val="53A65241"/>
    <w:rsid w:val="53EC783E"/>
    <w:rsid w:val="53F73002"/>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211C12"/>
    <w:rsid w:val="567F61F6"/>
    <w:rsid w:val="568455BA"/>
    <w:rsid w:val="569461E3"/>
    <w:rsid w:val="569E4903"/>
    <w:rsid w:val="56BB18C3"/>
    <w:rsid w:val="56CE6835"/>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11D4D"/>
    <w:rsid w:val="5C324AB7"/>
    <w:rsid w:val="5C6137C8"/>
    <w:rsid w:val="5C725F5D"/>
    <w:rsid w:val="5C8C5A76"/>
    <w:rsid w:val="5CDF36D0"/>
    <w:rsid w:val="5CE255E1"/>
    <w:rsid w:val="5CEB086F"/>
    <w:rsid w:val="5D1A67DC"/>
    <w:rsid w:val="5D2907BD"/>
    <w:rsid w:val="5D5E786D"/>
    <w:rsid w:val="5D9D64F0"/>
    <w:rsid w:val="5DC4274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77236E"/>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133CC8"/>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766A14"/>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9E63A42"/>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227E2E"/>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972B5D"/>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7483</Words>
  <Characters>8025</Characters>
  <Lines>76</Lines>
  <Paragraphs>21</Paragraphs>
  <TotalTime>5</TotalTime>
  <ScaleCrop>false</ScaleCrop>
  <LinksUpToDate>false</LinksUpToDate>
  <CharactersWithSpaces>8152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2025-07-22T00:50:37Z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E7C1AD9E7E1B4963A7C11E637AA90199_13</vt:lpwstr>
  </property>
  <property fmtid="{D5CDD505-2E9C-101B-9397-08002B2CF9AE}" pid="4" name="KSOTemplateDocerSaveRecord">
    <vt:lpwstr>eyJoZGlkIjoiZTE5MDRkN2UyZWU2ZmU4NGE1YjI3ZDQ0MWRkNzEyYzkiLCJ1c2VySWQiOiI0MTg5MzY0NjEifQ==</vt:lpwstr>
  </property>
</Properties>
</file>