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22985">
      <w:pPr>
        <w:pStyle w:val="6"/>
        <w:jc w:val="both"/>
        <w:rPr>
          <w:rFonts w:hint="eastAsia" w:ascii="宋体" w:hAnsi="宋体" w:eastAsia="宋体" w:cs="宋体"/>
          <w:sz w:val="32"/>
          <w:szCs w:val="32"/>
          <w:lang w:val="en-US" w:eastAsia="zh-CN"/>
        </w:rPr>
      </w:pPr>
      <w:r>
        <w:rPr>
          <w:rFonts w:hint="eastAsia" w:ascii="宋体" w:hAnsi="宋体" w:eastAsia="宋体" w:cs="宋体"/>
          <w:sz w:val="24"/>
          <w:szCs w:val="24"/>
          <w:lang w:val="en-US" w:eastAsia="zh-CN"/>
        </w:rPr>
        <w:t xml:space="preserve"> </w:t>
      </w:r>
    </w:p>
    <w:p w14:paraId="67B67A46">
      <w:pPr>
        <w:snapToGrid w:val="0"/>
        <w:spacing w:before="120" w:beforeLines="50" w:line="360" w:lineRule="auto"/>
        <w:jc w:val="center"/>
        <w:rPr>
          <w:rFonts w:hint="eastAsia" w:ascii="宋体" w:hAnsi="宋体" w:eastAsia="宋体" w:cs="宋体"/>
          <w:sz w:val="32"/>
          <w:szCs w:val="32"/>
          <w:lang w:val="en-US" w:eastAsia="zh-CN"/>
        </w:rPr>
      </w:pPr>
      <w:r>
        <w:rPr>
          <w:rFonts w:hint="eastAsia" w:ascii="宋体" w:hAnsi="宋体" w:eastAsia="宋体" w:cs="宋体"/>
          <w:b/>
          <w:sz w:val="32"/>
          <w:szCs w:val="32"/>
          <w:lang w:val="en-US" w:eastAsia="zh-CN"/>
        </w:rPr>
        <w:t>询比采购文件</w:t>
      </w:r>
    </w:p>
    <w:p w14:paraId="45D489E4">
      <w:pPr>
        <w:rPr>
          <w:rFonts w:hint="eastAsia" w:ascii="宋体" w:hAnsi="宋体" w:eastAsia="宋体" w:cs="宋体"/>
          <w:b/>
          <w:bCs/>
          <w:sz w:val="32"/>
          <w:szCs w:val="32"/>
          <w:lang w:val="en-US" w:eastAsia="zh-CN"/>
        </w:rPr>
      </w:pPr>
    </w:p>
    <w:p w14:paraId="35D7E833">
      <w:pPr>
        <w:rPr>
          <w:rFonts w:hint="eastAsia" w:ascii="宋体" w:hAnsi="宋体" w:eastAsia="宋体" w:cs="宋体"/>
          <w:b/>
          <w:bCs/>
          <w:sz w:val="32"/>
          <w:szCs w:val="32"/>
          <w:lang w:val="en-US" w:eastAsia="zh-CN"/>
        </w:rPr>
      </w:pPr>
    </w:p>
    <w:p w14:paraId="523EB5B4">
      <w:pPr>
        <w:keepNext w:val="0"/>
        <w:keepLines w:val="0"/>
        <w:pageBreakBefore w:val="0"/>
        <w:widowControl w:val="0"/>
        <w:kinsoku/>
        <w:wordWrap/>
        <w:overflowPunct/>
        <w:topLinePunct w:val="0"/>
        <w:autoSpaceDE/>
        <w:autoSpaceDN/>
        <w:bidi w:val="0"/>
        <w:adjustRightInd/>
        <w:snapToGrid/>
        <w:ind w:left="3406" w:leftChars="857" w:hanging="1606" w:hangingChars="5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项目名称：综保区查验场指示牌制作采购项目</w:t>
      </w:r>
    </w:p>
    <w:p w14:paraId="66D33B78">
      <w:pPr>
        <w:ind w:firstLine="1928" w:firstLineChars="6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采 购 人：广西自贸区钦州港片区开发投资集团有限责任公司</w:t>
      </w:r>
    </w:p>
    <w:p w14:paraId="29B92308">
      <w:pPr>
        <w:rPr>
          <w:rFonts w:hint="eastAsia" w:ascii="宋体" w:hAnsi="宋体" w:eastAsia="宋体" w:cs="宋体"/>
          <w:b/>
          <w:bCs/>
          <w:sz w:val="32"/>
          <w:szCs w:val="32"/>
          <w:lang w:val="en-US" w:eastAsia="zh-CN"/>
        </w:rPr>
      </w:pPr>
    </w:p>
    <w:p w14:paraId="57E9B231">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2"/>
          <w:szCs w:val="32"/>
          <w:lang w:val="en-US" w:eastAsia="zh-CN"/>
        </w:rPr>
        <w:t>2025年9月</w:t>
      </w:r>
    </w:p>
    <w:p w14:paraId="453E41C5">
      <w:pPr>
        <w:rPr>
          <w:rFonts w:hint="eastAsia" w:ascii="宋体" w:hAnsi="宋体" w:eastAsia="宋体" w:cs="宋体"/>
          <w:b/>
          <w:bCs/>
          <w:i w:val="0"/>
          <w:iCs w:val="0"/>
          <w:caps w:val="0"/>
          <w:color w:val="333333"/>
          <w:spacing w:val="0"/>
          <w:sz w:val="32"/>
          <w:szCs w:val="32"/>
          <w:shd w:val="clear" w:fill="FFFFFF"/>
          <w:vertAlign w:val="baseline"/>
          <w:lang w:val="en-US" w:eastAsia="zh-CN"/>
        </w:rPr>
      </w:pPr>
    </w:p>
    <w:p w14:paraId="0D882C9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p>
    <w:p w14:paraId="6A499C1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p>
    <w:p w14:paraId="1B06156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p>
    <w:p w14:paraId="17848C9E">
      <w:pPr>
        <w:pStyle w:val="2"/>
        <w:rPr>
          <w:rFonts w:hint="eastAsia"/>
          <w:lang w:val="en-US" w:eastAsia="zh-CN"/>
        </w:rPr>
      </w:pPr>
    </w:p>
    <w:p w14:paraId="6FA2C6D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p>
    <w:p w14:paraId="7A2141D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34341CD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项目名称：综保区查验场指示牌制作采购项目</w:t>
      </w:r>
    </w:p>
    <w:p w14:paraId="0CEF8E1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采购方式：询比</w:t>
      </w:r>
    </w:p>
    <w:p w14:paraId="09FCB05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满足采购文件的实质要求，经评审</w:t>
      </w:r>
      <w:r>
        <w:rPr>
          <w:rFonts w:hint="eastAsia" w:ascii="宋体" w:hAnsi="宋体" w:eastAsia="宋体" w:cs="宋体"/>
          <w:bCs/>
          <w:sz w:val="24"/>
          <w:szCs w:val="24"/>
          <w:lang w:val="en-US" w:eastAsia="zh-CN"/>
        </w:rPr>
        <w:t>不含税</w:t>
      </w:r>
      <w:r>
        <w:rPr>
          <w:rFonts w:hint="eastAsia" w:ascii="宋体" w:hAnsi="宋体" w:eastAsia="宋体" w:cs="宋体"/>
          <w:bCs/>
          <w:sz w:val="24"/>
          <w:szCs w:val="24"/>
        </w:rPr>
        <w:t>报价最低的供应商为成交供应商</w:t>
      </w:r>
    </w:p>
    <w:p w14:paraId="4510C9C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10个工作日内需送达货物</w:t>
      </w:r>
      <w:r>
        <w:rPr>
          <w:rFonts w:hint="eastAsia" w:ascii="宋体" w:hAnsi="宋体" w:eastAsia="宋体" w:cs="宋体"/>
          <w:b w:val="0"/>
          <w:bCs/>
          <w:color w:val="auto"/>
          <w:sz w:val="24"/>
          <w:szCs w:val="24"/>
          <w:u w:val="none"/>
          <w:lang w:val="en-US" w:eastAsia="zh-CN"/>
        </w:rPr>
        <w:t>。</w:t>
      </w:r>
    </w:p>
    <w:p w14:paraId="0A1D39D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最高</w:t>
      </w:r>
      <w:r>
        <w:rPr>
          <w:rFonts w:hint="eastAsia" w:ascii="宋体" w:hAnsi="宋体" w:eastAsia="宋体" w:cs="宋体"/>
          <w:b w:val="0"/>
          <w:bCs/>
          <w:color w:val="auto"/>
          <w:sz w:val="24"/>
          <w:szCs w:val="24"/>
          <w:u w:val="none"/>
          <w:lang w:eastAsia="zh-CN"/>
        </w:rPr>
        <w:t>上限</w:t>
      </w:r>
      <w:r>
        <w:rPr>
          <w:rFonts w:hint="eastAsia" w:ascii="宋体" w:hAnsi="宋体" w:eastAsia="宋体" w:cs="宋体"/>
          <w:b w:val="0"/>
          <w:bCs/>
          <w:color w:val="auto"/>
          <w:sz w:val="24"/>
          <w:szCs w:val="24"/>
          <w:u w:val="none"/>
          <w:lang w:val="en-US" w:eastAsia="zh-CN"/>
        </w:rPr>
        <w:t>价（人民币）：27,330.60元</w:t>
      </w:r>
    </w:p>
    <w:p w14:paraId="3748AB9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zh-CN"/>
        </w:rPr>
      </w:pPr>
      <w:r>
        <w:rPr>
          <w:rFonts w:hint="eastAsia" w:ascii="宋体" w:hAnsi="宋体" w:eastAsia="宋体" w:cs="宋体"/>
          <w:b w:val="0"/>
          <w:bCs/>
          <w:color w:val="auto"/>
          <w:sz w:val="24"/>
          <w:szCs w:val="24"/>
          <w:u w:val="none"/>
          <w:lang w:val="en-US" w:eastAsia="zh-CN"/>
        </w:rPr>
        <w:t>本项目不接受联合体。</w:t>
      </w:r>
      <w:bookmarkStart w:id="0" w:name="_GoBack"/>
      <w:bookmarkEnd w:id="0"/>
    </w:p>
    <w:p w14:paraId="3552326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14:paraId="6613952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1.国内注册（指按国家有关规定要求注册），依法能提供本次采购货物的供应商；</w:t>
      </w:r>
    </w:p>
    <w:p w14:paraId="37157EF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14:paraId="1F03414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14:paraId="4BE9F96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4.单位负责人为同一人或者存在直接控股、管理关系的不同供应商，不得参加同一合同项下的采购活动。</w:t>
      </w:r>
    </w:p>
    <w:p w14:paraId="08D9C94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5.法律、行政法规规定的其他条件。</w:t>
      </w:r>
    </w:p>
    <w:p w14:paraId="781529D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6.本项目的特定资格要求：无</w:t>
      </w:r>
    </w:p>
    <w:p w14:paraId="5CA2BF2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2D5D565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2025年9月12日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2025年9月16日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2DFD18F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i w:val="0"/>
          <w:iCs w:val="0"/>
          <w:caps w:val="0"/>
          <w:color w:val="333333"/>
          <w:spacing w:val="0"/>
          <w:sz w:val="24"/>
          <w:szCs w:val="24"/>
          <w:u w:val="single"/>
          <w:shd w:val="clear" w:fill="FFFFFF"/>
        </w:rPr>
        <w:t>（http://www.qzmktjt.com）获取（下载）</w:t>
      </w:r>
      <w:r>
        <w:rPr>
          <w:rFonts w:hint="eastAsia" w:ascii="宋体" w:hAnsi="宋体" w:eastAsia="宋体" w:cs="宋体"/>
          <w:b w:val="0"/>
          <w:bCs/>
          <w:sz w:val="24"/>
          <w:szCs w:val="24"/>
          <w:u w:val="single"/>
          <w:lang w:val="en-US" w:eastAsia="zh-CN"/>
        </w:rPr>
        <w:t>。</w:t>
      </w:r>
    </w:p>
    <w:p w14:paraId="4D346D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2025年9月16日17时30分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49943B6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670E48B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4C27F0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2025年9月16日17时30分</w:t>
      </w:r>
      <w:r>
        <w:rPr>
          <w:rFonts w:hint="eastAsia" w:ascii="宋体" w:hAnsi="宋体" w:eastAsia="宋体" w:cs="宋体"/>
          <w:b w:val="0"/>
          <w:bCs/>
          <w:sz w:val="24"/>
          <w:szCs w:val="24"/>
          <w:lang w:val="en-US" w:eastAsia="zh-CN"/>
        </w:rPr>
        <w:t>（北京时间）</w:t>
      </w:r>
    </w:p>
    <w:p w14:paraId="3261B02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提交响应文件地点：广西钦州市钦州港友谊大道1号自贸中心23楼</w:t>
      </w:r>
      <w:r>
        <w:rPr>
          <w:rFonts w:hint="eastAsia" w:ascii="宋体" w:hAnsi="宋体" w:eastAsia="宋体" w:cs="宋体"/>
          <w:bCs/>
          <w:sz w:val="24"/>
          <w:szCs w:val="24"/>
          <w:lang w:val="en-US" w:eastAsia="zh-CN"/>
        </w:rPr>
        <w:t>广西自贸区钦州港片区开发投资集团有限责任公司经营管理部</w:t>
      </w:r>
      <w:r>
        <w:rPr>
          <w:rFonts w:hint="eastAsia" w:ascii="宋体" w:hAnsi="宋体" w:eastAsia="宋体" w:cs="宋体"/>
          <w:b w:val="0"/>
          <w:bCs/>
          <w:sz w:val="24"/>
          <w:szCs w:val="24"/>
          <w:lang w:val="en-US" w:eastAsia="zh-CN"/>
        </w:rPr>
        <w:t>，联系人及电话：</w:t>
      </w:r>
      <w:r>
        <w:rPr>
          <w:rFonts w:hint="eastAsia" w:ascii="宋体" w:hAnsi="宋体" w:eastAsia="宋体" w:cs="宋体"/>
          <w:bCs/>
          <w:sz w:val="24"/>
          <w:szCs w:val="24"/>
          <w:lang w:val="en-US" w:eastAsia="zh-CN"/>
        </w:rPr>
        <w:t>曾斌繁</w:t>
      </w:r>
      <w:r>
        <w:rPr>
          <w:rFonts w:hint="eastAsia" w:ascii="宋体" w:hAnsi="宋体" w:eastAsia="宋体" w:cs="宋体"/>
          <w:b w:val="0"/>
          <w:bCs/>
          <w:sz w:val="24"/>
          <w:szCs w:val="24"/>
          <w:lang w:val="en-US" w:eastAsia="zh-CN"/>
        </w:rPr>
        <w:t>0777-5881305。</w:t>
      </w:r>
    </w:p>
    <w:p w14:paraId="6133660C">
      <w:pPr>
        <w:keepNext w:val="0"/>
        <w:keepLines w:val="0"/>
        <w:numPr>
          <w:ins w:id="0" w:author="风控审计部 黄全炳" w:date="2023-05-04T10:01:00Z"/>
        </w:numPr>
        <w:spacing w:line="40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注：以邮寄方式（寄顺丰）提交的，应在截止时间前送达指定地点并经签收，不按规定密封、逾期送达的按无效竞标处理。</w:t>
      </w:r>
    </w:p>
    <w:p w14:paraId="5248961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51DB30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2025年9月16日17时30分</w:t>
      </w:r>
      <w:r>
        <w:rPr>
          <w:rFonts w:hint="eastAsia" w:ascii="宋体" w:hAnsi="宋体" w:eastAsia="宋体" w:cs="宋体"/>
          <w:b w:val="0"/>
          <w:bCs/>
          <w:sz w:val="24"/>
          <w:szCs w:val="24"/>
          <w:lang w:val="en-US" w:eastAsia="zh-CN"/>
        </w:rPr>
        <w:t>（北京时间）后；</w:t>
      </w:r>
    </w:p>
    <w:p w14:paraId="0495D86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14:paraId="035281E1">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right="0"/>
        <w:textAlignment w:val="baseline"/>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响应文件开启在响应文件递交截止时间后，具体开启时间由采购人确定，地点为广西钦州市钦南区保税港区友谊大道1号自贸大厦。</w:t>
      </w:r>
    </w:p>
    <w:p w14:paraId="17EDD57F">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5.1 供应商是否需要参加开启会议：不需要</w:t>
      </w:r>
    </w:p>
    <w:p w14:paraId="5DEB6B48">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firstLineChars="200"/>
        <w:textAlignment w:val="baseline"/>
        <w:rPr>
          <w:rFonts w:hint="eastAsia" w:ascii="宋体" w:hAnsi="宋体" w:eastAsia="宋体" w:cs="宋体"/>
          <w:b w:val="0"/>
          <w:bCs/>
          <w:color w:val="0000FF"/>
          <w:kern w:val="2"/>
          <w:sz w:val="24"/>
          <w:szCs w:val="24"/>
          <w:lang w:val="en-US" w:eastAsia="zh-CN" w:bidi="ar-SA"/>
        </w:rPr>
      </w:pPr>
      <w:r>
        <w:rPr>
          <w:rFonts w:hint="eastAsia" w:ascii="宋体" w:hAnsi="宋体" w:eastAsia="宋体" w:cs="宋体"/>
          <w:b w:val="0"/>
          <w:bCs/>
          <w:color w:val="0000FF"/>
          <w:kern w:val="2"/>
          <w:sz w:val="24"/>
          <w:szCs w:val="24"/>
          <w:lang w:val="en-US" w:eastAsia="zh-CN" w:bidi="ar-SA"/>
        </w:rPr>
        <w:t>供应商不需要参加开启会议。</w:t>
      </w:r>
    </w:p>
    <w:p w14:paraId="336A7AC7">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80" w:firstLineChars="200"/>
        <w:textAlignment w:val="baseline"/>
        <w:rPr>
          <w:rFonts w:hint="eastAsia" w:ascii="宋体" w:hAnsi="宋体" w:eastAsia="宋体" w:cs="宋体"/>
          <w:b w:val="0"/>
          <w:bCs/>
          <w:sz w:val="24"/>
          <w:szCs w:val="24"/>
          <w:lang w:val="en-US" w:eastAsia="zh-CN"/>
        </w:rPr>
      </w:pPr>
      <w:r>
        <w:rPr>
          <w:rFonts w:hint="eastAsia" w:ascii="宋体" w:hAnsi="宋体" w:eastAsia="宋体" w:cs="宋体"/>
          <w:b w:val="0"/>
          <w:bCs/>
          <w:color w:val="0000FF"/>
          <w:kern w:val="2"/>
          <w:sz w:val="24"/>
          <w:szCs w:val="24"/>
          <w:lang w:val="en-US" w:eastAsia="zh-CN" w:bidi="ar-SA"/>
        </w:rPr>
        <w:t>供应商的法定代表人或其授权的委托代理人应参加开启会议，供应商未派代表参加开启会议的，视为默认开启结果。</w:t>
      </w:r>
    </w:p>
    <w:p w14:paraId="3AED062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48209DD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14:paraId="4139D85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66876FF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1.响应文件应装在一个密封袋内，并进行密封，加盖密封章或单位公章。密封袋外应注明项目名称。</w:t>
      </w:r>
    </w:p>
    <w:p w14:paraId="207AA5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2.有关招标采购事务和本项目的补充公告，敬请关注本网站发布的信息。竞标人或潜在竞标人未及时关注相关信息的，所造成的一切后果由竞标人或潜在竞标人自行承担。</w:t>
      </w:r>
    </w:p>
    <w:p w14:paraId="7A102D4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14:paraId="07DB2FE7">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1.采购人信息</w:t>
      </w:r>
    </w:p>
    <w:p w14:paraId="43C445AA">
      <w:pPr>
        <w:rPr>
          <w:rFonts w:hint="eastAsia" w:ascii="宋体" w:hAnsi="宋体" w:eastAsia="宋体" w:cs="宋体"/>
          <w:b w:val="0"/>
          <w:bCs/>
          <w:kern w:val="0"/>
          <w:sz w:val="24"/>
          <w:szCs w:val="24"/>
          <w:u w:val="single"/>
          <w:lang w:val="en-US" w:eastAsia="zh-CN" w:bidi="ar"/>
        </w:rPr>
      </w:pPr>
      <w:r>
        <w:rPr>
          <w:rFonts w:hint="eastAsia" w:ascii="宋体" w:hAnsi="宋体" w:eastAsia="宋体" w:cs="宋体"/>
          <w:i w:val="0"/>
          <w:iCs w:val="0"/>
          <w:caps w:val="0"/>
          <w:color w:val="333333"/>
          <w:spacing w:val="0"/>
          <w:sz w:val="24"/>
          <w:szCs w:val="24"/>
          <w:shd w:val="clear" w:fill="FFFFFF"/>
          <w:vertAlign w:val="baseline"/>
        </w:rPr>
        <w:t>名称：</w:t>
      </w:r>
      <w:r>
        <w:rPr>
          <w:rFonts w:hint="eastAsia" w:ascii="宋体" w:hAnsi="宋体" w:eastAsia="宋体" w:cs="宋体"/>
          <w:bCs/>
          <w:sz w:val="24"/>
          <w:szCs w:val="24"/>
          <w:lang w:val="en-US" w:eastAsia="zh-CN"/>
        </w:rPr>
        <w:t>广西自贸区钦州港片区开发投资集团有限责任公司经营管理部</w:t>
      </w:r>
    </w:p>
    <w:p w14:paraId="6B5844A6">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宋体" w:hAnsi="宋体" w:eastAsia="宋体" w:cs="宋体"/>
          <w:b w:val="0"/>
          <w:bCs/>
          <w:sz w:val="24"/>
          <w:szCs w:val="24"/>
          <w:u w:val="single"/>
          <w:lang w:val="en-US" w:eastAsia="zh-CN"/>
        </w:rPr>
      </w:pPr>
      <w:r>
        <w:rPr>
          <w:rFonts w:hint="eastAsia" w:ascii="宋体" w:hAnsi="宋体" w:eastAsia="宋体" w:cs="宋体"/>
          <w:i w:val="0"/>
          <w:iCs w:val="0"/>
          <w:caps w:val="0"/>
          <w:color w:val="333333"/>
          <w:spacing w:val="0"/>
          <w:sz w:val="24"/>
          <w:szCs w:val="24"/>
          <w:shd w:val="clear" w:fill="FFFFFF"/>
          <w:vertAlign w:val="baseline"/>
        </w:rPr>
        <w:t>地址：</w:t>
      </w:r>
      <w:r>
        <w:rPr>
          <w:rFonts w:hint="eastAsia" w:ascii="宋体" w:hAnsi="宋体" w:eastAsia="宋体" w:cs="宋体"/>
          <w:b w:val="0"/>
          <w:bCs/>
          <w:sz w:val="24"/>
          <w:szCs w:val="24"/>
          <w:u w:val="single"/>
          <w:lang w:val="en-US" w:eastAsia="zh-CN"/>
        </w:rPr>
        <w:t>广西钦州市保税港区二号路自贸中心23楼</w:t>
      </w:r>
    </w:p>
    <w:p w14:paraId="36320EFE">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ascii="宋体" w:hAnsi="宋体" w:eastAsia="宋体" w:cs="宋体"/>
          <w:b w:val="0"/>
          <w:bCs/>
          <w:sz w:val="24"/>
          <w:szCs w:val="24"/>
          <w:lang w:val="en-US" w:eastAsia="zh-CN"/>
        </w:rPr>
        <w:t>0777-5881305</w:t>
      </w:r>
      <w:r>
        <w:rPr>
          <w:rFonts w:hint="eastAsia" w:ascii="宋体" w:hAnsi="宋体" w:eastAsia="宋体" w:cs="宋体"/>
          <w:b w:val="0"/>
          <w:bCs/>
          <w:sz w:val="24"/>
          <w:szCs w:val="24"/>
          <w:u w:val="single"/>
          <w:lang w:val="en-US" w:eastAsia="zh-CN"/>
        </w:rPr>
        <w:t>（曾斌繁）</w:t>
      </w:r>
    </w:p>
    <w:p w14:paraId="68DF4F1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14:paraId="0AEA49F8">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名称：广西自贸区钦州港片区开发投资集团有限责任公司风控审计部</w:t>
      </w:r>
    </w:p>
    <w:p w14:paraId="3C68B001">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地址：广西钦州市钦州港友谊大道1号自贸中心23楼</w:t>
      </w:r>
    </w:p>
    <w:p w14:paraId="6C1BA0B1">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联系方式：</w:t>
      </w:r>
      <w:r>
        <w:rPr>
          <w:rFonts w:hint="eastAsia" w:ascii="宋体" w:hAnsi="宋体" w:eastAsia="宋体" w:cs="宋体"/>
          <w:b w:val="0"/>
          <w:bCs/>
          <w:sz w:val="24"/>
          <w:szCs w:val="24"/>
          <w:lang w:val="en-US" w:eastAsia="zh-CN"/>
        </w:rPr>
        <w:t>0777-5881380</w:t>
      </w:r>
      <w:r>
        <w:rPr>
          <w:rFonts w:hint="eastAsia" w:ascii="宋体" w:hAnsi="宋体" w:eastAsia="宋体" w:cs="宋体"/>
          <w:bCs/>
          <w:sz w:val="24"/>
          <w:szCs w:val="24"/>
          <w:lang w:val="en-US" w:eastAsia="zh-CN"/>
        </w:rPr>
        <w:t>（陈哲）</w:t>
      </w:r>
    </w:p>
    <w:p w14:paraId="4F579A01">
      <w:pPr>
        <w:pStyle w:val="4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第二章  采购需求</w:t>
      </w:r>
    </w:p>
    <w:p w14:paraId="54F9CDFA">
      <w:pPr>
        <w:pStyle w:val="44"/>
        <w:ind w:firstLine="1687" w:firstLineChars="700"/>
        <w:rPr>
          <w:rFonts w:hint="eastAsia" w:ascii="宋体" w:hAnsi="宋体" w:eastAsia="宋体" w:cs="宋体"/>
          <w:b w:val="0"/>
          <w:bCs w:val="0"/>
          <w:color w:val="auto"/>
          <w:kern w:val="0"/>
          <w:sz w:val="24"/>
          <w:szCs w:val="24"/>
          <w:highlight w:val="none"/>
          <w:lang w:val="en-US" w:eastAsia="zh-CN" w:bidi="zh-CN"/>
        </w:rPr>
      </w:pPr>
      <w:r>
        <w:rPr>
          <w:rFonts w:hint="eastAsia" w:ascii="宋体" w:hAnsi="宋体" w:eastAsia="宋体" w:cs="宋体"/>
          <w:color w:val="auto"/>
          <w:sz w:val="24"/>
          <w:szCs w:val="24"/>
          <w:lang w:val="en-US" w:eastAsia="zh-CN"/>
        </w:rPr>
        <w:t>1.采购标的</w:t>
      </w:r>
      <w:r>
        <w:rPr>
          <w:rFonts w:hint="eastAsia" w:ascii="宋体" w:hAnsi="宋体" w:eastAsia="宋体" w:cs="宋体"/>
          <w:b w:val="0"/>
          <w:bCs w:val="0"/>
          <w:color w:val="auto"/>
          <w:kern w:val="0"/>
          <w:sz w:val="24"/>
          <w:szCs w:val="24"/>
          <w:highlight w:val="none"/>
          <w:lang w:val="en-US" w:eastAsia="zh-CN" w:bidi="zh-CN"/>
        </w:rPr>
        <w:t>：</w:t>
      </w:r>
      <w:r>
        <w:rPr>
          <w:rFonts w:hint="eastAsia" w:cs="宋体"/>
          <w:b w:val="0"/>
          <w:bCs w:val="0"/>
          <w:color w:val="auto"/>
          <w:kern w:val="0"/>
          <w:sz w:val="24"/>
          <w:szCs w:val="24"/>
          <w:highlight w:val="none"/>
          <w:lang w:val="en-US" w:eastAsia="zh-CN" w:bidi="zh-CN"/>
        </w:rPr>
        <w:t>见</w:t>
      </w:r>
      <w:r>
        <w:rPr>
          <w:rFonts w:hint="eastAsia" w:ascii="宋体" w:hAnsi="宋体" w:eastAsia="宋体" w:cs="宋体"/>
          <w:b w:val="0"/>
          <w:bCs w:val="0"/>
          <w:color w:val="auto"/>
          <w:kern w:val="0"/>
          <w:sz w:val="24"/>
          <w:szCs w:val="24"/>
          <w:highlight w:val="none"/>
          <w:lang w:val="en-US" w:eastAsia="zh-CN" w:bidi="zh-CN"/>
        </w:rPr>
        <w:t>附件</w:t>
      </w:r>
      <w:r>
        <w:rPr>
          <w:rFonts w:hint="eastAsia" w:cs="宋体"/>
          <w:b w:val="0"/>
          <w:bCs w:val="0"/>
          <w:color w:val="auto"/>
          <w:kern w:val="0"/>
          <w:sz w:val="24"/>
          <w:szCs w:val="24"/>
          <w:highlight w:val="none"/>
          <w:lang w:val="en-US" w:eastAsia="zh-CN" w:bidi="zh-CN"/>
        </w:rPr>
        <w:t>《综保区查验场指示牌制作采购项目</w:t>
      </w:r>
      <w:r>
        <w:rPr>
          <w:rFonts w:hint="eastAsia" w:ascii="宋体" w:hAnsi="宋体" w:eastAsia="宋体" w:cs="宋体"/>
          <w:b w:val="0"/>
          <w:bCs w:val="0"/>
          <w:color w:val="auto"/>
          <w:kern w:val="0"/>
          <w:sz w:val="24"/>
          <w:szCs w:val="24"/>
          <w:highlight w:val="none"/>
          <w:lang w:val="en-US" w:eastAsia="zh-CN" w:bidi="zh-CN"/>
        </w:rPr>
        <w:t>报价清单</w:t>
      </w:r>
      <w:r>
        <w:rPr>
          <w:rFonts w:hint="eastAsia" w:cs="宋体"/>
          <w:b w:val="0"/>
          <w:bCs w:val="0"/>
          <w:color w:val="auto"/>
          <w:kern w:val="0"/>
          <w:sz w:val="24"/>
          <w:szCs w:val="24"/>
          <w:highlight w:val="none"/>
          <w:lang w:val="en-US" w:eastAsia="zh-CN" w:bidi="zh-CN"/>
        </w:rPr>
        <w:t>》</w:t>
      </w:r>
    </w:p>
    <w:p w14:paraId="15607FD7">
      <w:pPr>
        <w:pStyle w:val="42"/>
        <w:ind w:firstLine="0" w:firstLineChars="0"/>
        <w:jc w:val="center"/>
        <w:rPr>
          <w:rFonts w:hint="eastAsia" w:ascii="宋体" w:hAnsi="宋体" w:eastAsia="宋体" w:cs="宋体"/>
          <w:sz w:val="24"/>
          <w:szCs w:val="24"/>
          <w:lang w:val="en-US" w:eastAsia="zh-CN"/>
        </w:rPr>
      </w:pPr>
    </w:p>
    <w:p w14:paraId="5AFA6C87">
      <w:pPr>
        <w:pStyle w:val="42"/>
        <w:ind w:firstLine="0" w:firstLineChars="0"/>
        <w:jc w:val="center"/>
        <w:rPr>
          <w:rFonts w:hint="eastAsia" w:ascii="宋体" w:hAnsi="宋体" w:eastAsia="宋体" w:cs="宋体"/>
          <w:sz w:val="24"/>
          <w:szCs w:val="24"/>
          <w:lang w:val="en-US" w:eastAsia="zh-CN"/>
        </w:rPr>
      </w:pPr>
    </w:p>
    <w:p w14:paraId="046110E8">
      <w:pPr>
        <w:pStyle w:val="42"/>
        <w:ind w:firstLine="0" w:firstLineChars="0"/>
        <w:jc w:val="both"/>
        <w:rPr>
          <w:rFonts w:hint="eastAsia" w:ascii="宋体" w:hAnsi="宋体" w:eastAsia="宋体" w:cs="宋体"/>
          <w:sz w:val="24"/>
          <w:szCs w:val="24"/>
          <w:lang w:val="en-US" w:eastAsia="zh-CN"/>
        </w:rPr>
      </w:pPr>
    </w:p>
    <w:p w14:paraId="0ECCA1E5">
      <w:pPr>
        <w:pStyle w:val="42"/>
        <w:ind w:firstLine="0" w:firstLineChars="0"/>
        <w:jc w:val="center"/>
        <w:rPr>
          <w:rFonts w:hint="eastAsia" w:ascii="宋体" w:hAnsi="宋体" w:eastAsia="宋体" w:cs="宋体"/>
          <w:b/>
          <w:bCs/>
          <w:sz w:val="24"/>
          <w:szCs w:val="24"/>
          <w:lang w:val="en-US" w:eastAsia="zh-CN" w:bidi="zh-CN"/>
        </w:rPr>
      </w:pPr>
      <w:r>
        <w:rPr>
          <w:rFonts w:hint="eastAsia" w:ascii="宋体" w:hAnsi="宋体" w:eastAsia="宋体" w:cs="宋体"/>
          <w:sz w:val="24"/>
          <w:szCs w:val="24"/>
          <w:lang w:val="en-US" w:eastAsia="zh-CN"/>
        </w:rPr>
        <w:t>第三章  供应商须知</w:t>
      </w:r>
      <w:r>
        <w:rPr>
          <w:rFonts w:hint="eastAsia" w:ascii="宋体" w:hAnsi="宋体" w:eastAsia="宋体" w:cs="宋体"/>
          <w:sz w:val="24"/>
          <w:szCs w:val="24"/>
          <w:lang w:val="en-US" w:eastAsia="zh-CN"/>
        </w:rPr>
        <w:br w:type="page"/>
      </w:r>
      <w:r>
        <w:rPr>
          <w:rFonts w:hint="eastAsia" w:ascii="宋体" w:hAnsi="宋体" w:eastAsia="宋体" w:cs="宋体"/>
          <w:sz w:val="24"/>
          <w:szCs w:val="24"/>
          <w:lang w:val="en-US" w:eastAsia="zh-CN"/>
        </w:rPr>
        <w:t>一、</w:t>
      </w:r>
      <w:r>
        <w:rPr>
          <w:rFonts w:hint="eastAsia" w:ascii="宋体" w:hAnsi="宋体" w:eastAsia="宋体" w:cs="宋体"/>
          <w:b/>
          <w:bCs/>
          <w:sz w:val="24"/>
          <w:szCs w:val="24"/>
          <w:lang w:val="en-US" w:eastAsia="zh-CN" w:bidi="zh-CN"/>
        </w:rPr>
        <w:t>总则</w:t>
      </w:r>
    </w:p>
    <w:p w14:paraId="1511B05E">
      <w:pPr>
        <w:pStyle w:val="44"/>
        <w:rPr>
          <w:rFonts w:hint="eastAsia" w:ascii="宋体" w:hAnsi="宋体" w:eastAsia="宋体" w:cs="宋体"/>
          <w:sz w:val="24"/>
          <w:szCs w:val="24"/>
        </w:rPr>
      </w:pPr>
      <w:r>
        <w:rPr>
          <w:rFonts w:hint="eastAsia" w:ascii="宋体" w:hAnsi="宋体" w:eastAsia="宋体" w:cs="宋体"/>
          <w:sz w:val="24"/>
          <w:szCs w:val="24"/>
        </w:rPr>
        <w:t>1.项目概况</w:t>
      </w:r>
    </w:p>
    <w:p w14:paraId="29F1ABC7">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1.1采购人：</w:t>
      </w:r>
      <w:r>
        <w:rPr>
          <w:rFonts w:ascii="helvetica" w:hAnsi="helvetica" w:eastAsia="helvetica" w:cs="helvetica"/>
          <w:i w:val="0"/>
          <w:iCs w:val="0"/>
          <w:caps w:val="0"/>
          <w:color w:val="000000"/>
          <w:spacing w:val="0"/>
          <w:sz w:val="21"/>
          <w:szCs w:val="21"/>
          <w:shd w:val="clear" w:fill="FFFFFF"/>
        </w:rPr>
        <w:t>广西自贸区钦州港片区开发投资集团有限责任公司</w:t>
      </w:r>
      <w:r>
        <w:rPr>
          <w:rFonts w:hint="eastAsia" w:ascii="宋体" w:hAnsi="宋体" w:eastAsia="宋体" w:cs="宋体"/>
          <w:sz w:val="24"/>
          <w:szCs w:val="24"/>
          <w:lang w:bidi="zh-CN"/>
        </w:rPr>
        <w:t>。</w:t>
      </w:r>
    </w:p>
    <w:p w14:paraId="0BD3308F">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2</w:t>
      </w:r>
      <w:r>
        <w:rPr>
          <w:rFonts w:hint="eastAsia" w:ascii="宋体" w:hAnsi="宋体" w:eastAsia="宋体" w:cs="宋体"/>
          <w:sz w:val="24"/>
          <w:szCs w:val="24"/>
          <w:lang w:bidi="zh-CN"/>
        </w:rPr>
        <w:t>项目名称：</w:t>
      </w:r>
      <w:r>
        <w:rPr>
          <w:rFonts w:hint="eastAsia" w:ascii="宋体" w:hAnsi="宋体" w:eastAsia="宋体" w:cs="宋体"/>
          <w:b w:val="0"/>
          <w:bCs/>
          <w:kern w:val="2"/>
          <w:sz w:val="24"/>
          <w:szCs w:val="24"/>
          <w:lang w:val="en-US" w:eastAsia="zh-CN" w:bidi="ar-SA"/>
        </w:rPr>
        <w:t>综保区查验场指示牌制作采购项目</w:t>
      </w:r>
      <w:r>
        <w:rPr>
          <w:rFonts w:hint="eastAsia" w:ascii="宋体" w:hAnsi="宋体" w:eastAsia="宋体" w:cs="宋体"/>
          <w:sz w:val="24"/>
          <w:szCs w:val="24"/>
          <w:lang w:bidi="zh-CN"/>
        </w:rPr>
        <w:t>。</w:t>
      </w:r>
    </w:p>
    <w:p w14:paraId="3762ACA5">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eastAsia" w:ascii="宋体" w:hAnsi="宋体" w:eastAsia="宋体" w:cs="宋体"/>
          <w:sz w:val="24"/>
          <w:szCs w:val="24"/>
          <w:lang w:bidi="zh-CN"/>
        </w:rPr>
        <w:t>资金来源：</w:t>
      </w:r>
      <w:r>
        <w:rPr>
          <w:rFonts w:hint="eastAsia" w:ascii="宋体" w:hAnsi="宋体" w:eastAsia="宋体" w:cs="宋体"/>
          <w:sz w:val="24"/>
          <w:szCs w:val="24"/>
          <w:lang w:val="en-US" w:bidi="zh-CN"/>
        </w:rPr>
        <w:t>企业自有资金</w:t>
      </w:r>
      <w:r>
        <w:rPr>
          <w:rFonts w:hint="eastAsia" w:ascii="宋体" w:hAnsi="宋体" w:eastAsia="宋体" w:cs="宋体"/>
          <w:sz w:val="24"/>
          <w:szCs w:val="24"/>
          <w:lang w:bidi="zh-CN"/>
        </w:rPr>
        <w:t>。</w:t>
      </w:r>
    </w:p>
    <w:p w14:paraId="65234FF1">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4</w:t>
      </w:r>
      <w:r>
        <w:rPr>
          <w:rFonts w:hint="eastAsia"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eastAsia" w:ascii="宋体" w:hAnsi="宋体" w:eastAsia="宋体" w:cs="宋体"/>
          <w:sz w:val="24"/>
          <w:szCs w:val="24"/>
          <w:lang w:bidi="zh-CN"/>
        </w:rPr>
        <w:t>文件的时间、地点、方式：</w:t>
      </w:r>
      <w:r>
        <w:rPr>
          <w:rFonts w:hint="eastAsia" w:ascii="宋体" w:hAnsi="宋体" w:eastAsia="宋体" w:cs="宋体"/>
          <w:sz w:val="24"/>
          <w:szCs w:val="24"/>
          <w:lang w:val="en-US" w:bidi="zh-CN"/>
        </w:rPr>
        <w:t>采购公告</w:t>
      </w:r>
      <w:r>
        <w:rPr>
          <w:rFonts w:hint="eastAsia" w:ascii="宋体" w:hAnsi="宋体" w:eastAsia="宋体" w:cs="宋体"/>
          <w:sz w:val="24"/>
          <w:szCs w:val="24"/>
          <w:lang w:bidi="zh-CN"/>
        </w:rPr>
        <w:t>。</w:t>
      </w:r>
    </w:p>
    <w:p w14:paraId="21516929">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14:paraId="08E1C663">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14:paraId="244B513C">
      <w:pPr>
        <w:pStyle w:val="44"/>
        <w:rPr>
          <w:rFonts w:hint="eastAsia" w:ascii="宋体" w:hAnsi="宋体" w:eastAsia="宋体" w:cs="宋体"/>
          <w:b/>
          <w:bCs/>
          <w:sz w:val="24"/>
          <w:szCs w:val="24"/>
          <w:lang w:bidi="zh-CN"/>
        </w:rPr>
      </w:pPr>
      <w:r>
        <w:rPr>
          <w:rFonts w:hint="eastAsia" w:ascii="宋体" w:hAnsi="宋体" w:eastAsia="宋体" w:cs="宋体"/>
          <w:b/>
          <w:bCs/>
          <w:sz w:val="24"/>
          <w:szCs w:val="24"/>
          <w:lang w:bidi="zh-CN"/>
        </w:rPr>
        <w:t>2.采购信息发布媒体：</w:t>
      </w:r>
    </w:p>
    <w:p w14:paraId="1B369318">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eastAsia" w:ascii="宋体" w:hAnsi="宋体" w:eastAsia="宋体" w:cs="宋体"/>
          <w:sz w:val="24"/>
          <w:szCs w:val="24"/>
          <w:lang w:bidi="zh-CN"/>
        </w:rPr>
        <w:fldChar w:fldCharType="begin"/>
      </w:r>
      <w:r>
        <w:rPr>
          <w:rFonts w:hint="eastAsia" w:ascii="宋体" w:hAnsi="宋体" w:eastAsia="宋体" w:cs="宋体"/>
          <w:sz w:val="24"/>
          <w:szCs w:val="24"/>
          <w:lang w:bidi="zh-CN"/>
        </w:rPr>
        <w:instrText xml:space="preserve"> HYPERLINK "http://www.qbtzjt.com" </w:instrText>
      </w:r>
      <w:r>
        <w:rPr>
          <w:rFonts w:hint="eastAsia" w:ascii="宋体" w:hAnsi="宋体" w:eastAsia="宋体" w:cs="宋体"/>
          <w:sz w:val="24"/>
          <w:szCs w:val="24"/>
          <w:lang w:bidi="zh-CN"/>
        </w:rPr>
        <w:fldChar w:fldCharType="separate"/>
      </w:r>
      <w:r>
        <w:rPr>
          <w:rStyle w:val="27"/>
          <w:rFonts w:hint="eastAsia" w:ascii="宋体" w:hAnsi="宋体" w:eastAsia="宋体" w:cs="宋体"/>
          <w:sz w:val="24"/>
          <w:szCs w:val="24"/>
          <w:lang w:bidi="zh-CN"/>
        </w:rPr>
        <w:t>http://www.qbtzjt.com</w:t>
      </w:r>
      <w:r>
        <w:rPr>
          <w:rFonts w:hint="eastAsia" w:ascii="宋体" w:hAnsi="宋体" w:eastAsia="宋体" w:cs="宋体"/>
          <w:sz w:val="24"/>
          <w:szCs w:val="24"/>
          <w:lang w:bidi="zh-CN"/>
        </w:rPr>
        <w:fldChar w:fldCharType="end"/>
      </w:r>
      <w:r>
        <w:rPr>
          <w:rFonts w:hint="eastAsia" w:ascii="宋体" w:hAnsi="宋体" w:eastAsia="宋体" w:cs="宋体"/>
          <w:sz w:val="24"/>
          <w:szCs w:val="24"/>
          <w:lang w:bidi="zh-CN"/>
        </w:rPr>
        <w:t>获取（下载）。</w:t>
      </w:r>
    </w:p>
    <w:p w14:paraId="615A744E">
      <w:pPr>
        <w:pStyle w:val="44"/>
        <w:rPr>
          <w:rFonts w:hint="eastAsia" w:ascii="宋体" w:hAnsi="宋体" w:eastAsia="宋体" w:cs="宋体"/>
          <w:b/>
          <w:bCs/>
          <w:sz w:val="24"/>
          <w:szCs w:val="24"/>
          <w:lang w:bidi="zh-CN"/>
        </w:rPr>
      </w:pPr>
      <w:r>
        <w:rPr>
          <w:rFonts w:hint="eastAsia" w:ascii="宋体" w:hAnsi="宋体" w:eastAsia="宋体" w:cs="宋体"/>
          <w:b/>
          <w:bCs/>
          <w:sz w:val="24"/>
          <w:szCs w:val="24"/>
          <w:lang w:bidi="zh-CN"/>
        </w:rPr>
        <w:t>3.</w:t>
      </w:r>
      <w:r>
        <w:rPr>
          <w:rFonts w:hint="eastAsia" w:ascii="宋体" w:hAnsi="宋体" w:eastAsia="宋体" w:cs="宋体"/>
          <w:sz w:val="24"/>
          <w:szCs w:val="24"/>
          <w:lang w:bidi="zh-CN"/>
        </w:rPr>
        <w:t>供应商</w:t>
      </w:r>
      <w:r>
        <w:rPr>
          <w:rFonts w:hint="eastAsia" w:ascii="宋体" w:hAnsi="宋体" w:eastAsia="宋体" w:cs="宋体"/>
          <w:b/>
          <w:bCs/>
          <w:sz w:val="24"/>
          <w:szCs w:val="24"/>
          <w:lang w:bidi="zh-CN"/>
        </w:rPr>
        <w:t>资格要求：</w:t>
      </w:r>
    </w:p>
    <w:p w14:paraId="53EE7128">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eastAsia" w:ascii="宋体" w:hAnsi="宋体" w:eastAsia="宋体" w:cs="宋体"/>
          <w:sz w:val="24"/>
          <w:szCs w:val="24"/>
          <w:lang w:bidi="zh-CN"/>
        </w:rPr>
        <w:t>供应商的资格条件详见“</w:t>
      </w:r>
      <w:r>
        <w:rPr>
          <w:rFonts w:hint="eastAsia" w:ascii="宋体" w:hAnsi="宋体" w:eastAsia="宋体" w:cs="宋体"/>
          <w:sz w:val="24"/>
          <w:szCs w:val="24"/>
          <w:lang w:val="en-US" w:bidi="zh-CN"/>
        </w:rPr>
        <w:t>采购公告</w:t>
      </w:r>
      <w:r>
        <w:rPr>
          <w:rFonts w:hint="eastAsia" w:ascii="宋体" w:hAnsi="宋体" w:eastAsia="宋体" w:cs="宋体"/>
          <w:sz w:val="24"/>
          <w:szCs w:val="24"/>
          <w:lang w:bidi="zh-CN"/>
        </w:rPr>
        <w:t>”。</w:t>
      </w:r>
    </w:p>
    <w:p w14:paraId="4A80C0E3">
      <w:pPr>
        <w:pStyle w:val="44"/>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4.费用承担</w:t>
      </w:r>
    </w:p>
    <w:p w14:paraId="31B0C855">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eastAsia" w:ascii="宋体" w:hAnsi="宋体" w:eastAsia="宋体" w:cs="宋体"/>
          <w:sz w:val="24"/>
          <w:szCs w:val="24"/>
          <w:lang w:bidi="zh-CN"/>
        </w:rPr>
        <w:t>活动发生的费用自理。</w:t>
      </w:r>
    </w:p>
    <w:p w14:paraId="34DB4FD1">
      <w:pPr>
        <w:pStyle w:val="44"/>
        <w:rPr>
          <w:rFonts w:hint="eastAsia" w:ascii="宋体" w:hAnsi="宋体" w:eastAsia="宋体" w:cs="宋体"/>
          <w:sz w:val="24"/>
          <w:szCs w:val="24"/>
          <w:lang w:bidi="zh-CN"/>
        </w:rPr>
      </w:pPr>
      <w:r>
        <w:rPr>
          <w:rFonts w:hint="eastAsia" w:ascii="宋体" w:hAnsi="宋体" w:eastAsia="宋体" w:cs="宋体"/>
          <w:sz w:val="24"/>
          <w:szCs w:val="24"/>
          <w:lang w:bidi="zh-CN"/>
        </w:rPr>
        <w:t>5.联合体竞标</w:t>
      </w:r>
    </w:p>
    <w:p w14:paraId="05DD4304">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val="en-US" w:eastAsia="zh-CN" w:bidi="zh-CN"/>
        </w:rPr>
        <w:t>5.1</w:t>
      </w:r>
      <w:r>
        <w:rPr>
          <w:rFonts w:hint="eastAsia"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须知前附表规定不接受联合体竞标。</w:t>
      </w:r>
      <w:r>
        <w:rPr>
          <w:rFonts w:hint="eastAsia" w:ascii="宋体" w:hAnsi="宋体" w:eastAsia="宋体" w:cs="宋体"/>
          <w:sz w:val="24"/>
          <w:szCs w:val="24"/>
          <w:lang w:bidi="zh-CN"/>
        </w:rPr>
        <w:t>。</w:t>
      </w:r>
    </w:p>
    <w:p w14:paraId="66E79FD3">
      <w:pPr>
        <w:pStyle w:val="44"/>
        <w:rPr>
          <w:rFonts w:hint="eastAsia" w:ascii="宋体" w:hAnsi="宋体" w:eastAsia="宋体" w:cs="宋体"/>
          <w:sz w:val="24"/>
          <w:szCs w:val="24"/>
          <w:lang w:bidi="zh-CN"/>
        </w:rPr>
      </w:pPr>
      <w:r>
        <w:rPr>
          <w:rFonts w:hint="eastAsia" w:ascii="宋体" w:hAnsi="宋体" w:eastAsia="宋体" w:cs="宋体"/>
          <w:sz w:val="24"/>
          <w:szCs w:val="24"/>
          <w:lang w:bidi="zh-CN"/>
        </w:rPr>
        <w:t>6.转包与分包</w:t>
      </w:r>
    </w:p>
    <w:p w14:paraId="7E43136A">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6.1本项目不允许转包。</w:t>
      </w:r>
    </w:p>
    <w:p w14:paraId="200A488A">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6.2本项目不允许违法分包。</w:t>
      </w:r>
    </w:p>
    <w:p w14:paraId="3671D884">
      <w:pPr>
        <w:pStyle w:val="44"/>
        <w:rPr>
          <w:rFonts w:hint="eastAsia" w:ascii="宋体" w:hAnsi="宋体" w:eastAsia="宋体" w:cs="宋体"/>
          <w:sz w:val="24"/>
          <w:szCs w:val="24"/>
          <w:lang w:bidi="zh-CN"/>
        </w:rPr>
      </w:pPr>
      <w:r>
        <w:rPr>
          <w:rFonts w:hint="eastAsia" w:ascii="宋体" w:hAnsi="宋体" w:eastAsia="宋体" w:cs="宋体"/>
          <w:sz w:val="24"/>
          <w:szCs w:val="24"/>
          <w:lang w:val="en-US" w:bidi="zh-CN"/>
        </w:rPr>
        <w:t>7.</w:t>
      </w:r>
      <w:r>
        <w:rPr>
          <w:rFonts w:hint="eastAsia" w:ascii="宋体" w:hAnsi="宋体" w:eastAsia="宋体" w:cs="宋体"/>
          <w:sz w:val="24"/>
          <w:szCs w:val="24"/>
          <w:lang w:bidi="zh-CN"/>
        </w:rPr>
        <w:t>语言文字</w:t>
      </w:r>
    </w:p>
    <w:p w14:paraId="2423A06A">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除专用术语外，与</w:t>
      </w:r>
      <w:r>
        <w:rPr>
          <w:rFonts w:hint="eastAsia" w:ascii="宋体" w:hAnsi="宋体" w:eastAsia="宋体" w:cs="宋体"/>
          <w:sz w:val="24"/>
          <w:szCs w:val="24"/>
          <w:lang w:val="en-US" w:bidi="zh-CN"/>
        </w:rPr>
        <w:t>本次采购活动</w:t>
      </w:r>
      <w:r>
        <w:rPr>
          <w:rFonts w:hint="eastAsia" w:ascii="宋体" w:hAnsi="宋体" w:eastAsia="宋体" w:cs="宋体"/>
          <w:sz w:val="24"/>
          <w:szCs w:val="24"/>
          <w:lang w:bidi="zh-CN"/>
        </w:rPr>
        <w:t>有关的语言均使用中文。必要时专用术语应附有中文注释。</w:t>
      </w:r>
    </w:p>
    <w:p w14:paraId="2D68686A">
      <w:pPr>
        <w:pStyle w:val="44"/>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8.计量单位</w:t>
      </w:r>
    </w:p>
    <w:p w14:paraId="2C2C5788">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所有计量均采用中华人民共和国法定计量单位。</w:t>
      </w:r>
    </w:p>
    <w:p w14:paraId="49400C3B">
      <w:pPr>
        <w:pStyle w:val="44"/>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9.否决竞标条件</w:t>
      </w:r>
    </w:p>
    <w:p w14:paraId="1DC4049B">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9.1有下列情形之一的，属于相互串通竞标，响应文件将被视为无效：</w:t>
      </w:r>
    </w:p>
    <w:p w14:paraId="55A02B8F">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14:paraId="767FEB32">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14:paraId="47624877">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14:paraId="6B79A8D5">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14:paraId="643EAED2">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14:paraId="6D9F2140">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14:paraId="702FEEE4">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14:paraId="792567AD">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9.2有下列情形之一的，视为供应商相互串通竞标，响应文件将被视为无效：</w:t>
      </w:r>
    </w:p>
    <w:p w14:paraId="7EDCCB62">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9.2.1不同供应商的响应文件由同一单位或者个人编制；</w:t>
      </w:r>
    </w:p>
    <w:p w14:paraId="0E92A0BD">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9.2.2不同供应商委托同一单位或者个人办理竞标事宜；</w:t>
      </w:r>
    </w:p>
    <w:p w14:paraId="5EE0C472">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9.2.3不同供应商的响应文件载明的项目管理成员为同一人；</w:t>
      </w:r>
    </w:p>
    <w:p w14:paraId="3DAAB325">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9.2.4不同供应商的响应文件异常一致或者报价呈规律性差异；</w:t>
      </w:r>
    </w:p>
    <w:p w14:paraId="6A9468E2">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9.2.5不同供应商的响应文件相互混装；</w:t>
      </w:r>
    </w:p>
    <w:p w14:paraId="1DD67D17">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9.2.6不同供应商的竞标保证金从同一单位或者个人的账户转出。</w:t>
      </w:r>
    </w:p>
    <w:p w14:paraId="0E6C4B61">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9.3响应文件将被视为无效的其他情形：</w:t>
      </w:r>
    </w:p>
    <w:p w14:paraId="6045D33B">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9.3.1响应文件逾期送达的或者未送达指定地点的；</w:t>
      </w:r>
    </w:p>
    <w:p w14:paraId="44D692DA">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9.3.2响应文件未按采购文件要求密封的；</w:t>
      </w:r>
    </w:p>
    <w:p w14:paraId="0658B0DC">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9.3.3响应文件未按规定的格式填写，内容不全或关键字迹模糊、无法辨认的；</w:t>
      </w:r>
    </w:p>
    <w:p w14:paraId="27275940">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9.3.4响应文件无单位盖章并无法定代表人或法定代表人授权的代理人签字或盖章的；</w:t>
      </w:r>
    </w:p>
    <w:p w14:paraId="65A62EFE">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6AB9A9DD">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14:paraId="4DD985FC">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14:paraId="66BB9E46">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14:paraId="584A3DE4">
      <w:pPr>
        <w:pStyle w:val="44"/>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10.采购人员及相关人员与供应商有下列利害关系之一的，应当回避：</w:t>
      </w:r>
    </w:p>
    <w:p w14:paraId="33FD9D7A">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10.1参加采购活动前3年内与供应商存在劳动关系；</w:t>
      </w:r>
    </w:p>
    <w:p w14:paraId="16BA5D7A">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10.2参加采购活动前3年内担任供应商的董事、监事；</w:t>
      </w:r>
    </w:p>
    <w:p w14:paraId="501A88DA">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10.3参加采购活动前3年内是供应商的控股股东或者实际控制人；</w:t>
      </w:r>
    </w:p>
    <w:p w14:paraId="2BD3A509">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10.4与供应商的法定代表人或者负责人有夫妻、直系血亲、三代以内旁系血亲或者近姻亲关系；</w:t>
      </w:r>
    </w:p>
    <w:p w14:paraId="1AE2D891">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10.5与供应商有其他可能影响采购活动公平、公正进行的关系。</w:t>
      </w:r>
    </w:p>
    <w:p w14:paraId="542FA9CD">
      <w:pPr>
        <w:numPr>
          <w:ilvl w:val="0"/>
          <w:numId w:val="0"/>
        </w:numPr>
        <w:adjustRightInd w:val="0"/>
        <w:snapToGrid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F502A4A">
      <w:pPr>
        <w:pStyle w:val="43"/>
        <w:rPr>
          <w:rFonts w:hint="eastAsia" w:ascii="宋体" w:hAnsi="宋体" w:eastAsia="宋体" w:cs="宋体"/>
          <w:sz w:val="24"/>
          <w:szCs w:val="24"/>
          <w:lang w:val="en-US" w:eastAsia="zh-CN" w:bidi="zh-CN"/>
        </w:rPr>
      </w:pPr>
      <w:r>
        <w:rPr>
          <w:rFonts w:hint="eastAsia" w:ascii="宋体" w:hAnsi="宋体" w:eastAsia="宋体" w:cs="宋体"/>
          <w:sz w:val="24"/>
          <w:szCs w:val="24"/>
          <w:lang w:val="en-US" w:bidi="zh-CN"/>
        </w:rPr>
        <w:t>二、</w:t>
      </w:r>
      <w:r>
        <w:rPr>
          <w:rFonts w:hint="eastAsia" w:ascii="宋体" w:hAnsi="宋体" w:eastAsia="宋体" w:cs="宋体"/>
          <w:sz w:val="24"/>
          <w:szCs w:val="24"/>
          <w:lang w:bidi="zh-CN"/>
        </w:rPr>
        <w:t>响应文件的编制</w:t>
      </w:r>
    </w:p>
    <w:p w14:paraId="35452F9E">
      <w:pPr>
        <w:pStyle w:val="44"/>
        <w:rPr>
          <w:rFonts w:hint="eastAsia" w:ascii="宋体" w:hAnsi="宋体" w:eastAsia="宋体" w:cs="宋体"/>
          <w:b/>
          <w:bCs/>
          <w:sz w:val="24"/>
          <w:szCs w:val="24"/>
          <w:lang w:bidi="zh-CN"/>
        </w:rPr>
      </w:pPr>
      <w:r>
        <w:rPr>
          <w:rFonts w:hint="eastAsia" w:ascii="宋体" w:hAnsi="宋体" w:eastAsia="宋体" w:cs="宋体"/>
          <w:b/>
          <w:bCs/>
          <w:sz w:val="24"/>
          <w:szCs w:val="24"/>
          <w:lang w:val="en-US" w:bidi="zh-CN"/>
        </w:rPr>
        <w:t>11</w:t>
      </w:r>
      <w:r>
        <w:rPr>
          <w:rFonts w:hint="eastAsia" w:ascii="宋体" w:hAnsi="宋体" w:eastAsia="宋体" w:cs="宋体"/>
          <w:b/>
          <w:bCs/>
          <w:sz w:val="24"/>
          <w:szCs w:val="24"/>
          <w:lang w:bidi="zh-CN"/>
        </w:rPr>
        <w:t>.响应文件的编制原则</w:t>
      </w:r>
    </w:p>
    <w:p w14:paraId="534FC239">
      <w:pPr>
        <w:numPr>
          <w:ilvl w:val="0"/>
          <w:numId w:val="0"/>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eastAsia" w:ascii="宋体" w:hAnsi="宋体" w:eastAsia="宋体" w:cs="宋体"/>
          <w:sz w:val="24"/>
          <w:szCs w:val="24"/>
          <w:lang w:bidi="zh-CN"/>
        </w:rPr>
        <w:t>文件的要求编制响应文件，并对其提交的响应文件的真实性、合法性承担法律责任。响应文件必须对</w:t>
      </w:r>
      <w:r>
        <w:rPr>
          <w:rFonts w:hint="eastAsia" w:ascii="宋体" w:hAnsi="宋体" w:eastAsia="宋体" w:cs="宋体"/>
          <w:sz w:val="24"/>
          <w:szCs w:val="24"/>
          <w:lang w:val="en-US" w:bidi="zh-CN"/>
        </w:rPr>
        <w:t>采购</w:t>
      </w:r>
      <w:r>
        <w:rPr>
          <w:rFonts w:hint="eastAsia" w:ascii="宋体" w:hAnsi="宋体" w:eastAsia="宋体" w:cs="宋体"/>
          <w:sz w:val="24"/>
          <w:szCs w:val="24"/>
          <w:lang w:bidi="zh-CN"/>
        </w:rPr>
        <w:t>文件作出实质性响应。</w:t>
      </w:r>
    </w:p>
    <w:p w14:paraId="51F86874">
      <w:pPr>
        <w:pStyle w:val="44"/>
        <w:rPr>
          <w:rFonts w:hint="eastAsia" w:ascii="宋体" w:hAnsi="宋体" w:eastAsia="宋体" w:cs="宋体"/>
          <w:b/>
          <w:bCs/>
          <w:sz w:val="24"/>
          <w:szCs w:val="24"/>
          <w:lang w:bidi="zh-CN"/>
        </w:rPr>
      </w:pPr>
      <w:r>
        <w:rPr>
          <w:rFonts w:hint="eastAsia" w:ascii="宋体" w:hAnsi="宋体" w:eastAsia="宋体" w:cs="宋体"/>
          <w:b/>
          <w:bCs/>
          <w:sz w:val="24"/>
          <w:szCs w:val="24"/>
          <w:lang w:bidi="zh-CN"/>
        </w:rPr>
        <w:t>1</w:t>
      </w:r>
      <w:r>
        <w:rPr>
          <w:rFonts w:hint="eastAsia" w:ascii="宋体" w:hAnsi="宋体" w:eastAsia="宋体" w:cs="宋体"/>
          <w:b/>
          <w:bCs/>
          <w:sz w:val="24"/>
          <w:szCs w:val="24"/>
          <w:lang w:val="en-US" w:bidi="zh-CN"/>
        </w:rPr>
        <w:t>2</w:t>
      </w:r>
      <w:r>
        <w:rPr>
          <w:rFonts w:hint="eastAsia" w:ascii="宋体" w:hAnsi="宋体" w:eastAsia="宋体" w:cs="宋体"/>
          <w:b/>
          <w:bCs/>
          <w:sz w:val="24"/>
          <w:szCs w:val="24"/>
          <w:lang w:bidi="zh-CN"/>
        </w:rPr>
        <w:t>.响应文件的组成</w:t>
      </w:r>
    </w:p>
    <w:p w14:paraId="574A6259">
      <w:pPr>
        <w:pStyle w:val="14"/>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2</w:t>
      </w:r>
      <w:r>
        <w:rPr>
          <w:rFonts w:hint="eastAsia" w:ascii="宋体" w:hAnsi="宋体" w:eastAsia="宋体" w:cs="宋体"/>
          <w:sz w:val="24"/>
          <w:szCs w:val="24"/>
          <w:lang w:bidi="zh-CN"/>
        </w:rPr>
        <w:t>.1响应文件由：</w:t>
      </w:r>
    </w:p>
    <w:p w14:paraId="38DC223B">
      <w:pPr>
        <w:pStyle w:val="14"/>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1.1营业执照</w:t>
      </w:r>
    </w:p>
    <w:p w14:paraId="76ECE119">
      <w:pPr>
        <w:pStyle w:val="14"/>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1.2报价</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lang w:val="en-US" w:eastAsia="zh-CN"/>
        </w:rPr>
        <w:t xml:space="preserve"> </w:t>
      </w:r>
    </w:p>
    <w:p w14:paraId="62614A22">
      <w:pPr>
        <w:numPr>
          <w:ilvl w:val="0"/>
          <w:numId w:val="0"/>
        </w:numPr>
        <w:adjustRightInd w:val="0"/>
        <w:snapToGrid w:val="0"/>
        <w:jc w:val="left"/>
        <w:rPr>
          <w:rFonts w:hint="eastAsia" w:ascii="宋体" w:hAnsi="宋体" w:eastAsia="宋体" w:cs="宋体"/>
          <w:sz w:val="24"/>
          <w:szCs w:val="24"/>
          <w:lang w:bidi="zh-CN"/>
        </w:rPr>
      </w:pPr>
      <w:r>
        <w:rPr>
          <w:rFonts w:hint="eastAsia" w:ascii="宋体" w:hAnsi="宋体" w:eastAsia="宋体" w:cs="宋体"/>
          <w:sz w:val="24"/>
          <w:szCs w:val="24"/>
          <w:lang w:bidi="zh-CN"/>
        </w:rPr>
        <w:t>组成。</w:t>
      </w:r>
    </w:p>
    <w:p w14:paraId="476D9C4E">
      <w:pPr>
        <w:pStyle w:val="44"/>
        <w:numPr>
          <w:ilvl w:val="0"/>
          <w:numId w:val="0"/>
        </w:numPr>
        <w:rPr>
          <w:rFonts w:hint="eastAsia" w:ascii="宋体" w:hAnsi="宋体" w:eastAsia="宋体" w:cs="宋体"/>
          <w:sz w:val="24"/>
          <w:szCs w:val="24"/>
          <w:lang w:bidi="zh-CN"/>
        </w:rPr>
      </w:pPr>
      <w:r>
        <w:rPr>
          <w:rFonts w:hint="eastAsia" w:ascii="宋体" w:hAnsi="宋体" w:eastAsia="宋体" w:cs="宋体"/>
          <w:sz w:val="24"/>
          <w:szCs w:val="24"/>
          <w:lang w:val="en-US" w:bidi="zh-CN"/>
        </w:rPr>
        <w:t>13.</w:t>
      </w:r>
      <w:r>
        <w:rPr>
          <w:rFonts w:hint="eastAsia" w:ascii="宋体" w:hAnsi="宋体" w:eastAsia="宋体" w:cs="宋体"/>
          <w:sz w:val="24"/>
          <w:szCs w:val="24"/>
          <w:lang w:bidi="zh-CN"/>
        </w:rPr>
        <w:t>响应文件的密封和标记</w:t>
      </w:r>
    </w:p>
    <w:p w14:paraId="0092622D">
      <w:pPr>
        <w:numPr>
          <w:ilvl w:val="0"/>
          <w:numId w:val="0"/>
        </w:num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eastAsia" w:ascii="宋体" w:hAnsi="宋体" w:eastAsia="宋体" w:cs="宋体"/>
          <w:sz w:val="24"/>
          <w:szCs w:val="24"/>
          <w:lang w:bidi="zh-CN"/>
        </w:rPr>
        <w:t>.1响应文件全部装入一个或者多个包封袋</w:t>
      </w:r>
      <w:r>
        <w:rPr>
          <w:rFonts w:hint="eastAsia" w:ascii="宋体" w:hAnsi="宋体" w:eastAsia="宋体" w:cs="宋体"/>
          <w:sz w:val="24"/>
          <w:szCs w:val="24"/>
          <w:lang w:val="en-US" w:bidi="zh-CN"/>
        </w:rPr>
        <w:t>或</w:t>
      </w:r>
      <w:r>
        <w:rPr>
          <w:rFonts w:hint="eastAsia" w:ascii="宋体" w:hAnsi="宋体" w:eastAsia="宋体" w:cs="宋体"/>
          <w:sz w:val="24"/>
          <w:szCs w:val="24"/>
          <w:lang w:bidi="zh-CN"/>
        </w:rPr>
        <w:t>箱（响应文件的补充、修改可另行单独递交）中并加以密封，封口处必须加盖供应商公章或者法定代表人签字或者委托代理人签字，以示密封。</w:t>
      </w:r>
    </w:p>
    <w:p w14:paraId="658594AF">
      <w:pPr>
        <w:numPr>
          <w:ilvl w:val="0"/>
          <w:numId w:val="0"/>
        </w:numPr>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eastAsia" w:ascii="宋体" w:hAnsi="宋体" w:eastAsia="宋体" w:cs="宋体"/>
          <w:sz w:val="24"/>
          <w:szCs w:val="24"/>
          <w:lang w:bidi="zh-CN"/>
        </w:rPr>
        <w:t>.2响应文件外层包装封面上应标记“</w:t>
      </w:r>
      <w:r>
        <w:rPr>
          <w:rFonts w:hint="eastAsia" w:ascii="宋体" w:hAnsi="宋体" w:eastAsia="宋体" w:cs="宋体"/>
          <w:b/>
          <w:bCs/>
          <w:sz w:val="24"/>
          <w:szCs w:val="24"/>
          <w:lang w:bidi="zh-CN"/>
        </w:rPr>
        <w:t>项目名称、供应商名称、首次响应文件提交截止时间前不得启封</w:t>
      </w:r>
      <w:r>
        <w:rPr>
          <w:rFonts w:hint="eastAsia" w:ascii="宋体" w:hAnsi="宋体" w:eastAsia="宋体" w:cs="宋体"/>
          <w:sz w:val="24"/>
          <w:szCs w:val="24"/>
          <w:lang w:bidi="zh-CN"/>
        </w:rPr>
        <w:t>”</w:t>
      </w:r>
      <w:r>
        <w:rPr>
          <w:rFonts w:hint="eastAsia" w:ascii="宋体" w:hAnsi="宋体" w:eastAsia="宋体" w:cs="宋体"/>
          <w:sz w:val="24"/>
          <w:szCs w:val="24"/>
          <w:lang w:val="en-US" w:bidi="zh-CN"/>
        </w:rPr>
        <w:t>等</w:t>
      </w:r>
      <w:r>
        <w:rPr>
          <w:rFonts w:hint="eastAsia" w:ascii="宋体" w:hAnsi="宋体" w:eastAsia="宋体" w:cs="宋体"/>
          <w:sz w:val="24"/>
          <w:szCs w:val="24"/>
          <w:lang w:bidi="zh-CN"/>
        </w:rPr>
        <w:t>字样。</w:t>
      </w:r>
    </w:p>
    <w:p w14:paraId="442F4E58">
      <w:pPr>
        <w:numPr>
          <w:ilvl w:val="0"/>
          <w:numId w:val="0"/>
        </w:numPr>
        <w:ind w:firstLine="480" w:firstLineChars="200"/>
        <w:rPr>
          <w:rFonts w:hint="eastAsia" w:ascii="宋体" w:hAnsi="宋体" w:eastAsia="宋体" w:cs="宋体"/>
          <w:b w:val="0"/>
          <w:bCs w:val="0"/>
          <w:sz w:val="24"/>
          <w:szCs w:val="24"/>
          <w:lang w:val="en-US" w:eastAsia="zh-CN"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eastAsia" w:ascii="宋体" w:hAnsi="宋体" w:eastAsia="宋体" w:cs="宋体"/>
          <w:sz w:val="24"/>
          <w:szCs w:val="24"/>
          <w:lang w:bidi="zh-CN"/>
        </w:rPr>
        <w:t>.3未按上述规定密封的响应文件将被拒收。</w:t>
      </w:r>
    </w:p>
    <w:p w14:paraId="5F738424">
      <w:pPr>
        <w:pStyle w:val="44"/>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sz w:val="24"/>
          <w:szCs w:val="24"/>
          <w:lang w:val="en-US" w:bidi="zh-CN"/>
        </w:rPr>
        <w:t>14.</w:t>
      </w:r>
      <w:r>
        <w:rPr>
          <w:rFonts w:hint="eastAsia" w:ascii="宋体" w:hAnsi="宋体" w:eastAsia="宋体" w:cs="宋体"/>
          <w:sz w:val="24"/>
          <w:szCs w:val="24"/>
          <w:lang w:bidi="zh-CN"/>
        </w:rPr>
        <w:t>响应文件的提交</w:t>
      </w:r>
    </w:p>
    <w:p w14:paraId="2681CFC2">
      <w:pPr>
        <w:pStyle w:val="44"/>
        <w:numPr>
          <w:ilvl w:val="-1"/>
          <w:numId w:val="0"/>
        </w:numPr>
        <w:ind w:firstLine="480" w:firstLineChars="200"/>
        <w:rPr>
          <w:rFonts w:hint="eastAsia" w:ascii="宋体" w:hAnsi="宋体" w:eastAsia="宋体" w:cs="宋体"/>
          <w:b w:val="0"/>
          <w:bCs w:val="0"/>
          <w:sz w:val="24"/>
          <w:szCs w:val="24"/>
          <w:lang w:bidi="zh-CN"/>
        </w:rPr>
      </w:pPr>
      <w:r>
        <w:rPr>
          <w:rFonts w:hint="eastAsia" w:ascii="宋体" w:hAnsi="宋体" w:eastAsia="宋体" w:cs="宋体"/>
          <w:b w:val="0"/>
          <w:bCs w:val="0"/>
          <w:sz w:val="24"/>
          <w:szCs w:val="24"/>
          <w:lang w:bidi="zh-CN"/>
        </w:rPr>
        <w:t>供应商必须在“供应商须知前附表”规定的时间和地点提交响应文件。</w:t>
      </w:r>
    </w:p>
    <w:p w14:paraId="7D2E3940">
      <w:pPr>
        <w:pStyle w:val="44"/>
        <w:numPr>
          <w:ilvl w:val="-1"/>
          <w:numId w:val="0"/>
        </w:numPr>
        <w:ind w:firstLine="480" w:firstLineChars="200"/>
        <w:rPr>
          <w:rFonts w:hint="eastAsia" w:ascii="宋体" w:hAnsi="宋体" w:eastAsia="宋体" w:cs="宋体"/>
          <w:b w:val="0"/>
          <w:bCs w:val="0"/>
          <w:sz w:val="24"/>
          <w:szCs w:val="24"/>
          <w:lang w:val="en-US" w:bidi="zh-CN"/>
        </w:rPr>
      </w:pPr>
      <w:r>
        <w:rPr>
          <w:rFonts w:hint="eastAsia" w:ascii="宋体" w:hAnsi="宋体" w:eastAsia="宋体" w:cs="宋体"/>
          <w:b w:val="0"/>
          <w:bCs w:val="0"/>
          <w:sz w:val="24"/>
          <w:szCs w:val="24"/>
          <w:lang w:val="en-US" w:bidi="zh-CN"/>
        </w:rPr>
        <w:t xml:space="preserve">       </w:t>
      </w:r>
    </w:p>
    <w:p w14:paraId="0A8E494D">
      <w:pPr>
        <w:pStyle w:val="14"/>
        <w:spacing w:line="360" w:lineRule="auto"/>
        <w:ind w:firstLine="5645" w:firstLineChars="2343"/>
        <w:jc w:val="left"/>
        <w:rPr>
          <w:rFonts w:hint="eastAsia" w:ascii="宋体" w:hAnsi="宋体" w:eastAsia="宋体" w:cs="宋体"/>
          <w:sz w:val="24"/>
          <w:szCs w:val="24"/>
          <w:highlight w:val="none"/>
        </w:rPr>
      </w:pPr>
      <w:r>
        <w:rPr>
          <w:rFonts w:hint="eastAsia" w:ascii="宋体" w:hAnsi="宋体" w:eastAsia="宋体" w:cs="宋体"/>
          <w:b/>
          <w:kern w:val="0"/>
          <w:sz w:val="24"/>
          <w:szCs w:val="24"/>
          <w:highlight w:val="none"/>
          <w:lang w:val="en-US" w:eastAsia="zh-CN"/>
        </w:rPr>
        <w:t>三、</w:t>
      </w:r>
      <w:r>
        <w:rPr>
          <w:rFonts w:hint="eastAsia" w:ascii="宋体" w:hAnsi="宋体" w:eastAsia="宋体" w:cs="宋体"/>
          <w:b/>
          <w:kern w:val="0"/>
          <w:sz w:val="24"/>
          <w:szCs w:val="24"/>
          <w:highlight w:val="none"/>
        </w:rPr>
        <w:t>评审标准</w:t>
      </w:r>
    </w:p>
    <w:p w14:paraId="0F8F528D">
      <w:pPr>
        <w:pStyle w:val="14"/>
        <w:spacing w:line="360" w:lineRule="auto"/>
        <w:ind w:firstLine="318" w:firstLineChars="132"/>
        <w:rPr>
          <w:rFonts w:hint="eastAsia" w:ascii="宋体" w:hAnsi="宋体" w:eastAsia="宋体" w:cs="宋体"/>
          <w:b/>
          <w:bCs/>
          <w:sz w:val="24"/>
          <w:szCs w:val="24"/>
          <w:highlight w:val="none"/>
        </w:rPr>
      </w:pPr>
    </w:p>
    <w:p w14:paraId="564E26E1">
      <w:pPr>
        <w:pStyle w:val="14"/>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一、评审原则</w:t>
      </w:r>
    </w:p>
    <w:p w14:paraId="75C2C18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rPr>
        <w:t>满足采购文件的实质要求，经评审</w:t>
      </w:r>
      <w:r>
        <w:rPr>
          <w:rFonts w:hint="eastAsia" w:ascii="宋体" w:hAnsi="宋体" w:eastAsia="宋体" w:cs="宋体"/>
          <w:bCs/>
          <w:sz w:val="24"/>
          <w:szCs w:val="24"/>
          <w:lang w:val="en-US" w:eastAsia="zh-CN"/>
        </w:rPr>
        <w:t>不含税</w:t>
      </w:r>
      <w:r>
        <w:rPr>
          <w:rFonts w:hint="eastAsia" w:ascii="宋体" w:hAnsi="宋体" w:eastAsia="宋体" w:cs="宋体"/>
          <w:bCs/>
          <w:sz w:val="24"/>
          <w:szCs w:val="24"/>
        </w:rPr>
        <w:t>报价最低的供应商为成交供应商</w:t>
      </w:r>
      <w:r>
        <w:rPr>
          <w:rFonts w:hint="eastAsia" w:ascii="宋体" w:hAnsi="宋体" w:eastAsia="宋体" w:cs="宋体"/>
          <w:bCs/>
          <w:sz w:val="24"/>
          <w:szCs w:val="24"/>
          <w:highlight w:val="none"/>
        </w:rPr>
        <w:t>。</w:t>
      </w:r>
    </w:p>
    <w:p w14:paraId="7E218E10">
      <w:pPr>
        <w:pStyle w:val="14"/>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、成交候选供应商推荐原则</w:t>
      </w:r>
    </w:p>
    <w:p w14:paraId="14748CFD">
      <w:pPr>
        <w:pStyle w:val="14"/>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（一）按照报价由低到高的顺序推荐；若仍相同的，按照</w:t>
      </w:r>
      <w:r>
        <w:rPr>
          <w:rFonts w:hint="eastAsia" w:ascii="宋体" w:hAnsi="宋体" w:eastAsia="宋体" w:cs="宋体"/>
          <w:sz w:val="24"/>
          <w:szCs w:val="24"/>
          <w:highlight w:val="none"/>
          <w:lang w:val="en-US" w:eastAsia="zh-CN"/>
        </w:rPr>
        <w:t>货期优先</w:t>
      </w:r>
      <w:r>
        <w:rPr>
          <w:rFonts w:hint="eastAsia" w:ascii="宋体" w:hAnsi="宋体" w:eastAsia="宋体" w:cs="宋体"/>
          <w:sz w:val="24"/>
          <w:szCs w:val="24"/>
          <w:highlight w:val="none"/>
        </w:rPr>
        <w:t>顺序推荐。采购人应按排序从高到低的原则确定成交供应商。</w:t>
      </w:r>
    </w:p>
    <w:p w14:paraId="61547CA7">
      <w:pPr>
        <w:pStyle w:val="14"/>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二）成交供应商拒绝签订采购合同的，采购人可以按照上款规定的原则确定其他候选供应商作为成交供应商并签订采购合同，也可以重新开展采购活动。拒绝签订采购合同的成交供应商不得参加对该项目重新开展的采购活动。</w:t>
      </w:r>
    </w:p>
    <w:p w14:paraId="1C0B3A07">
      <w:pPr>
        <w:pStyle w:val="14"/>
        <w:spacing w:line="360" w:lineRule="auto"/>
        <w:ind w:firstLine="420"/>
        <w:rPr>
          <w:rFonts w:hint="eastAsia" w:ascii="宋体" w:hAnsi="宋体" w:eastAsia="宋体" w:cs="宋体"/>
          <w:bCs/>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小组认为，某供应商的响应报价或者某些分项报价明显不合理或者低于成本，有可能影响质量和不能诚信履约的，应要求其在规定的期限内提供书面文件予以解释说明，并提交相关证明材料，否则，</w:t>
      </w:r>
      <w:r>
        <w:rPr>
          <w:rFonts w:hint="eastAsia" w:ascii="宋体" w:hAnsi="宋体" w:eastAsia="宋体" w:cs="宋体"/>
          <w:sz w:val="24"/>
          <w:szCs w:val="24"/>
          <w:highlight w:val="none"/>
          <w:lang w:eastAsia="zh-CN"/>
        </w:rPr>
        <w:t>评审</w:t>
      </w:r>
      <w:r>
        <w:rPr>
          <w:rFonts w:hint="eastAsia" w:ascii="宋体" w:hAnsi="宋体" w:eastAsia="宋体" w:cs="宋体"/>
          <w:sz w:val="24"/>
          <w:szCs w:val="24"/>
          <w:highlight w:val="none"/>
        </w:rPr>
        <w:t>小组可以取消该供应商的成交候选资格，按顺序由排在其后面的供应商递补，以此类推。</w:t>
      </w:r>
    </w:p>
    <w:p w14:paraId="673094FA">
      <w:pPr>
        <w:pStyle w:val="44"/>
        <w:numPr>
          <w:ilvl w:val="-1"/>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bidi="zh-CN"/>
        </w:rPr>
        <w:br w:type="page"/>
      </w:r>
    </w:p>
    <w:p w14:paraId="3B869A64">
      <w:pPr>
        <w:ind w:firstLine="4578" w:firstLineChars="1900"/>
        <w:rPr>
          <w:rFonts w:hint="eastAsia" w:ascii="宋体" w:hAnsi="宋体" w:eastAsia="宋体" w:cs="宋体"/>
          <w:b/>
          <w:sz w:val="24"/>
          <w:szCs w:val="24"/>
        </w:rPr>
      </w:pPr>
      <w:r>
        <w:rPr>
          <w:rFonts w:hint="eastAsia" w:ascii="宋体" w:hAnsi="宋体" w:eastAsia="宋体" w:cs="宋体"/>
          <w:b/>
          <w:sz w:val="24"/>
          <w:szCs w:val="24"/>
        </w:rPr>
        <w:t xml:space="preserve"> </w:t>
      </w:r>
    </w:p>
    <w:p w14:paraId="3F059E63">
      <w:pPr>
        <w:ind w:firstLine="4578" w:firstLineChars="1900"/>
        <w:rPr>
          <w:rFonts w:hint="eastAsia" w:ascii="宋体" w:hAnsi="宋体" w:eastAsia="宋体" w:cs="宋体"/>
          <w:b/>
          <w:sz w:val="24"/>
          <w:szCs w:val="24"/>
        </w:rPr>
      </w:pPr>
    </w:p>
    <w:p w14:paraId="276C93EE">
      <w:pPr>
        <w:ind w:firstLine="4578" w:firstLineChars="1900"/>
        <w:rPr>
          <w:rFonts w:hint="eastAsia" w:ascii="宋体" w:hAnsi="宋体" w:eastAsia="宋体" w:cs="宋体"/>
          <w:b/>
          <w:sz w:val="24"/>
          <w:szCs w:val="24"/>
        </w:rPr>
      </w:pPr>
    </w:p>
    <w:p w14:paraId="0FCD77C3">
      <w:pPr>
        <w:ind w:firstLine="4578" w:firstLineChars="1900"/>
        <w:rPr>
          <w:rFonts w:hint="eastAsia" w:ascii="宋体" w:hAnsi="宋体" w:eastAsia="宋体" w:cs="宋体"/>
          <w:b/>
          <w:sz w:val="24"/>
          <w:szCs w:val="24"/>
        </w:rPr>
      </w:pPr>
    </w:p>
    <w:p w14:paraId="6094FE23">
      <w:pPr>
        <w:ind w:firstLine="4578" w:firstLineChars="1900"/>
        <w:rPr>
          <w:rFonts w:hint="eastAsia" w:ascii="宋体" w:hAnsi="宋体" w:eastAsia="宋体" w:cs="宋体"/>
          <w:b/>
          <w:sz w:val="24"/>
          <w:szCs w:val="24"/>
        </w:rPr>
      </w:pPr>
    </w:p>
    <w:p w14:paraId="16AF294E">
      <w:pPr>
        <w:ind w:firstLine="4578" w:firstLineChars="1900"/>
        <w:rPr>
          <w:rFonts w:hint="eastAsia" w:ascii="宋体" w:hAnsi="宋体" w:eastAsia="宋体" w:cs="宋体"/>
          <w:b/>
          <w:sz w:val="24"/>
          <w:szCs w:val="24"/>
        </w:rPr>
      </w:pPr>
    </w:p>
    <w:p w14:paraId="371C9ED1">
      <w:pPr>
        <w:ind w:firstLine="4578" w:firstLineChars="1900"/>
        <w:rPr>
          <w:rFonts w:hint="eastAsia" w:ascii="宋体" w:hAnsi="宋体" w:eastAsia="宋体" w:cs="宋体"/>
          <w:b/>
          <w:sz w:val="24"/>
          <w:szCs w:val="24"/>
        </w:rPr>
      </w:pPr>
      <w:r>
        <w:rPr>
          <w:rFonts w:hint="eastAsia" w:ascii="宋体" w:hAnsi="宋体" w:eastAsia="宋体" w:cs="宋体"/>
          <w:b/>
          <w:sz w:val="24"/>
          <w:szCs w:val="24"/>
          <w:lang w:val="en-US" w:eastAsia="zh-CN"/>
        </w:rPr>
        <w:t>第四章</w:t>
      </w:r>
      <w:r>
        <w:rPr>
          <w:rFonts w:hint="eastAsia" w:ascii="宋体" w:hAnsi="宋体" w:eastAsia="宋体" w:cs="宋体"/>
          <w:b/>
          <w:sz w:val="24"/>
          <w:szCs w:val="24"/>
        </w:rPr>
        <w:t>：</w:t>
      </w:r>
      <w:r>
        <w:rPr>
          <w:rFonts w:hint="eastAsia" w:ascii="宋体" w:hAnsi="宋体" w:eastAsia="宋体" w:cs="宋体"/>
          <w:b/>
          <w:sz w:val="24"/>
          <w:szCs w:val="24"/>
          <w:lang w:val="en-US" w:eastAsia="zh-CN"/>
        </w:rPr>
        <w:t>支付</w:t>
      </w:r>
      <w:r>
        <w:rPr>
          <w:rFonts w:hint="eastAsia" w:ascii="宋体" w:hAnsi="宋体" w:eastAsia="宋体" w:cs="宋体"/>
          <w:b/>
          <w:sz w:val="24"/>
          <w:szCs w:val="24"/>
        </w:rPr>
        <w:t>条款</w:t>
      </w:r>
    </w:p>
    <w:p w14:paraId="3BB2CDB9">
      <w:pPr>
        <w:snapToGrid w:val="0"/>
        <w:spacing w:line="500" w:lineRule="exact"/>
        <w:ind w:firstLine="482" w:firstLineChars="200"/>
        <w:rPr>
          <w:rFonts w:hint="eastAsia" w:ascii="宋体" w:hAnsi="宋体" w:eastAsia="宋体" w:cs="宋体"/>
          <w:color w:val="000000"/>
          <w:sz w:val="24"/>
          <w:szCs w:val="24"/>
          <w:highlight w:val="yellow"/>
        </w:rPr>
      </w:pPr>
      <w:r>
        <w:rPr>
          <w:rFonts w:hint="eastAsia" w:ascii="宋体" w:hAnsi="宋体" w:eastAsia="宋体" w:cs="宋体"/>
          <w:b/>
          <w:bCs/>
          <w:color w:val="000000"/>
          <w:sz w:val="24"/>
          <w:szCs w:val="24"/>
        </w:rPr>
        <w:t>经甲方验收合格之后，甲方在</w:t>
      </w:r>
      <w:r>
        <w:rPr>
          <w:rFonts w:hint="eastAsia" w:ascii="宋体" w:hAnsi="宋体" w:eastAsia="宋体" w:cs="宋体"/>
          <w:b/>
          <w:bCs/>
          <w:color w:val="000000"/>
          <w:sz w:val="24"/>
          <w:szCs w:val="24"/>
          <w:lang w:val="en-US" w:eastAsia="zh-CN"/>
        </w:rPr>
        <w:t>收取乙方足额发票后</w:t>
      </w:r>
      <w:r>
        <w:rPr>
          <w:rFonts w:hint="eastAsia" w:ascii="宋体" w:hAnsi="宋体" w:eastAsia="宋体" w:cs="宋体"/>
          <w:b/>
          <w:bCs/>
          <w:color w:val="000000"/>
          <w:sz w:val="24"/>
          <w:szCs w:val="24"/>
        </w:rPr>
        <w:t>20个工作日内支付</w:t>
      </w:r>
      <w:r>
        <w:rPr>
          <w:rFonts w:hint="eastAsia" w:ascii="宋体" w:hAnsi="宋体" w:eastAsia="宋体" w:cs="宋体"/>
          <w:b/>
          <w:bCs/>
          <w:color w:val="000000"/>
          <w:sz w:val="24"/>
          <w:szCs w:val="24"/>
          <w:lang w:val="en-US" w:eastAsia="zh-CN"/>
        </w:rPr>
        <w:t>100%</w:t>
      </w:r>
      <w:r>
        <w:rPr>
          <w:rFonts w:hint="eastAsia" w:ascii="宋体" w:hAnsi="宋体" w:eastAsia="宋体" w:cs="宋体"/>
          <w:b/>
          <w:bCs/>
          <w:color w:val="000000"/>
          <w:sz w:val="24"/>
          <w:szCs w:val="24"/>
        </w:rPr>
        <w:t>货款给乙方。</w:t>
      </w:r>
    </w:p>
    <w:p w14:paraId="5B082328">
      <w:pPr>
        <w:pStyle w:val="32"/>
        <w:spacing w:line="300" w:lineRule="exact"/>
        <w:ind w:firstLine="0" w:firstLineChars="0"/>
        <w:contextualSpacing/>
        <w:rPr>
          <w:rFonts w:hint="eastAsia" w:ascii="宋体" w:hAnsi="宋体" w:eastAsia="宋体" w:cs="宋体"/>
          <w:b/>
          <w:bCs/>
          <w:color w:val="0000FF"/>
          <w:sz w:val="24"/>
          <w:szCs w:val="24"/>
          <w:highlight w:val="yellow"/>
        </w:rPr>
      </w:pPr>
    </w:p>
    <w:p w14:paraId="2D36DDA3">
      <w:pPr>
        <w:widowControl/>
        <w:ind w:firstLine="720" w:firstLineChars="300"/>
        <w:rPr>
          <w:rFonts w:hint="eastAsia" w:ascii="宋体" w:hAnsi="宋体" w:eastAsia="宋体" w:cs="宋体"/>
          <w:sz w:val="24"/>
          <w:szCs w:val="24"/>
        </w:rPr>
      </w:pPr>
    </w:p>
    <w:p w14:paraId="435BD21A">
      <w:pPr>
        <w:rPr>
          <w:rFonts w:hint="eastAsia" w:ascii="宋体" w:hAnsi="宋体" w:eastAsia="宋体" w:cs="宋体"/>
          <w:b/>
          <w:sz w:val="24"/>
          <w:szCs w:val="24"/>
        </w:rPr>
      </w:pPr>
    </w:p>
    <w:p w14:paraId="2C486D5A">
      <w:pPr>
        <w:pStyle w:val="4"/>
        <w:spacing w:line="360" w:lineRule="auto"/>
        <w:rPr>
          <w:rFonts w:hint="eastAsia" w:ascii="宋体" w:hAnsi="宋体" w:eastAsia="宋体" w:cs="宋体"/>
          <w:sz w:val="24"/>
          <w:szCs w:val="24"/>
          <w:highlight w:val="none"/>
          <w:lang w:val="en-US" w:eastAsia="zh-CN"/>
        </w:rPr>
      </w:pPr>
    </w:p>
    <w:p w14:paraId="54C7DF06">
      <w:pPr>
        <w:rPr>
          <w:rFonts w:hint="eastAsia" w:ascii="宋体" w:hAnsi="宋体" w:eastAsia="宋体" w:cs="宋体"/>
          <w:sz w:val="24"/>
          <w:szCs w:val="24"/>
          <w:highlight w:val="none"/>
          <w:lang w:val="en-US" w:eastAsia="zh-CN"/>
        </w:rPr>
      </w:pPr>
    </w:p>
    <w:p w14:paraId="7E10094D">
      <w:pPr>
        <w:pStyle w:val="22"/>
        <w:rPr>
          <w:rFonts w:hint="eastAsia" w:ascii="宋体" w:hAnsi="宋体" w:eastAsia="宋体" w:cs="宋体"/>
          <w:sz w:val="24"/>
          <w:szCs w:val="24"/>
          <w:highlight w:val="none"/>
          <w:lang w:val="en-US" w:eastAsia="zh-CN"/>
        </w:rPr>
      </w:pPr>
    </w:p>
    <w:p w14:paraId="7EE27320">
      <w:pPr>
        <w:pStyle w:val="22"/>
        <w:rPr>
          <w:rFonts w:hint="eastAsia" w:ascii="宋体" w:hAnsi="宋体" w:eastAsia="宋体" w:cs="宋体"/>
          <w:sz w:val="24"/>
          <w:szCs w:val="24"/>
          <w:highlight w:val="none"/>
          <w:lang w:val="en-US" w:eastAsia="zh-CN"/>
        </w:rPr>
      </w:pPr>
    </w:p>
    <w:p w14:paraId="6BF7F1ED">
      <w:pPr>
        <w:pStyle w:val="22"/>
        <w:rPr>
          <w:rFonts w:hint="eastAsia" w:ascii="宋体" w:hAnsi="宋体" w:eastAsia="宋体" w:cs="宋体"/>
          <w:sz w:val="24"/>
          <w:szCs w:val="24"/>
          <w:highlight w:val="none"/>
          <w:lang w:val="en-US" w:eastAsia="zh-CN"/>
        </w:rPr>
      </w:pPr>
    </w:p>
    <w:p w14:paraId="31142281">
      <w:pPr>
        <w:pStyle w:val="22"/>
        <w:rPr>
          <w:rFonts w:hint="eastAsia" w:ascii="宋体" w:hAnsi="宋体" w:eastAsia="宋体" w:cs="宋体"/>
          <w:sz w:val="24"/>
          <w:szCs w:val="24"/>
          <w:highlight w:val="none"/>
          <w:lang w:val="en-US" w:eastAsia="zh-CN"/>
        </w:rPr>
      </w:pPr>
    </w:p>
    <w:p w14:paraId="0D8177C1">
      <w:pPr>
        <w:pStyle w:val="4"/>
        <w:numPr>
          <w:ilvl w:val="0"/>
          <w:numId w:val="0"/>
        </w:numPr>
        <w:spacing w:line="360" w:lineRule="auto"/>
        <w:ind w:firstLine="5783" w:firstLineChars="1800"/>
        <w:rPr>
          <w:rFonts w:hint="eastAsia" w:ascii="宋体" w:hAnsi="宋体" w:eastAsia="宋体" w:cs="宋体"/>
          <w:sz w:val="32"/>
          <w:szCs w:val="32"/>
          <w:lang w:val="en-US" w:eastAsia="zh-CN"/>
        </w:rPr>
      </w:pPr>
      <w:r>
        <w:rPr>
          <w:rFonts w:hint="eastAsia" w:ascii="宋体" w:hAnsi="宋体" w:eastAsia="宋体" w:cs="宋体"/>
          <w:sz w:val="32"/>
          <w:szCs w:val="32"/>
          <w:highlight w:val="none"/>
          <w:lang w:val="en-US" w:eastAsia="zh-CN"/>
        </w:rPr>
        <w:t>第五章</w:t>
      </w:r>
      <w:r>
        <w:rPr>
          <w:rFonts w:hint="eastAsia" w:ascii="宋体" w:hAnsi="宋体" w:eastAsia="宋体" w:cs="宋体"/>
          <w:sz w:val="32"/>
          <w:szCs w:val="32"/>
          <w:highlight w:val="none"/>
        </w:rPr>
        <w:t>响应文件格式</w:t>
      </w:r>
    </w:p>
    <w:p w14:paraId="454641DD">
      <w:pPr>
        <w:pStyle w:val="22"/>
        <w:rPr>
          <w:rFonts w:hint="eastAsia" w:ascii="宋体" w:hAnsi="宋体" w:eastAsia="宋体" w:cs="宋体"/>
          <w:sz w:val="24"/>
          <w:szCs w:val="24"/>
          <w:highlight w:val="none"/>
          <w:lang w:val="en-US" w:eastAsia="zh-CN"/>
        </w:rPr>
      </w:pPr>
    </w:p>
    <w:p w14:paraId="1545FE5B">
      <w:pPr>
        <w:pStyle w:val="22"/>
        <w:rPr>
          <w:rFonts w:hint="eastAsia" w:ascii="宋体" w:hAnsi="宋体" w:eastAsia="宋体" w:cs="宋体"/>
          <w:sz w:val="24"/>
          <w:szCs w:val="24"/>
          <w:highlight w:val="none"/>
          <w:lang w:val="en-US" w:eastAsia="zh-CN"/>
        </w:rPr>
      </w:pPr>
    </w:p>
    <w:p w14:paraId="17250723">
      <w:pPr>
        <w:pStyle w:val="22"/>
        <w:ind w:left="0" w:leftChars="0" w:firstLine="0" w:firstLineChars="0"/>
        <w:rPr>
          <w:rFonts w:hint="eastAsia" w:ascii="宋体" w:hAnsi="宋体" w:eastAsia="宋体" w:cs="宋体"/>
          <w:sz w:val="24"/>
          <w:szCs w:val="24"/>
          <w:highlight w:val="none"/>
          <w:lang w:val="en-US" w:eastAsia="zh-CN"/>
        </w:rPr>
      </w:pPr>
    </w:p>
    <w:p w14:paraId="5666CF92">
      <w:pPr>
        <w:pStyle w:val="22"/>
        <w:ind w:left="0" w:leftChars="0" w:firstLine="0" w:firstLineChars="0"/>
        <w:rPr>
          <w:rFonts w:hint="eastAsia" w:ascii="宋体" w:hAnsi="宋体" w:eastAsia="宋体" w:cs="宋体"/>
          <w:sz w:val="24"/>
          <w:szCs w:val="24"/>
          <w:highlight w:val="none"/>
          <w:lang w:val="en-US" w:eastAsia="zh-CN"/>
        </w:rPr>
      </w:pPr>
    </w:p>
    <w:p w14:paraId="21372A22">
      <w:pPr>
        <w:pStyle w:val="22"/>
        <w:ind w:left="0" w:leftChars="0" w:firstLine="0" w:firstLineChars="0"/>
        <w:rPr>
          <w:rFonts w:hint="eastAsia" w:ascii="宋体" w:hAnsi="宋体" w:eastAsia="宋体" w:cs="宋体"/>
          <w:sz w:val="24"/>
          <w:szCs w:val="24"/>
          <w:highlight w:val="none"/>
          <w:lang w:val="en-US" w:eastAsia="zh-CN"/>
        </w:rPr>
      </w:pPr>
    </w:p>
    <w:p w14:paraId="0FF973A1">
      <w:pPr>
        <w:pStyle w:val="22"/>
        <w:ind w:left="0" w:leftChars="0" w:firstLine="0" w:firstLineChars="0"/>
        <w:rPr>
          <w:rFonts w:hint="eastAsia" w:ascii="宋体" w:hAnsi="宋体" w:eastAsia="宋体" w:cs="宋体"/>
          <w:sz w:val="24"/>
          <w:szCs w:val="24"/>
          <w:highlight w:val="none"/>
          <w:lang w:val="en-US" w:eastAsia="zh-CN"/>
        </w:rPr>
      </w:pPr>
    </w:p>
    <w:p w14:paraId="0B553B09">
      <w:pPr>
        <w:pStyle w:val="22"/>
        <w:ind w:left="0" w:leftChars="0" w:firstLine="0" w:firstLineChars="0"/>
        <w:rPr>
          <w:rFonts w:hint="eastAsia" w:ascii="宋体" w:hAnsi="宋体" w:eastAsia="宋体" w:cs="宋体"/>
          <w:sz w:val="24"/>
          <w:szCs w:val="24"/>
          <w:highlight w:val="none"/>
          <w:lang w:val="en-US" w:eastAsia="zh-CN"/>
        </w:rPr>
      </w:pPr>
    </w:p>
    <w:p w14:paraId="46018DD1">
      <w:pPr>
        <w:pStyle w:val="22"/>
        <w:ind w:left="0" w:leftChars="0" w:firstLine="0" w:firstLineChars="0"/>
        <w:rPr>
          <w:rFonts w:hint="eastAsia" w:ascii="宋体" w:hAnsi="宋体" w:eastAsia="宋体" w:cs="宋体"/>
          <w:sz w:val="24"/>
          <w:szCs w:val="24"/>
          <w:highlight w:val="none"/>
          <w:lang w:val="en-US" w:eastAsia="zh-CN"/>
        </w:rPr>
      </w:pPr>
    </w:p>
    <w:p w14:paraId="7E1C4692">
      <w:pPr>
        <w:pStyle w:val="22"/>
        <w:ind w:left="0" w:leftChars="0" w:firstLine="0" w:firstLineChars="0"/>
        <w:rPr>
          <w:rFonts w:hint="eastAsia" w:ascii="宋体" w:hAnsi="宋体" w:eastAsia="宋体" w:cs="宋体"/>
          <w:sz w:val="24"/>
          <w:szCs w:val="24"/>
          <w:highlight w:val="none"/>
          <w:lang w:val="en-US" w:eastAsia="zh-CN"/>
        </w:rPr>
      </w:pPr>
    </w:p>
    <w:p w14:paraId="53596170">
      <w:pPr>
        <w:pStyle w:val="4"/>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（封面）</w:t>
      </w:r>
    </w:p>
    <w:p w14:paraId="278F5C9F">
      <w:pPr>
        <w:snapToGrid w:val="0"/>
        <w:spacing w:before="120" w:beforeLines="50" w:after="5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响应文件</w:t>
      </w:r>
    </w:p>
    <w:p w14:paraId="487272B1">
      <w:pPr>
        <w:snapToGrid w:val="0"/>
        <w:spacing w:before="120" w:beforeLines="50" w:after="50"/>
        <w:rPr>
          <w:rFonts w:hint="eastAsia" w:ascii="宋体" w:hAnsi="宋体" w:eastAsia="宋体" w:cs="宋体"/>
          <w:bCs/>
          <w:color w:val="auto"/>
          <w:sz w:val="24"/>
          <w:szCs w:val="24"/>
          <w:highlight w:val="none"/>
        </w:rPr>
      </w:pPr>
    </w:p>
    <w:p w14:paraId="4D46FE69">
      <w:pPr>
        <w:snapToGrid w:val="0"/>
        <w:spacing w:before="120" w:beforeLines="50" w:after="50"/>
        <w:rPr>
          <w:rFonts w:hint="eastAsia" w:ascii="宋体" w:hAnsi="宋体" w:eastAsia="宋体" w:cs="宋体"/>
          <w:bCs/>
          <w:color w:val="auto"/>
          <w:sz w:val="24"/>
          <w:szCs w:val="24"/>
          <w:highlight w:val="none"/>
          <w:lang w:val="en-US" w:eastAsia="zh-CN"/>
        </w:rPr>
      </w:pPr>
    </w:p>
    <w:p w14:paraId="1AFFB591">
      <w:pPr>
        <w:snapToGrid w:val="0"/>
        <w:spacing w:before="120" w:beforeLines="50" w:after="50"/>
        <w:rPr>
          <w:rFonts w:hint="eastAsia" w:ascii="宋体" w:hAnsi="宋体" w:eastAsia="宋体" w:cs="宋体"/>
          <w:bCs/>
          <w:color w:val="auto"/>
          <w:sz w:val="24"/>
          <w:szCs w:val="24"/>
          <w:highlight w:val="none"/>
        </w:rPr>
      </w:pPr>
    </w:p>
    <w:p w14:paraId="5FCAEE3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Cs/>
          <w:color w:val="auto"/>
          <w:sz w:val="24"/>
          <w:szCs w:val="24"/>
          <w:highlight w:val="none"/>
        </w:rPr>
        <w:t>项目名称：</w:t>
      </w:r>
      <w:r>
        <w:rPr>
          <w:rFonts w:hint="eastAsia" w:ascii="宋体" w:hAnsi="宋体" w:eastAsia="宋体" w:cs="宋体"/>
          <w:b w:val="0"/>
          <w:bCs/>
          <w:kern w:val="2"/>
          <w:sz w:val="24"/>
          <w:szCs w:val="24"/>
          <w:lang w:val="en-US" w:eastAsia="zh-CN" w:bidi="ar-SA"/>
        </w:rPr>
        <w:t>综保区查验场指示牌制作采购项目</w:t>
      </w:r>
    </w:p>
    <w:p w14:paraId="767B124D">
      <w:pPr>
        <w:snapToGrid w:val="0"/>
        <w:spacing w:before="120" w:beforeLines="50" w:after="50"/>
        <w:ind w:firstLine="360" w:firstLineChars="150"/>
        <w:rPr>
          <w:rFonts w:hint="eastAsia" w:ascii="宋体" w:hAnsi="宋体" w:eastAsia="宋体" w:cs="宋体"/>
          <w:bCs/>
          <w:color w:val="auto"/>
          <w:sz w:val="24"/>
          <w:szCs w:val="24"/>
          <w:highlight w:val="none"/>
        </w:rPr>
      </w:pPr>
    </w:p>
    <w:p w14:paraId="2F3D4A40">
      <w:pPr>
        <w:pStyle w:val="8"/>
        <w:snapToGrid w:val="0"/>
        <w:spacing w:before="50" w:after="50"/>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响应文件名称：</w:t>
      </w:r>
      <w:r>
        <w:rPr>
          <w:rFonts w:hint="eastAsia" w:ascii="宋体" w:hAnsi="宋体" w:eastAsia="宋体" w:cs="宋体"/>
          <w:bCs/>
          <w:color w:val="auto"/>
          <w:sz w:val="24"/>
          <w:szCs w:val="24"/>
          <w:highlight w:val="none"/>
          <w:lang w:eastAsia="zh-CN"/>
        </w:rPr>
        <w:t>价格</w:t>
      </w:r>
      <w:r>
        <w:rPr>
          <w:rFonts w:hint="eastAsia" w:ascii="宋体" w:hAnsi="宋体" w:eastAsia="宋体" w:cs="宋体"/>
          <w:bCs/>
          <w:color w:val="auto"/>
          <w:sz w:val="24"/>
          <w:szCs w:val="24"/>
          <w:highlight w:val="none"/>
        </w:rPr>
        <w:t>文件/技术文件</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商务文件</w:t>
      </w:r>
    </w:p>
    <w:p w14:paraId="712ABEC4">
      <w:pPr>
        <w:pStyle w:val="8"/>
        <w:snapToGrid w:val="0"/>
        <w:spacing w:before="50" w:after="50"/>
        <w:ind w:firstLine="360" w:firstLineChars="150"/>
        <w:rPr>
          <w:rFonts w:hint="eastAsia" w:ascii="宋体" w:hAnsi="宋体" w:eastAsia="宋体" w:cs="宋体"/>
          <w:bCs/>
          <w:color w:val="auto"/>
          <w:sz w:val="24"/>
          <w:szCs w:val="24"/>
          <w:highlight w:val="none"/>
        </w:rPr>
      </w:pPr>
    </w:p>
    <w:p w14:paraId="17AFE849">
      <w:pPr>
        <w:pStyle w:val="8"/>
        <w:snapToGrid w:val="0"/>
        <w:spacing w:before="50" w:after="50"/>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w:t>
      </w:r>
    </w:p>
    <w:p w14:paraId="4BA14CB7">
      <w:pPr>
        <w:pStyle w:val="8"/>
        <w:snapToGrid w:val="0"/>
        <w:spacing w:before="50" w:after="50"/>
        <w:ind w:firstLine="360" w:firstLineChars="150"/>
        <w:rPr>
          <w:rFonts w:hint="eastAsia" w:ascii="宋体" w:hAnsi="宋体" w:eastAsia="宋体" w:cs="宋体"/>
          <w:bCs/>
          <w:color w:val="auto"/>
          <w:sz w:val="24"/>
          <w:szCs w:val="24"/>
          <w:highlight w:val="none"/>
        </w:rPr>
      </w:pPr>
    </w:p>
    <w:p w14:paraId="44001316">
      <w:pPr>
        <w:pStyle w:val="8"/>
        <w:snapToGrid w:val="0"/>
        <w:spacing w:before="50" w:after="50"/>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供应商地址：</w:t>
      </w:r>
    </w:p>
    <w:p w14:paraId="116FFED4">
      <w:pPr>
        <w:pStyle w:val="8"/>
        <w:snapToGrid w:val="0"/>
        <w:spacing w:before="50" w:after="50"/>
        <w:ind w:firstLine="360" w:firstLineChars="150"/>
        <w:rPr>
          <w:rFonts w:hint="eastAsia" w:ascii="宋体" w:hAnsi="宋体" w:eastAsia="宋体" w:cs="宋体"/>
          <w:bCs/>
          <w:color w:val="auto"/>
          <w:sz w:val="24"/>
          <w:szCs w:val="24"/>
          <w:highlight w:val="none"/>
        </w:rPr>
      </w:pPr>
    </w:p>
    <w:p w14:paraId="0CA63C70">
      <w:pPr>
        <w:pStyle w:val="8"/>
        <w:snapToGrid w:val="0"/>
        <w:spacing w:before="50" w:after="50"/>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在  </w:t>
      </w:r>
      <w:r>
        <w:rPr>
          <w:rFonts w:hint="eastAsia" w:ascii="宋体" w:hAnsi="宋体" w:eastAsia="宋体" w:cs="宋体"/>
          <w:bCs/>
          <w:color w:val="auto"/>
          <w:sz w:val="24"/>
          <w:szCs w:val="24"/>
          <w:highlight w:val="none"/>
          <w:lang w:val="en-US" w:eastAsia="zh-CN"/>
        </w:rPr>
        <w:t>2025</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9月16日</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17</w:t>
      </w:r>
      <w:r>
        <w:rPr>
          <w:rFonts w:hint="eastAsia" w:ascii="宋体" w:hAnsi="宋体" w:eastAsia="宋体" w:cs="宋体"/>
          <w:bCs/>
          <w:color w:val="auto"/>
          <w:sz w:val="24"/>
          <w:szCs w:val="24"/>
          <w:highlight w:val="none"/>
        </w:rPr>
        <w:t>时</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分之前不得启封</w:t>
      </w:r>
    </w:p>
    <w:p w14:paraId="254C4DC8">
      <w:pPr>
        <w:snapToGrid w:val="0"/>
        <w:spacing w:before="120" w:beforeLines="50" w:after="50"/>
        <w:ind w:firstLine="645"/>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年    月    日</w:t>
      </w:r>
    </w:p>
    <w:p w14:paraId="70EF0587">
      <w:pPr>
        <w:spacing w:line="360" w:lineRule="auto"/>
        <w:rPr>
          <w:rFonts w:hint="eastAsia" w:ascii="宋体" w:hAnsi="宋体" w:eastAsia="宋体" w:cs="宋体"/>
          <w:color w:val="auto"/>
          <w:sz w:val="24"/>
          <w:szCs w:val="24"/>
          <w:highlight w:val="none"/>
        </w:rPr>
      </w:pPr>
    </w:p>
    <w:p w14:paraId="60999D40">
      <w:pPr>
        <w:pStyle w:val="14"/>
        <w:tabs>
          <w:tab w:val="left" w:pos="7380"/>
        </w:tabs>
        <w:spacing w:line="360" w:lineRule="auto"/>
        <w:ind w:right="-153" w:rightChars="-73" w:firstLine="360" w:firstLineChars="150"/>
        <w:rPr>
          <w:rFonts w:hint="eastAsia" w:ascii="宋体" w:hAnsi="宋体" w:eastAsia="宋体" w:cs="宋体"/>
          <w:color w:val="auto"/>
          <w:sz w:val="24"/>
          <w:szCs w:val="24"/>
          <w:highlight w:val="none"/>
        </w:rPr>
      </w:pPr>
    </w:p>
    <w:p w14:paraId="494E9430">
      <w:pPr>
        <w:rPr>
          <w:rFonts w:hint="eastAsia" w:ascii="宋体" w:hAnsi="宋体" w:eastAsia="宋体" w:cs="宋体"/>
          <w:color w:val="auto"/>
          <w:sz w:val="24"/>
          <w:szCs w:val="24"/>
          <w:highlight w:val="none"/>
        </w:rPr>
      </w:pPr>
    </w:p>
    <w:p w14:paraId="7232BBA3">
      <w:pPr>
        <w:rPr>
          <w:rFonts w:hint="eastAsia" w:ascii="宋体" w:hAnsi="宋体" w:eastAsia="宋体" w:cs="宋体"/>
          <w:color w:val="auto"/>
          <w:sz w:val="24"/>
          <w:szCs w:val="24"/>
          <w:highlight w:val="none"/>
        </w:rPr>
      </w:pPr>
    </w:p>
    <w:p w14:paraId="02787337">
      <w:pPr>
        <w:pStyle w:val="2"/>
        <w:rPr>
          <w:rFonts w:hint="eastAsia" w:ascii="宋体" w:hAnsi="宋体" w:eastAsia="宋体" w:cs="宋体"/>
          <w:color w:val="auto"/>
          <w:sz w:val="24"/>
          <w:szCs w:val="24"/>
          <w:highlight w:val="none"/>
        </w:rPr>
      </w:pPr>
    </w:p>
    <w:p w14:paraId="69C56E87">
      <w:pPr>
        <w:pStyle w:val="2"/>
        <w:rPr>
          <w:rFonts w:hint="eastAsia" w:ascii="宋体" w:hAnsi="宋体" w:eastAsia="宋体" w:cs="宋体"/>
          <w:color w:val="auto"/>
          <w:sz w:val="24"/>
          <w:szCs w:val="24"/>
          <w:highlight w:val="none"/>
        </w:rPr>
      </w:pPr>
    </w:p>
    <w:p w14:paraId="396BFE91">
      <w:pPr>
        <w:pStyle w:val="2"/>
        <w:rPr>
          <w:rFonts w:hint="eastAsia" w:ascii="宋体" w:hAnsi="宋体" w:eastAsia="宋体" w:cs="宋体"/>
          <w:color w:val="auto"/>
          <w:sz w:val="24"/>
          <w:szCs w:val="24"/>
          <w:highlight w:val="none"/>
        </w:rPr>
      </w:pPr>
    </w:p>
    <w:p w14:paraId="068B5A97">
      <w:pPr>
        <w:rPr>
          <w:rFonts w:hint="eastAsia" w:ascii="宋体" w:hAnsi="宋体" w:eastAsia="宋体" w:cs="宋体"/>
          <w:color w:val="auto"/>
          <w:sz w:val="24"/>
          <w:szCs w:val="24"/>
          <w:highlight w:val="none"/>
        </w:rPr>
      </w:pPr>
    </w:p>
    <w:p w14:paraId="5FB6D4FB">
      <w:pPr>
        <w:adjustRightInd w:val="0"/>
        <w:snapToGrid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报价表：综保区查验场指示牌制作采购项目报价清单</w:t>
      </w:r>
    </w:p>
    <w:tbl>
      <w:tblPr>
        <w:tblStyle w:val="23"/>
        <w:tblW w:w="13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8"/>
        <w:gridCol w:w="659"/>
        <w:gridCol w:w="4157"/>
        <w:gridCol w:w="1050"/>
        <w:gridCol w:w="915"/>
        <w:gridCol w:w="870"/>
        <w:gridCol w:w="1275"/>
        <w:gridCol w:w="1485"/>
        <w:gridCol w:w="1486"/>
        <w:gridCol w:w="1115"/>
      </w:tblGrid>
      <w:tr w14:paraId="5C4BD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366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D6F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综保区指示牌报价清单</w:t>
            </w:r>
          </w:p>
        </w:tc>
      </w:tr>
      <w:tr w14:paraId="10ED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F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B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E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   容</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49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4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F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6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9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效果图</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D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4A6CA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1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4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标识牌</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A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标识牌，1.5铝板 压边，反光3M车贴过膜过，76镀锌管立柱，3*5镀锌方管斜撑。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6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长：1.7米</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2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宽：0.95米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A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9D88">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53C2">
            <w:pPr>
              <w:jc w:val="center"/>
              <w:rPr>
                <w:rFonts w:hint="eastAsia" w:ascii="宋体" w:hAnsi="宋体" w:eastAsia="宋体" w:cs="宋体"/>
                <w:i w:val="0"/>
                <w:iCs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F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001395" cy="832485"/>
                  <wp:effectExtent l="0" t="0" r="8255"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001395" cy="832485"/>
                          </a:xfrm>
                          <a:prstGeom prst="rect">
                            <a:avLst/>
                          </a:prstGeom>
                          <a:noFill/>
                          <a:ln w="9525">
                            <a:noFill/>
                          </a:ln>
                        </pic:spPr>
                      </pic:pic>
                    </a:graphicData>
                  </a:graphic>
                </wp:inline>
              </w:drawing>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0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东西卡口标识牌</w:t>
            </w:r>
          </w:p>
        </w:tc>
      </w:tr>
      <w:tr w14:paraId="63543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9"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8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E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不锈钢牌</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BA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牌匾尺寸：2米X1.5米、 立柱总高度3米：为直径76不锈钢201圆管、面板为不锈钢、</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2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长：2米</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3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宽：1.5米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D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189E">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2073">
            <w:pPr>
              <w:jc w:val="center"/>
              <w:rPr>
                <w:rFonts w:hint="eastAsia" w:ascii="宋体" w:hAnsi="宋体" w:eastAsia="宋体" w:cs="宋体"/>
                <w:i w:val="0"/>
                <w:iCs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6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416685" cy="909955"/>
                  <wp:effectExtent l="0" t="0" r="12065" b="444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1416685" cy="909955"/>
                          </a:xfrm>
                          <a:prstGeom prst="rect">
                            <a:avLst/>
                          </a:prstGeom>
                          <a:noFill/>
                          <a:ln w="9525">
                            <a:noFill/>
                          </a:ln>
                        </pic:spPr>
                      </pic:pic>
                    </a:graphicData>
                  </a:graphic>
                </wp:inline>
              </w:drawing>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C041">
            <w:pPr>
              <w:jc w:val="center"/>
              <w:rPr>
                <w:rFonts w:hint="eastAsia" w:ascii="宋体" w:hAnsi="宋体" w:eastAsia="宋体" w:cs="宋体"/>
                <w:i w:val="0"/>
                <w:iCs w:val="0"/>
                <w:color w:val="000000"/>
                <w:sz w:val="22"/>
                <w:szCs w:val="22"/>
                <w:u w:val="none"/>
              </w:rPr>
            </w:pPr>
          </w:p>
        </w:tc>
      </w:tr>
      <w:tr w14:paraId="28A30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3"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6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B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画面</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B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户外高清车贴过膜2米X1.5米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F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长：2米</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D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宽：1.5米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7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4E6A">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A65D">
            <w:pPr>
              <w:jc w:val="center"/>
              <w:rPr>
                <w:rFonts w:hint="eastAsia" w:ascii="宋体" w:hAnsi="宋体" w:eastAsia="宋体" w:cs="宋体"/>
                <w:i w:val="0"/>
                <w:iCs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5BDA">
            <w:pPr>
              <w:rPr>
                <w:rFonts w:hint="eastAsia" w:ascii="宋体" w:hAnsi="宋体" w:eastAsia="宋体" w:cs="宋体"/>
                <w:i w:val="0"/>
                <w:iCs w:val="0"/>
                <w:color w:val="FF0000"/>
                <w:sz w:val="22"/>
                <w:szCs w:val="22"/>
                <w:u w:val="none"/>
              </w:rPr>
            </w:pPr>
            <w:r>
              <w:drawing>
                <wp:inline distT="0" distB="0" distL="114300" distR="114300">
                  <wp:extent cx="1416685" cy="909955"/>
                  <wp:effectExtent l="0" t="0" r="12065" b="444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5"/>
                          <a:stretch>
                            <a:fillRect/>
                          </a:stretch>
                        </pic:blipFill>
                        <pic:spPr>
                          <a:xfrm>
                            <a:off x="0" y="0"/>
                            <a:ext cx="1416685" cy="909955"/>
                          </a:xfrm>
                          <a:prstGeom prst="rect">
                            <a:avLst/>
                          </a:prstGeom>
                          <a:noFill/>
                          <a:ln w="9525">
                            <a:noFill/>
                          </a:ln>
                        </pic:spPr>
                      </pic:pic>
                    </a:graphicData>
                  </a:graphic>
                </wp:inline>
              </w:drawing>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D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直行3个，左转4个，右转3个2个查验停车指示牌</w:t>
            </w:r>
          </w:p>
        </w:tc>
      </w:tr>
      <w:tr w14:paraId="485FB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1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3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标识牌</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8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户外高清车贴过膜150X10CM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4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长：150CM</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2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宽：10CM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4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1115">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8F40">
            <w:pPr>
              <w:jc w:val="center"/>
              <w:rPr>
                <w:rFonts w:hint="eastAsia" w:ascii="宋体" w:hAnsi="宋体" w:eastAsia="宋体" w:cs="宋体"/>
                <w:i w:val="0"/>
                <w:iCs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9400">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综保区卡口值班室电话0777-3881175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1EEB5">
            <w:pPr>
              <w:rPr>
                <w:rFonts w:hint="eastAsia" w:ascii="宋体" w:hAnsi="宋体" w:eastAsia="宋体" w:cs="宋体"/>
                <w:i w:val="0"/>
                <w:iCs w:val="0"/>
                <w:color w:val="000000"/>
                <w:sz w:val="22"/>
                <w:szCs w:val="22"/>
                <w:u w:val="none"/>
              </w:rPr>
            </w:pPr>
          </w:p>
        </w:tc>
      </w:tr>
      <w:tr w14:paraId="45FD1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A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9" w:type="dxa"/>
            <w:vMerge w:val="restart"/>
            <w:tcBorders>
              <w:top w:val="single" w:color="000000" w:sz="4" w:space="0"/>
              <w:left w:val="single" w:color="000000" w:sz="4" w:space="0"/>
              <w:bottom w:val="nil"/>
              <w:right w:val="nil"/>
            </w:tcBorders>
            <w:shd w:val="clear" w:color="auto" w:fill="auto"/>
            <w:vAlign w:val="center"/>
          </w:tcPr>
          <w:p w14:paraId="64D4A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辅助材料</w:t>
            </w:r>
          </w:p>
        </w:tc>
        <w:tc>
          <w:tcPr>
            <w:tcW w:w="4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C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DB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A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72CA">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A7AA">
            <w:pPr>
              <w:jc w:val="center"/>
              <w:rPr>
                <w:rFonts w:hint="eastAsia" w:ascii="宋体" w:hAnsi="宋体" w:eastAsia="宋体" w:cs="宋体"/>
                <w:i w:val="0"/>
                <w:iCs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5E73">
            <w:pPr>
              <w:rPr>
                <w:rFonts w:hint="eastAsia" w:ascii="宋体" w:hAnsi="宋体" w:eastAsia="宋体" w:cs="宋体"/>
                <w:i w:val="0"/>
                <w:iCs w:val="0"/>
                <w:color w:val="FF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7EC2A">
            <w:pPr>
              <w:rPr>
                <w:rFonts w:hint="eastAsia" w:ascii="宋体" w:hAnsi="宋体" w:eastAsia="宋体" w:cs="宋体"/>
                <w:i w:val="0"/>
                <w:iCs w:val="0"/>
                <w:color w:val="000000"/>
                <w:sz w:val="22"/>
                <w:szCs w:val="22"/>
                <w:u w:val="none"/>
              </w:rPr>
            </w:pPr>
          </w:p>
        </w:tc>
      </w:tr>
      <w:tr w14:paraId="34669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1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59" w:type="dxa"/>
            <w:vMerge w:val="continue"/>
            <w:tcBorders>
              <w:top w:val="single" w:color="000000" w:sz="4" w:space="0"/>
              <w:left w:val="single" w:color="000000" w:sz="4" w:space="0"/>
              <w:bottom w:val="nil"/>
              <w:right w:val="nil"/>
            </w:tcBorders>
            <w:shd w:val="clear" w:color="auto" w:fill="auto"/>
            <w:vAlign w:val="center"/>
          </w:tcPr>
          <w:p w14:paraId="7E13226B">
            <w:pPr>
              <w:jc w:val="center"/>
              <w:rPr>
                <w:rFonts w:hint="eastAsia" w:ascii="宋体" w:hAnsi="宋体" w:eastAsia="宋体" w:cs="宋体"/>
                <w:i w:val="0"/>
                <w:iCs w:val="0"/>
                <w:color w:val="000000"/>
                <w:sz w:val="22"/>
                <w:szCs w:val="22"/>
                <w:u w:val="none"/>
              </w:rPr>
            </w:pPr>
          </w:p>
        </w:tc>
        <w:tc>
          <w:tcPr>
            <w:tcW w:w="4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8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3C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B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53E9">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9848">
            <w:pPr>
              <w:jc w:val="center"/>
              <w:rPr>
                <w:rFonts w:hint="eastAsia" w:ascii="宋体" w:hAnsi="宋体" w:eastAsia="宋体" w:cs="宋体"/>
                <w:i w:val="0"/>
                <w:iCs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69E1">
            <w:pPr>
              <w:rPr>
                <w:rFonts w:hint="eastAsia" w:ascii="宋体" w:hAnsi="宋体" w:eastAsia="宋体" w:cs="宋体"/>
                <w:i w:val="0"/>
                <w:iCs w:val="0"/>
                <w:color w:val="FF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232D6">
            <w:pPr>
              <w:rPr>
                <w:rFonts w:hint="eastAsia" w:ascii="宋体" w:hAnsi="宋体" w:eastAsia="宋体" w:cs="宋体"/>
                <w:i w:val="0"/>
                <w:iCs w:val="0"/>
                <w:color w:val="000000"/>
                <w:sz w:val="22"/>
                <w:szCs w:val="22"/>
                <w:u w:val="none"/>
              </w:rPr>
            </w:pPr>
          </w:p>
        </w:tc>
      </w:tr>
      <w:tr w14:paraId="64B55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B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5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安装及交通运输费</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26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3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13AA">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A368">
            <w:pPr>
              <w:jc w:val="center"/>
              <w:rPr>
                <w:rFonts w:hint="eastAsia" w:ascii="宋体" w:hAnsi="宋体" w:eastAsia="宋体" w:cs="宋体"/>
                <w:i w:val="0"/>
                <w:iCs w:val="0"/>
                <w:color w:val="000000"/>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DBEB">
            <w:pPr>
              <w:rPr>
                <w:rFonts w:hint="eastAsia" w:ascii="宋体" w:hAnsi="宋体" w:eastAsia="宋体" w:cs="宋体"/>
                <w:i w:val="0"/>
                <w:iCs w:val="0"/>
                <w:color w:val="FF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07B17">
            <w:pPr>
              <w:rPr>
                <w:rFonts w:hint="eastAsia" w:ascii="宋体" w:hAnsi="宋体" w:eastAsia="宋体" w:cs="宋体"/>
                <w:i w:val="0"/>
                <w:iCs w:val="0"/>
                <w:color w:val="000000"/>
                <w:sz w:val="22"/>
                <w:szCs w:val="22"/>
                <w:u w:val="none"/>
              </w:rPr>
            </w:pPr>
          </w:p>
        </w:tc>
      </w:tr>
      <w:tr w14:paraId="54742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957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055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不含税总价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6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4B9F">
            <w:pPr>
              <w:rPr>
                <w:rFonts w:hint="eastAsia" w:ascii="宋体" w:hAnsi="宋体" w:eastAsia="宋体" w:cs="宋体"/>
                <w:i w:val="0"/>
                <w:iCs w:val="0"/>
                <w:color w:val="FF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8BE7F9">
            <w:pPr>
              <w:rPr>
                <w:rFonts w:hint="eastAsia" w:ascii="宋体" w:hAnsi="宋体" w:eastAsia="宋体" w:cs="宋体"/>
                <w:i w:val="0"/>
                <w:iCs w:val="0"/>
                <w:color w:val="000000"/>
                <w:sz w:val="22"/>
                <w:szCs w:val="22"/>
                <w:u w:val="none"/>
              </w:rPr>
            </w:pPr>
          </w:p>
        </w:tc>
      </w:tr>
      <w:tr w14:paraId="582B4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3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4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税点</w:t>
            </w:r>
          </w:p>
        </w:tc>
        <w:tc>
          <w:tcPr>
            <w:tcW w:w="975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0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增值税专用发票税率</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B22D">
            <w:pPr>
              <w:rPr>
                <w:rFonts w:hint="eastAsia" w:ascii="宋体" w:hAnsi="宋体" w:eastAsia="宋体" w:cs="宋体"/>
                <w:i w:val="0"/>
                <w:iCs w:val="0"/>
                <w:color w:val="FF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D090F">
            <w:pPr>
              <w:rPr>
                <w:rFonts w:hint="eastAsia" w:ascii="宋体" w:hAnsi="宋体" w:eastAsia="宋体" w:cs="宋体"/>
                <w:i w:val="0"/>
                <w:iCs w:val="0"/>
                <w:color w:val="000000"/>
                <w:sz w:val="22"/>
                <w:szCs w:val="22"/>
                <w:u w:val="none"/>
              </w:rPr>
            </w:pPr>
          </w:p>
        </w:tc>
      </w:tr>
      <w:tr w14:paraId="782A0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AF29">
            <w:pPr>
              <w:jc w:val="left"/>
              <w:rPr>
                <w:rFonts w:hint="eastAsia" w:ascii="宋体" w:hAnsi="宋体" w:eastAsia="宋体" w:cs="宋体"/>
                <w:i w:val="0"/>
                <w:iCs w:val="0"/>
                <w:color w:val="000000"/>
                <w:sz w:val="22"/>
                <w:szCs w:val="22"/>
                <w:u w:val="none"/>
              </w:rPr>
            </w:pPr>
          </w:p>
        </w:tc>
        <w:tc>
          <w:tcPr>
            <w:tcW w:w="89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A16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含税总价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A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90D4">
            <w:pPr>
              <w:jc w:val="left"/>
              <w:rPr>
                <w:rFonts w:hint="eastAsia" w:ascii="宋体" w:hAnsi="宋体" w:eastAsia="宋体" w:cs="宋体"/>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B50C6">
            <w:pPr>
              <w:rPr>
                <w:rFonts w:hint="eastAsia" w:ascii="宋体" w:hAnsi="宋体" w:eastAsia="宋体" w:cs="宋体"/>
                <w:i w:val="0"/>
                <w:iCs w:val="0"/>
                <w:color w:val="000000"/>
                <w:sz w:val="22"/>
                <w:szCs w:val="22"/>
                <w:u w:val="none"/>
              </w:rPr>
            </w:pPr>
          </w:p>
        </w:tc>
      </w:tr>
      <w:tr w14:paraId="584C3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648" w:type="dxa"/>
            <w:tcBorders>
              <w:top w:val="nil"/>
              <w:left w:val="nil"/>
              <w:bottom w:val="nil"/>
              <w:right w:val="nil"/>
            </w:tcBorders>
            <w:shd w:val="clear" w:color="auto" w:fill="auto"/>
            <w:noWrap/>
            <w:vAlign w:val="center"/>
          </w:tcPr>
          <w:p w14:paraId="32917140">
            <w:pPr>
              <w:rPr>
                <w:rFonts w:hint="eastAsia" w:ascii="宋体" w:hAnsi="宋体" w:eastAsia="宋体" w:cs="宋体"/>
                <w:i w:val="0"/>
                <w:iCs w:val="0"/>
                <w:color w:val="000000"/>
                <w:sz w:val="22"/>
                <w:szCs w:val="22"/>
                <w:u w:val="none"/>
              </w:rPr>
            </w:pPr>
          </w:p>
        </w:tc>
        <w:tc>
          <w:tcPr>
            <w:tcW w:w="659" w:type="dxa"/>
            <w:tcBorders>
              <w:top w:val="nil"/>
              <w:left w:val="nil"/>
              <w:bottom w:val="nil"/>
              <w:right w:val="nil"/>
            </w:tcBorders>
            <w:shd w:val="clear" w:color="auto" w:fill="auto"/>
            <w:noWrap/>
            <w:vAlign w:val="center"/>
          </w:tcPr>
          <w:p w14:paraId="05CD2AFC">
            <w:pPr>
              <w:rPr>
                <w:rFonts w:hint="eastAsia" w:ascii="宋体" w:hAnsi="宋体" w:eastAsia="宋体" w:cs="宋体"/>
                <w:i w:val="0"/>
                <w:iCs w:val="0"/>
                <w:color w:val="000000"/>
                <w:sz w:val="22"/>
                <w:szCs w:val="22"/>
                <w:u w:val="none"/>
              </w:rPr>
            </w:pPr>
          </w:p>
        </w:tc>
        <w:tc>
          <w:tcPr>
            <w:tcW w:w="4157" w:type="dxa"/>
            <w:tcBorders>
              <w:top w:val="nil"/>
              <w:left w:val="nil"/>
              <w:bottom w:val="nil"/>
              <w:right w:val="nil"/>
            </w:tcBorders>
            <w:shd w:val="clear" w:color="auto" w:fill="auto"/>
            <w:noWrap/>
            <w:vAlign w:val="center"/>
          </w:tcPr>
          <w:p w14:paraId="1583AAE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供应商名称（章）：                                       </w:t>
            </w:r>
          </w:p>
        </w:tc>
        <w:tc>
          <w:tcPr>
            <w:tcW w:w="1050" w:type="dxa"/>
            <w:tcBorders>
              <w:top w:val="nil"/>
              <w:left w:val="nil"/>
              <w:bottom w:val="nil"/>
              <w:right w:val="nil"/>
            </w:tcBorders>
            <w:shd w:val="clear" w:color="auto" w:fill="auto"/>
            <w:vAlign w:val="center"/>
          </w:tcPr>
          <w:p w14:paraId="1A315DA6">
            <w:pPr>
              <w:jc w:val="cente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vAlign w:val="center"/>
          </w:tcPr>
          <w:p w14:paraId="6EB682FD">
            <w:pPr>
              <w:jc w:val="center"/>
              <w:rPr>
                <w:rFonts w:hint="eastAsia" w:ascii="宋体" w:hAnsi="宋体" w:eastAsia="宋体" w:cs="宋体"/>
                <w:i w:val="0"/>
                <w:iCs w:val="0"/>
                <w:color w:val="000000"/>
                <w:sz w:val="22"/>
                <w:szCs w:val="22"/>
                <w:u w:val="none"/>
              </w:rPr>
            </w:pPr>
          </w:p>
        </w:tc>
        <w:tc>
          <w:tcPr>
            <w:tcW w:w="870" w:type="dxa"/>
            <w:tcBorders>
              <w:top w:val="nil"/>
              <w:left w:val="nil"/>
              <w:bottom w:val="nil"/>
              <w:right w:val="nil"/>
            </w:tcBorders>
            <w:shd w:val="clear" w:color="auto" w:fill="auto"/>
            <w:noWrap/>
            <w:vAlign w:val="center"/>
          </w:tcPr>
          <w:p w14:paraId="72F79D23">
            <w:pPr>
              <w:rPr>
                <w:rFonts w:hint="eastAsia" w:ascii="宋体" w:hAnsi="宋体" w:eastAsia="宋体" w:cs="宋体"/>
                <w:i w:val="0"/>
                <w:iCs w:val="0"/>
                <w:color w:val="000000"/>
                <w:sz w:val="22"/>
                <w:szCs w:val="22"/>
                <w:u w:val="none"/>
              </w:rPr>
            </w:pPr>
          </w:p>
        </w:tc>
        <w:tc>
          <w:tcPr>
            <w:tcW w:w="1275" w:type="dxa"/>
            <w:tcBorders>
              <w:top w:val="nil"/>
              <w:left w:val="nil"/>
              <w:bottom w:val="nil"/>
              <w:right w:val="nil"/>
            </w:tcBorders>
            <w:shd w:val="clear" w:color="auto" w:fill="auto"/>
            <w:noWrap/>
            <w:vAlign w:val="center"/>
          </w:tcPr>
          <w:p w14:paraId="7150E1E6">
            <w:pPr>
              <w:rPr>
                <w:rFonts w:hint="eastAsia" w:ascii="宋体" w:hAnsi="宋体" w:eastAsia="宋体" w:cs="宋体"/>
                <w:i w:val="0"/>
                <w:iCs w:val="0"/>
                <w:color w:val="000000"/>
                <w:sz w:val="22"/>
                <w:szCs w:val="22"/>
                <w:u w:val="none"/>
              </w:rPr>
            </w:pPr>
          </w:p>
        </w:tc>
        <w:tc>
          <w:tcPr>
            <w:tcW w:w="1485" w:type="dxa"/>
            <w:tcBorders>
              <w:top w:val="nil"/>
              <w:left w:val="nil"/>
              <w:bottom w:val="nil"/>
              <w:right w:val="nil"/>
            </w:tcBorders>
            <w:shd w:val="clear" w:color="auto" w:fill="auto"/>
            <w:noWrap/>
            <w:vAlign w:val="center"/>
          </w:tcPr>
          <w:p w14:paraId="0C75CD37">
            <w:pPr>
              <w:rPr>
                <w:rFonts w:hint="eastAsia" w:ascii="宋体" w:hAnsi="宋体" w:eastAsia="宋体" w:cs="宋体"/>
                <w:i w:val="0"/>
                <w:iCs w:val="0"/>
                <w:color w:val="000000"/>
                <w:sz w:val="22"/>
                <w:szCs w:val="22"/>
                <w:u w:val="none"/>
              </w:rPr>
            </w:pPr>
          </w:p>
        </w:tc>
        <w:tc>
          <w:tcPr>
            <w:tcW w:w="1486" w:type="dxa"/>
            <w:tcBorders>
              <w:top w:val="nil"/>
              <w:left w:val="nil"/>
              <w:bottom w:val="nil"/>
              <w:right w:val="nil"/>
            </w:tcBorders>
            <w:shd w:val="clear" w:color="auto" w:fill="auto"/>
            <w:noWrap/>
            <w:vAlign w:val="center"/>
          </w:tcPr>
          <w:p w14:paraId="0B6FAB03">
            <w:pPr>
              <w:rPr>
                <w:rFonts w:hint="eastAsia" w:ascii="宋体" w:hAnsi="宋体" w:eastAsia="宋体" w:cs="宋体"/>
                <w:i w:val="0"/>
                <w:iCs w:val="0"/>
                <w:color w:val="000000"/>
                <w:sz w:val="22"/>
                <w:szCs w:val="22"/>
                <w:u w:val="none"/>
              </w:rPr>
            </w:pPr>
          </w:p>
        </w:tc>
        <w:tc>
          <w:tcPr>
            <w:tcW w:w="1115" w:type="dxa"/>
            <w:tcBorders>
              <w:top w:val="nil"/>
              <w:left w:val="nil"/>
              <w:bottom w:val="nil"/>
              <w:right w:val="nil"/>
            </w:tcBorders>
            <w:shd w:val="clear" w:color="auto" w:fill="auto"/>
            <w:noWrap/>
            <w:vAlign w:val="center"/>
          </w:tcPr>
          <w:p w14:paraId="5A10901C">
            <w:pPr>
              <w:rPr>
                <w:rFonts w:hint="eastAsia" w:ascii="宋体" w:hAnsi="宋体" w:eastAsia="宋体" w:cs="宋体"/>
                <w:i w:val="0"/>
                <w:iCs w:val="0"/>
                <w:color w:val="000000"/>
                <w:sz w:val="22"/>
                <w:szCs w:val="22"/>
                <w:u w:val="none"/>
              </w:rPr>
            </w:pPr>
          </w:p>
        </w:tc>
      </w:tr>
      <w:tr w14:paraId="01365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648" w:type="dxa"/>
            <w:tcBorders>
              <w:top w:val="nil"/>
              <w:left w:val="nil"/>
              <w:bottom w:val="nil"/>
              <w:right w:val="nil"/>
            </w:tcBorders>
            <w:shd w:val="clear" w:color="auto" w:fill="auto"/>
            <w:noWrap/>
            <w:vAlign w:val="center"/>
          </w:tcPr>
          <w:p w14:paraId="5156C63B">
            <w:pPr>
              <w:rPr>
                <w:rFonts w:hint="eastAsia" w:ascii="宋体" w:hAnsi="宋体" w:eastAsia="宋体" w:cs="宋体"/>
                <w:i w:val="0"/>
                <w:iCs w:val="0"/>
                <w:color w:val="000000"/>
                <w:sz w:val="22"/>
                <w:szCs w:val="22"/>
                <w:u w:val="none"/>
              </w:rPr>
            </w:pPr>
          </w:p>
        </w:tc>
        <w:tc>
          <w:tcPr>
            <w:tcW w:w="659" w:type="dxa"/>
            <w:tcBorders>
              <w:top w:val="nil"/>
              <w:left w:val="nil"/>
              <w:bottom w:val="nil"/>
              <w:right w:val="nil"/>
            </w:tcBorders>
            <w:shd w:val="clear" w:color="auto" w:fill="auto"/>
            <w:noWrap/>
            <w:vAlign w:val="center"/>
          </w:tcPr>
          <w:p w14:paraId="56CCCD99">
            <w:pPr>
              <w:rPr>
                <w:rFonts w:hint="eastAsia" w:ascii="宋体" w:hAnsi="宋体" w:eastAsia="宋体" w:cs="宋体"/>
                <w:i w:val="0"/>
                <w:iCs w:val="0"/>
                <w:color w:val="000000"/>
                <w:sz w:val="22"/>
                <w:szCs w:val="22"/>
                <w:u w:val="none"/>
              </w:rPr>
            </w:pPr>
          </w:p>
        </w:tc>
        <w:tc>
          <w:tcPr>
            <w:tcW w:w="4157" w:type="dxa"/>
            <w:tcBorders>
              <w:top w:val="nil"/>
              <w:left w:val="nil"/>
              <w:bottom w:val="nil"/>
              <w:right w:val="nil"/>
            </w:tcBorders>
            <w:shd w:val="clear" w:color="auto" w:fill="auto"/>
            <w:noWrap/>
            <w:vAlign w:val="center"/>
          </w:tcPr>
          <w:p w14:paraId="37AED16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法定代表人或授权的代理人（签章/字） ：      </w:t>
            </w:r>
          </w:p>
        </w:tc>
        <w:tc>
          <w:tcPr>
            <w:tcW w:w="1050" w:type="dxa"/>
            <w:tcBorders>
              <w:top w:val="nil"/>
              <w:left w:val="nil"/>
              <w:bottom w:val="nil"/>
              <w:right w:val="nil"/>
            </w:tcBorders>
            <w:shd w:val="clear" w:color="auto" w:fill="auto"/>
            <w:vAlign w:val="center"/>
          </w:tcPr>
          <w:p w14:paraId="1167CD21">
            <w:pPr>
              <w:jc w:val="cente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vAlign w:val="center"/>
          </w:tcPr>
          <w:p w14:paraId="6FC997FF">
            <w:pPr>
              <w:jc w:val="center"/>
              <w:rPr>
                <w:rFonts w:hint="eastAsia" w:ascii="宋体" w:hAnsi="宋体" w:eastAsia="宋体" w:cs="宋体"/>
                <w:i w:val="0"/>
                <w:iCs w:val="0"/>
                <w:color w:val="000000"/>
                <w:sz w:val="22"/>
                <w:szCs w:val="22"/>
                <w:u w:val="none"/>
              </w:rPr>
            </w:pPr>
          </w:p>
        </w:tc>
        <w:tc>
          <w:tcPr>
            <w:tcW w:w="870" w:type="dxa"/>
            <w:tcBorders>
              <w:top w:val="nil"/>
              <w:left w:val="nil"/>
              <w:bottom w:val="nil"/>
              <w:right w:val="nil"/>
            </w:tcBorders>
            <w:shd w:val="clear" w:color="auto" w:fill="auto"/>
            <w:noWrap/>
            <w:vAlign w:val="center"/>
          </w:tcPr>
          <w:p w14:paraId="624B24D0">
            <w:pPr>
              <w:rPr>
                <w:rFonts w:hint="eastAsia" w:ascii="宋体" w:hAnsi="宋体" w:eastAsia="宋体" w:cs="宋体"/>
                <w:i w:val="0"/>
                <w:iCs w:val="0"/>
                <w:color w:val="000000"/>
                <w:sz w:val="22"/>
                <w:szCs w:val="22"/>
                <w:u w:val="none"/>
              </w:rPr>
            </w:pPr>
          </w:p>
        </w:tc>
        <w:tc>
          <w:tcPr>
            <w:tcW w:w="1275" w:type="dxa"/>
            <w:tcBorders>
              <w:top w:val="nil"/>
              <w:left w:val="nil"/>
              <w:bottom w:val="nil"/>
              <w:right w:val="nil"/>
            </w:tcBorders>
            <w:shd w:val="clear" w:color="auto" w:fill="auto"/>
            <w:noWrap/>
            <w:vAlign w:val="center"/>
          </w:tcPr>
          <w:p w14:paraId="53A8FA52">
            <w:pPr>
              <w:rPr>
                <w:rFonts w:hint="eastAsia" w:ascii="宋体" w:hAnsi="宋体" w:eastAsia="宋体" w:cs="宋体"/>
                <w:i w:val="0"/>
                <w:iCs w:val="0"/>
                <w:color w:val="000000"/>
                <w:sz w:val="22"/>
                <w:szCs w:val="22"/>
                <w:u w:val="none"/>
              </w:rPr>
            </w:pPr>
          </w:p>
        </w:tc>
        <w:tc>
          <w:tcPr>
            <w:tcW w:w="1485" w:type="dxa"/>
            <w:tcBorders>
              <w:top w:val="nil"/>
              <w:left w:val="nil"/>
              <w:bottom w:val="nil"/>
              <w:right w:val="nil"/>
            </w:tcBorders>
            <w:shd w:val="clear" w:color="auto" w:fill="auto"/>
            <w:noWrap/>
            <w:vAlign w:val="center"/>
          </w:tcPr>
          <w:p w14:paraId="7418F892">
            <w:pPr>
              <w:rPr>
                <w:rFonts w:hint="eastAsia" w:ascii="宋体" w:hAnsi="宋体" w:eastAsia="宋体" w:cs="宋体"/>
                <w:i w:val="0"/>
                <w:iCs w:val="0"/>
                <w:color w:val="000000"/>
                <w:sz w:val="22"/>
                <w:szCs w:val="22"/>
                <w:u w:val="none"/>
              </w:rPr>
            </w:pPr>
          </w:p>
        </w:tc>
        <w:tc>
          <w:tcPr>
            <w:tcW w:w="1486" w:type="dxa"/>
            <w:tcBorders>
              <w:top w:val="nil"/>
              <w:left w:val="nil"/>
              <w:bottom w:val="nil"/>
              <w:right w:val="nil"/>
            </w:tcBorders>
            <w:shd w:val="clear" w:color="auto" w:fill="auto"/>
            <w:noWrap/>
            <w:vAlign w:val="center"/>
          </w:tcPr>
          <w:p w14:paraId="354ABF8A">
            <w:pPr>
              <w:rPr>
                <w:rFonts w:hint="eastAsia" w:ascii="宋体" w:hAnsi="宋体" w:eastAsia="宋体" w:cs="宋体"/>
                <w:i w:val="0"/>
                <w:iCs w:val="0"/>
                <w:color w:val="000000"/>
                <w:sz w:val="22"/>
                <w:szCs w:val="22"/>
                <w:u w:val="none"/>
              </w:rPr>
            </w:pPr>
          </w:p>
        </w:tc>
        <w:tc>
          <w:tcPr>
            <w:tcW w:w="1115" w:type="dxa"/>
            <w:tcBorders>
              <w:top w:val="nil"/>
              <w:left w:val="nil"/>
              <w:bottom w:val="nil"/>
              <w:right w:val="nil"/>
            </w:tcBorders>
            <w:shd w:val="clear" w:color="auto" w:fill="auto"/>
            <w:noWrap/>
            <w:vAlign w:val="center"/>
          </w:tcPr>
          <w:p w14:paraId="04E82FE5">
            <w:pPr>
              <w:rPr>
                <w:rFonts w:hint="eastAsia" w:ascii="宋体" w:hAnsi="宋体" w:eastAsia="宋体" w:cs="宋体"/>
                <w:i w:val="0"/>
                <w:iCs w:val="0"/>
                <w:color w:val="000000"/>
                <w:sz w:val="22"/>
                <w:szCs w:val="22"/>
                <w:u w:val="none"/>
              </w:rPr>
            </w:pPr>
          </w:p>
        </w:tc>
      </w:tr>
      <w:tr w14:paraId="5A5DA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48" w:type="dxa"/>
            <w:tcBorders>
              <w:top w:val="nil"/>
              <w:left w:val="nil"/>
              <w:bottom w:val="nil"/>
              <w:right w:val="nil"/>
            </w:tcBorders>
            <w:shd w:val="clear" w:color="auto" w:fill="auto"/>
            <w:noWrap/>
            <w:vAlign w:val="center"/>
          </w:tcPr>
          <w:p w14:paraId="3DF627BD">
            <w:pPr>
              <w:rPr>
                <w:rFonts w:hint="eastAsia" w:ascii="宋体" w:hAnsi="宋体" w:eastAsia="宋体" w:cs="宋体"/>
                <w:i w:val="0"/>
                <w:iCs w:val="0"/>
                <w:color w:val="000000"/>
                <w:sz w:val="22"/>
                <w:szCs w:val="22"/>
                <w:u w:val="none"/>
              </w:rPr>
            </w:pPr>
          </w:p>
        </w:tc>
        <w:tc>
          <w:tcPr>
            <w:tcW w:w="659" w:type="dxa"/>
            <w:tcBorders>
              <w:top w:val="nil"/>
              <w:left w:val="nil"/>
              <w:bottom w:val="nil"/>
              <w:right w:val="nil"/>
            </w:tcBorders>
            <w:shd w:val="clear" w:color="auto" w:fill="auto"/>
            <w:noWrap/>
            <w:vAlign w:val="center"/>
          </w:tcPr>
          <w:p w14:paraId="7D810E30">
            <w:pPr>
              <w:rPr>
                <w:rFonts w:hint="eastAsia" w:ascii="宋体" w:hAnsi="宋体" w:eastAsia="宋体" w:cs="宋体"/>
                <w:i w:val="0"/>
                <w:iCs w:val="0"/>
                <w:color w:val="000000"/>
                <w:sz w:val="22"/>
                <w:szCs w:val="22"/>
                <w:u w:val="none"/>
              </w:rPr>
            </w:pPr>
          </w:p>
        </w:tc>
        <w:tc>
          <w:tcPr>
            <w:tcW w:w="4157" w:type="dxa"/>
            <w:tcBorders>
              <w:top w:val="nil"/>
              <w:left w:val="nil"/>
              <w:bottom w:val="nil"/>
              <w:right w:val="nil"/>
            </w:tcBorders>
            <w:shd w:val="clear" w:color="auto" w:fill="auto"/>
            <w:noWrap/>
            <w:vAlign w:val="center"/>
          </w:tcPr>
          <w:p w14:paraId="087955B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报价日期：</w:t>
            </w:r>
          </w:p>
        </w:tc>
        <w:tc>
          <w:tcPr>
            <w:tcW w:w="1050" w:type="dxa"/>
            <w:tcBorders>
              <w:top w:val="nil"/>
              <w:left w:val="nil"/>
              <w:bottom w:val="nil"/>
              <w:right w:val="nil"/>
            </w:tcBorders>
            <w:shd w:val="clear" w:color="auto" w:fill="auto"/>
            <w:vAlign w:val="center"/>
          </w:tcPr>
          <w:p w14:paraId="3FC5F587">
            <w:pPr>
              <w:jc w:val="cente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vAlign w:val="center"/>
          </w:tcPr>
          <w:p w14:paraId="0BB4BA39">
            <w:pPr>
              <w:jc w:val="center"/>
              <w:rPr>
                <w:rFonts w:hint="eastAsia" w:ascii="宋体" w:hAnsi="宋体" w:eastAsia="宋体" w:cs="宋体"/>
                <w:i w:val="0"/>
                <w:iCs w:val="0"/>
                <w:color w:val="000000"/>
                <w:sz w:val="22"/>
                <w:szCs w:val="22"/>
                <w:u w:val="none"/>
              </w:rPr>
            </w:pPr>
          </w:p>
        </w:tc>
        <w:tc>
          <w:tcPr>
            <w:tcW w:w="870" w:type="dxa"/>
            <w:tcBorders>
              <w:top w:val="nil"/>
              <w:left w:val="nil"/>
              <w:bottom w:val="nil"/>
              <w:right w:val="nil"/>
            </w:tcBorders>
            <w:shd w:val="clear" w:color="auto" w:fill="auto"/>
            <w:noWrap/>
            <w:vAlign w:val="center"/>
          </w:tcPr>
          <w:p w14:paraId="60F641C4">
            <w:pPr>
              <w:rPr>
                <w:rFonts w:hint="eastAsia" w:ascii="宋体" w:hAnsi="宋体" w:eastAsia="宋体" w:cs="宋体"/>
                <w:i w:val="0"/>
                <w:iCs w:val="0"/>
                <w:color w:val="000000"/>
                <w:sz w:val="22"/>
                <w:szCs w:val="22"/>
                <w:u w:val="none"/>
              </w:rPr>
            </w:pPr>
          </w:p>
        </w:tc>
        <w:tc>
          <w:tcPr>
            <w:tcW w:w="1275" w:type="dxa"/>
            <w:tcBorders>
              <w:top w:val="nil"/>
              <w:left w:val="nil"/>
              <w:bottom w:val="nil"/>
              <w:right w:val="nil"/>
            </w:tcBorders>
            <w:shd w:val="clear" w:color="auto" w:fill="auto"/>
            <w:noWrap/>
            <w:vAlign w:val="center"/>
          </w:tcPr>
          <w:p w14:paraId="3BDFAC71">
            <w:pPr>
              <w:rPr>
                <w:rFonts w:hint="eastAsia" w:ascii="宋体" w:hAnsi="宋体" w:eastAsia="宋体" w:cs="宋体"/>
                <w:i w:val="0"/>
                <w:iCs w:val="0"/>
                <w:color w:val="000000"/>
                <w:sz w:val="22"/>
                <w:szCs w:val="22"/>
                <w:u w:val="none"/>
              </w:rPr>
            </w:pPr>
          </w:p>
        </w:tc>
        <w:tc>
          <w:tcPr>
            <w:tcW w:w="1485" w:type="dxa"/>
            <w:tcBorders>
              <w:top w:val="nil"/>
              <w:left w:val="nil"/>
              <w:bottom w:val="nil"/>
              <w:right w:val="nil"/>
            </w:tcBorders>
            <w:shd w:val="clear" w:color="auto" w:fill="auto"/>
            <w:noWrap/>
            <w:vAlign w:val="center"/>
          </w:tcPr>
          <w:p w14:paraId="49E9FC43">
            <w:pPr>
              <w:rPr>
                <w:rFonts w:hint="eastAsia" w:ascii="宋体" w:hAnsi="宋体" w:eastAsia="宋体" w:cs="宋体"/>
                <w:i w:val="0"/>
                <w:iCs w:val="0"/>
                <w:color w:val="000000"/>
                <w:sz w:val="22"/>
                <w:szCs w:val="22"/>
                <w:u w:val="none"/>
              </w:rPr>
            </w:pPr>
          </w:p>
        </w:tc>
        <w:tc>
          <w:tcPr>
            <w:tcW w:w="1486" w:type="dxa"/>
            <w:tcBorders>
              <w:top w:val="nil"/>
              <w:left w:val="nil"/>
              <w:bottom w:val="nil"/>
              <w:right w:val="nil"/>
            </w:tcBorders>
            <w:shd w:val="clear" w:color="auto" w:fill="auto"/>
            <w:noWrap/>
            <w:vAlign w:val="center"/>
          </w:tcPr>
          <w:p w14:paraId="02A26E36">
            <w:pPr>
              <w:rPr>
                <w:rFonts w:hint="eastAsia" w:ascii="宋体" w:hAnsi="宋体" w:eastAsia="宋体" w:cs="宋体"/>
                <w:i w:val="0"/>
                <w:iCs w:val="0"/>
                <w:color w:val="000000"/>
                <w:sz w:val="22"/>
                <w:szCs w:val="22"/>
                <w:u w:val="none"/>
              </w:rPr>
            </w:pPr>
          </w:p>
        </w:tc>
        <w:tc>
          <w:tcPr>
            <w:tcW w:w="1115" w:type="dxa"/>
            <w:tcBorders>
              <w:top w:val="nil"/>
              <w:left w:val="nil"/>
              <w:bottom w:val="nil"/>
              <w:right w:val="nil"/>
            </w:tcBorders>
            <w:shd w:val="clear" w:color="auto" w:fill="auto"/>
            <w:noWrap/>
            <w:vAlign w:val="center"/>
          </w:tcPr>
          <w:p w14:paraId="0C44B183">
            <w:pPr>
              <w:rPr>
                <w:rFonts w:hint="eastAsia" w:ascii="宋体" w:hAnsi="宋体" w:eastAsia="宋体" w:cs="宋体"/>
                <w:i w:val="0"/>
                <w:iCs w:val="0"/>
                <w:color w:val="000000"/>
                <w:sz w:val="22"/>
                <w:szCs w:val="22"/>
                <w:u w:val="none"/>
              </w:rPr>
            </w:pPr>
          </w:p>
        </w:tc>
      </w:tr>
    </w:tbl>
    <w:p w14:paraId="53FA8B60">
      <w:pPr>
        <w:pStyle w:val="52"/>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 xml:space="preserve">                  </w:t>
      </w:r>
    </w:p>
    <w:sectPr>
      <w:pgSz w:w="16838" w:h="11906" w:orient="landscape"/>
      <w:pgMar w:top="1531" w:right="1440" w:bottom="1417"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570477E"/>
    <w:rsid w:val="1B4D5548"/>
    <w:rsid w:val="230925FB"/>
    <w:rsid w:val="2BB467EE"/>
    <w:rsid w:val="452D60FF"/>
    <w:rsid w:val="45737439"/>
    <w:rsid w:val="45BA7FB4"/>
    <w:rsid w:val="597A58EC"/>
    <w:rsid w:val="5AB95B3F"/>
    <w:rsid w:val="666905E2"/>
    <w:rsid w:val="718526AF"/>
    <w:rsid w:val="73B47F71"/>
    <w:rsid w:val="7D8D65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footer"/>
    <w:basedOn w:val="1"/>
    <w:link w:val="31"/>
    <w:unhideWhenUsed/>
    <w:qFormat/>
    <w:uiPriority w:val="99"/>
    <w:pPr>
      <w:tabs>
        <w:tab w:val="center" w:pos="4153"/>
        <w:tab w:val="right" w:pos="8306"/>
      </w:tabs>
      <w:snapToGrid w:val="0"/>
      <w:jc w:val="left"/>
    </w:pPr>
    <w:rPr>
      <w:sz w:val="18"/>
      <w:szCs w:val="18"/>
    </w:rPr>
  </w:style>
  <w:style w:type="paragraph" w:styleId="7">
    <w:name w:val="table of authorities"/>
    <w:basedOn w:val="1"/>
    <w:next w:val="1"/>
    <w:qFormat/>
    <w:uiPriority w:val="0"/>
    <w:pPr>
      <w:ind w:left="420" w:leftChars="200"/>
    </w:pPr>
    <w:rPr>
      <w:kern w:val="0"/>
      <w:sz w:val="20"/>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qFormat/>
    <w:uiPriority w:val="0"/>
    <w:rPr>
      <w:sz w:val="21"/>
      <w:szCs w:val="22"/>
    </w:rPr>
  </w:style>
  <w:style w:type="paragraph" w:styleId="12">
    <w:name w:val="Body Text Indent"/>
    <w:basedOn w:val="1"/>
    <w:qFormat/>
    <w:uiPriority w:val="0"/>
    <w:pPr>
      <w:ind w:firstLine="830" w:firstLineChars="352"/>
    </w:pPr>
    <w:rPr>
      <w:rFonts w:ascii="仿宋_GB2312" w:eastAsia="仿宋_GB2312"/>
      <w:kern w:val="0"/>
      <w:sz w:val="32"/>
      <w:szCs w:val="20"/>
    </w:rPr>
  </w:style>
  <w:style w:type="paragraph" w:styleId="13">
    <w:name w:val="Block Text"/>
    <w:basedOn w:val="1"/>
    <w:qFormat/>
    <w:uiPriority w:val="0"/>
    <w:pPr>
      <w:ind w:left="1440" w:leftChars="700" w:right="700" w:rightChars="700"/>
    </w:pPr>
  </w:style>
  <w:style w:type="paragraph" w:styleId="14">
    <w:name w:val="Plain Text"/>
    <w:basedOn w:val="1"/>
    <w:next w:val="6"/>
    <w:qFormat/>
    <w:uiPriority w:val="0"/>
    <w:rPr>
      <w:rFonts w:ascii="宋体" w:eastAsia="宋体" w:cs="Courier New"/>
      <w:szCs w:val="21"/>
    </w:rPr>
  </w:style>
  <w:style w:type="paragraph" w:styleId="15">
    <w:name w:val="Date"/>
    <w:basedOn w:val="1"/>
    <w:next w:val="1"/>
    <w:qFormat/>
    <w:uiPriority w:val="0"/>
    <w:pPr>
      <w:ind w:left="100" w:leftChars="2500"/>
    </w:pPr>
  </w:style>
  <w:style w:type="paragraph" w:styleId="16">
    <w:name w:val="header"/>
    <w:basedOn w:val="1"/>
    <w:next w:val="13"/>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qFormat/>
    <w:uiPriority w:val="0"/>
    <w:pPr>
      <w:ind w:left="1000" w:leftChars="1000"/>
    </w:pPr>
  </w:style>
  <w:style w:type="paragraph" w:styleId="19">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11"/>
    <w:qFormat/>
    <w:uiPriority w:val="0"/>
    <w:pPr>
      <w:ind w:firstLine="420" w:firstLineChars="100"/>
    </w:pPr>
  </w:style>
  <w:style w:type="paragraph" w:styleId="22">
    <w:name w:val="Body Text First Indent 2"/>
    <w:basedOn w:val="12"/>
    <w:qFormat/>
    <w:uiPriority w:val="0"/>
    <w:pPr>
      <w:ind w:left="420" w:firstLine="420" w:firstLineChars="200"/>
    </w:pPr>
  </w:style>
  <w:style w:type="table" w:styleId="24">
    <w:name w:val="Table Grid"/>
    <w:basedOn w:val="23"/>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FollowedHyperlink"/>
    <w:basedOn w:val="25"/>
    <w:unhideWhenUsed/>
    <w:qFormat/>
    <w:uiPriority w:val="99"/>
    <w:rPr>
      <w:color w:val="800080"/>
      <w:u w:val="single"/>
    </w:rPr>
  </w:style>
  <w:style w:type="character" w:styleId="28">
    <w:name w:val="Hyperlink"/>
    <w:basedOn w:val="25"/>
    <w:unhideWhenUsed/>
    <w:qFormat/>
    <w:uiPriority w:val="99"/>
    <w:rPr>
      <w:color w:val="0000FF"/>
      <w:u w:val="single"/>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页眉 字符"/>
    <w:basedOn w:val="25"/>
    <w:link w:val="16"/>
    <w:qFormat/>
    <w:uiPriority w:val="99"/>
    <w:rPr>
      <w:sz w:val="18"/>
      <w:szCs w:val="18"/>
    </w:rPr>
  </w:style>
  <w:style w:type="character" w:customStyle="1" w:styleId="31">
    <w:name w:val="页脚 字符"/>
    <w:basedOn w:val="25"/>
    <w:link w:val="2"/>
    <w:qFormat/>
    <w:uiPriority w:val="99"/>
    <w:rPr>
      <w:sz w:val="18"/>
      <w:szCs w:val="18"/>
    </w:rPr>
  </w:style>
  <w:style w:type="paragraph" w:customStyle="1" w:styleId="32">
    <w:name w:val="List Paragraph"/>
    <w:basedOn w:val="1"/>
    <w:qFormat/>
    <w:uiPriority w:val="34"/>
    <w:pPr>
      <w:ind w:firstLine="420" w:firstLineChars="200"/>
    </w:pPr>
    <w:rPr>
      <w:rFonts w:ascii="Calibri" w:hAnsi="Calibri" w:eastAsia="宋体" w:cs="Times New Roman"/>
    </w:rPr>
  </w:style>
  <w:style w:type="paragraph" w:customStyle="1" w:styleId="33">
    <w:name w:val="p16"/>
    <w:qFormat/>
    <w:uiPriority w:val="0"/>
    <w:pPr>
      <w:jc w:val="both"/>
    </w:pPr>
    <w:rPr>
      <w:rFonts w:ascii="宋体" w:hAnsi="宋体" w:eastAsia="宋体" w:cs="宋体"/>
      <w:color w:val="000000"/>
      <w:lang w:val="en-US" w:eastAsia="zh-CN" w:bidi="ar-SA"/>
    </w:rPr>
  </w:style>
  <w:style w:type="paragraph" w:customStyle="1" w:styleId="34">
    <w:name w:val="Table Paragraph"/>
    <w:basedOn w:val="1"/>
    <w:qFormat/>
    <w:uiPriority w:val="1"/>
  </w:style>
  <w:style w:type="paragraph" w:customStyle="1" w:styleId="35">
    <w:name w:val="正文_0"/>
    <w:next w:val="1"/>
    <w:qFormat/>
    <w:uiPriority w:val="0"/>
    <w:rPr>
      <w:rFonts w:ascii="Times New Roman" w:hAnsi="Times New Roman" w:eastAsiaTheme="minorEastAsia" w:cstheme="minorBidi"/>
      <w:sz w:val="21"/>
      <w:szCs w:val="22"/>
      <w:lang w:val="en-US" w:eastAsia="zh-CN" w:bidi="ar-SA"/>
    </w:rPr>
  </w:style>
  <w:style w:type="paragraph" w:customStyle="1" w:styleId="36">
    <w:name w:val="表格文字115"/>
    <w:basedOn w:val="1"/>
    <w:qFormat/>
    <w:uiPriority w:val="0"/>
    <w:rPr>
      <w:bCs/>
      <w:spacing w:val="10"/>
      <w:kern w:val="0"/>
      <w:sz w:val="24"/>
    </w:rPr>
  </w:style>
  <w:style w:type="paragraph" w:customStyle="1" w:styleId="37">
    <w:name w:val="p0"/>
    <w:basedOn w:val="1"/>
    <w:qFormat/>
    <w:uiPriority w:val="0"/>
    <w:pPr>
      <w:widowControl/>
    </w:pPr>
    <w:rPr>
      <w:kern w:val="0"/>
      <w:szCs w:val="21"/>
    </w:rPr>
  </w:style>
  <w:style w:type="character" w:customStyle="1" w:styleId="38">
    <w:name w:val="apple-converted-space"/>
    <w:basedOn w:val="25"/>
    <w:qFormat/>
    <w:uiPriority w:val="0"/>
  </w:style>
  <w:style w:type="paragraph" w:customStyle="1" w:styleId="39">
    <w:name w:val="默认段落字体 Para Char Char Char Char Char Char Char"/>
    <w:basedOn w:val="1"/>
    <w:qFormat/>
    <w:uiPriority w:val="0"/>
    <w:pPr>
      <w:adjustRightInd w:val="0"/>
      <w:spacing w:line="360" w:lineRule="auto"/>
    </w:pPr>
  </w:style>
  <w:style w:type="paragraph" w:customStyle="1" w:styleId="40">
    <w:name w:val="首行缩进"/>
    <w:basedOn w:val="1"/>
    <w:qFormat/>
    <w:uiPriority w:val="0"/>
    <w:pPr>
      <w:ind w:firstLine="480" w:firstLineChars="200"/>
    </w:pPr>
    <w:rPr>
      <w:szCs w:val="20"/>
    </w:rPr>
  </w:style>
  <w:style w:type="paragraph" w:customStyle="1" w:styleId="41">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2">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3">
    <w:name w:val="采购二"/>
    <w:basedOn w:val="42"/>
    <w:qFormat/>
    <w:uiPriority w:val="0"/>
    <w:pPr>
      <w:spacing w:before="50" w:beforeLines="50" w:after="0" w:afterLines="0"/>
    </w:pPr>
    <w:rPr>
      <w:rFonts w:ascii="宋体" w:hAnsi="宋体" w:eastAsia="宋体"/>
      <w:sz w:val="28"/>
      <w:szCs w:val="28"/>
    </w:rPr>
  </w:style>
  <w:style w:type="paragraph" w:customStyle="1" w:styleId="44">
    <w:name w:val="采购三"/>
    <w:basedOn w:val="43"/>
    <w:qFormat/>
    <w:uiPriority w:val="0"/>
    <w:pPr>
      <w:spacing w:before="50" w:beforeLines="50" w:after="50" w:afterLines="50" w:line="240" w:lineRule="auto"/>
      <w:jc w:val="left"/>
    </w:pPr>
    <w:rPr>
      <w:sz w:val="24"/>
      <w:lang w:bidi="zh-CN"/>
    </w:rPr>
  </w:style>
  <w:style w:type="character" w:customStyle="1" w:styleId="45">
    <w:name w:val="font51"/>
    <w:basedOn w:val="25"/>
    <w:qFormat/>
    <w:uiPriority w:val="0"/>
    <w:rPr>
      <w:rFonts w:hint="eastAsia" w:ascii="宋体" w:hAnsi="宋体" w:eastAsia="宋体" w:cs="宋体"/>
      <w:color w:val="000000"/>
      <w:sz w:val="32"/>
      <w:szCs w:val="32"/>
      <w:u w:val="none"/>
    </w:rPr>
  </w:style>
  <w:style w:type="character" w:customStyle="1" w:styleId="46">
    <w:name w:val="font31"/>
    <w:basedOn w:val="25"/>
    <w:qFormat/>
    <w:uiPriority w:val="0"/>
    <w:rPr>
      <w:rFonts w:ascii="宋体" w:hAnsi="宋体" w:eastAsia="宋体" w:cs="宋体"/>
      <w:color w:val="000000"/>
      <w:sz w:val="32"/>
      <w:szCs w:val="32"/>
      <w:u w:val="single"/>
    </w:rPr>
  </w:style>
  <w:style w:type="character" w:customStyle="1" w:styleId="47">
    <w:name w:val="font21"/>
    <w:basedOn w:val="25"/>
    <w:qFormat/>
    <w:uiPriority w:val="0"/>
    <w:rPr>
      <w:rFonts w:ascii="宋体" w:hAnsi="宋体" w:eastAsia="宋体" w:cs="宋体"/>
      <w:color w:val="000000"/>
      <w:sz w:val="32"/>
      <w:szCs w:val="32"/>
      <w:u w:val="none"/>
    </w:rPr>
  </w:style>
  <w:style w:type="character" w:customStyle="1" w:styleId="48">
    <w:name w:val="font11"/>
    <w:basedOn w:val="25"/>
    <w:qFormat/>
    <w:uiPriority w:val="0"/>
    <w:rPr>
      <w:rFonts w:ascii="Calibri" w:hAnsi="Calibri" w:cs="Calibri"/>
      <w:color w:val="000000"/>
      <w:sz w:val="32"/>
      <w:szCs w:val="32"/>
      <w:u w:val="none"/>
    </w:rPr>
  </w:style>
  <w:style w:type="character" w:customStyle="1" w:styleId="49">
    <w:name w:val="font01"/>
    <w:basedOn w:val="25"/>
    <w:qFormat/>
    <w:uiPriority w:val="0"/>
    <w:rPr>
      <w:rFonts w:hint="eastAsia" w:ascii="宋体" w:hAnsi="宋体" w:eastAsia="宋体" w:cs="宋体"/>
      <w:color w:val="000000"/>
      <w:sz w:val="20"/>
      <w:szCs w:val="20"/>
      <w:u w:val="none"/>
    </w:rPr>
  </w:style>
  <w:style w:type="paragraph" w:customStyle="1" w:styleId="50">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表格文字"/>
    <w:basedOn w:val="35"/>
    <w:qFormat/>
    <w:uiPriority w:val="99"/>
    <w:pPr>
      <w:spacing w:before="25" w:after="25"/>
      <w:jc w:val="left"/>
    </w:pPr>
    <w:rPr>
      <w:bCs/>
      <w:spacing w:val="10"/>
      <w:kern w:val="0"/>
    </w:rPr>
  </w:style>
  <w:style w:type="paragraph" w:customStyle="1" w:styleId="52">
    <w:name w:val="Body text|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53">
    <w:name w:val="Other|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character" w:customStyle="1" w:styleId="54">
    <w:name w:val="font101"/>
    <w:basedOn w:val="25"/>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3740</Words>
  <Characters>4104</Characters>
  <Lines>54</Lines>
  <Paragraphs>15</Paragraphs>
  <TotalTime>1035</TotalTime>
  <ScaleCrop>false</ScaleCrop>
  <LinksUpToDate>false</LinksUpToDate>
  <CharactersWithSpaces>4236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2020-03-11T21:45:00Z</dcterms:created>
  <dc:creator>Zeng Bin Fan</dc:creator>
  <cp:lastModifiedBy>逆光的微笑</cp:lastModifiedBy>
  <dcterms:modified xsi:type="dcterms:W3CDTF">2025-09-11T08:33:35Z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5A65F25614E7480E949C454EC5755BF1_13</vt:lpwstr>
  </property>
  <property fmtid="{D5CDD505-2E9C-101B-9397-08002B2CF9AE}" pid="4" name="KSOTemplateDocerSaveRecord">
    <vt:lpwstr>eyJoZGlkIjoiODViZmE4NWE3ZTc3OGU5YjdkZmMwYmZkYzQxMzFmYTMiLCJ1c2VySWQiOiI1NjQ2MzY4NTcifQ==</vt:lpwstr>
  </property>
</Properties>
</file>