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lang w:eastAsia="zh-CN"/>
        </w:rPr>
        <w:t>对广西自贸区来字节科技有限公司</w:t>
      </w:r>
      <w:bookmarkEnd w:id="0"/>
      <w:bookmarkEnd w:id="1"/>
      <w:r>
        <w:rPr>
          <w:rFonts w:hint="eastAsia" w:ascii="宋体" w:hAnsi="宋体" w:eastAsia="宋体" w:cs="宋体"/>
          <w:b/>
          <w:bCs/>
          <w:color w:val="auto"/>
          <w:sz w:val="36"/>
          <w:szCs w:val="36"/>
          <w:highlight w:val="none"/>
          <w:u w:val="single"/>
          <w:lang w:eastAsia="zh-CN"/>
        </w:rPr>
        <w:t>开展股权评估服务采购项目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2" w:name="OLE_LINK9"/>
          <w:r>
            <w:rPr>
              <w:rFonts w:ascii="宋体" w:hAnsi="宋体" w:eastAsia="宋体"/>
              <w:sz w:val="21"/>
            </w:rPr>
            <w:t>目录</w:t>
          </w:r>
        </w:p>
        <w:p w14:paraId="07A4EDE6">
          <w:pPr>
            <w:pStyle w:val="18"/>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w:t>
          </w:r>
          <w:r>
            <w:rPr>
              <w:highlight w:val="none"/>
            </w:rPr>
            <w:t>采购公告</w:t>
          </w:r>
          <w:r>
            <w:tab/>
          </w:r>
          <w:r>
            <w:fldChar w:fldCharType="begin"/>
          </w:r>
          <w:r>
            <w:instrText xml:space="preserve"> PAGEREF _Toc14676 \h </w:instrText>
          </w:r>
          <w:r>
            <w:fldChar w:fldCharType="separate"/>
          </w:r>
          <w:r>
            <w:t>1</w:t>
          </w:r>
          <w:r>
            <w:fldChar w:fldCharType="end"/>
          </w:r>
          <w:r>
            <w:fldChar w:fldCharType="end"/>
          </w:r>
        </w:p>
        <w:p w14:paraId="5E342739">
          <w:pPr>
            <w:pStyle w:val="18"/>
            <w:tabs>
              <w:tab w:val="right" w:leader="dot" w:pos="8958"/>
            </w:tabs>
          </w:pPr>
          <w:r>
            <w:fldChar w:fldCharType="begin"/>
          </w:r>
          <w:r>
            <w:instrText xml:space="preserve"> HYPERLINK \l _Toc11475 </w:instrText>
          </w:r>
          <w:r>
            <w:fldChar w:fldCharType="separate"/>
          </w:r>
          <w:r>
            <w:t>第二章  服务商须知</w:t>
          </w:r>
          <w:r>
            <w:tab/>
          </w:r>
          <w:r>
            <w:fldChar w:fldCharType="begin"/>
          </w:r>
          <w:r>
            <w:instrText xml:space="preserve"> PAGEREF _Toc11475 \h </w:instrText>
          </w:r>
          <w:r>
            <w:fldChar w:fldCharType="separate"/>
          </w:r>
          <w:r>
            <w:t>4</w:t>
          </w:r>
          <w:r>
            <w:fldChar w:fldCharType="end"/>
          </w:r>
          <w:r>
            <w:fldChar w:fldCharType="end"/>
          </w:r>
        </w:p>
        <w:p w14:paraId="75602352">
          <w:pPr>
            <w:pStyle w:val="18"/>
            <w:tabs>
              <w:tab w:val="right" w:leader="dot" w:pos="8958"/>
            </w:tabs>
          </w:pPr>
          <w:r>
            <w:fldChar w:fldCharType="begin"/>
          </w:r>
          <w:r>
            <w:instrText xml:space="preserve"> HYPERLINK \l _Toc23918 </w:instrText>
          </w:r>
          <w:r>
            <w:fldChar w:fldCharType="separate"/>
          </w:r>
          <w:r>
            <w:t>第三章 评审办法</w:t>
          </w:r>
          <w:r>
            <w:tab/>
          </w:r>
          <w:r>
            <w:fldChar w:fldCharType="begin"/>
          </w:r>
          <w:r>
            <w:instrText xml:space="preserve"> PAGEREF _Toc23918 \h </w:instrText>
          </w:r>
          <w:r>
            <w:fldChar w:fldCharType="separate"/>
          </w:r>
          <w:r>
            <w:t>9</w:t>
          </w:r>
          <w:r>
            <w:fldChar w:fldCharType="end"/>
          </w:r>
          <w:r>
            <w:fldChar w:fldCharType="end"/>
          </w:r>
        </w:p>
        <w:p w14:paraId="4F6B8D74">
          <w:pPr>
            <w:pStyle w:val="18"/>
            <w:tabs>
              <w:tab w:val="right" w:leader="dot" w:pos="8958"/>
            </w:tabs>
          </w:pPr>
          <w:r>
            <w:fldChar w:fldCharType="begin"/>
          </w:r>
          <w:r>
            <w:instrText xml:space="preserve"> HYPERLINK \l _Toc5961 </w:instrText>
          </w:r>
          <w:r>
            <w:fldChar w:fldCharType="separate"/>
          </w:r>
          <w:r>
            <w:t>第四章  响应文件格式</w:t>
          </w:r>
          <w:r>
            <w:tab/>
          </w:r>
          <w:r>
            <w:fldChar w:fldCharType="begin"/>
          </w:r>
          <w:r>
            <w:instrText xml:space="preserve"> PAGEREF _Toc5961 \h </w:instrText>
          </w:r>
          <w:r>
            <w:fldChar w:fldCharType="separate"/>
          </w:r>
          <w:r>
            <w:t>11</w:t>
          </w:r>
          <w:r>
            <w:fldChar w:fldCharType="end"/>
          </w:r>
          <w:r>
            <w:fldChar w:fldCharType="end"/>
          </w:r>
        </w:p>
        <w:p w14:paraId="317F2552">
          <w:r>
            <w:fldChar w:fldCharType="end"/>
          </w:r>
        </w:p>
      </w:sdtContent>
    </w:sdt>
    <w:p w14:paraId="4958160A"/>
    <w:p w14:paraId="41A8250A">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NumType w:fmt="numberInDash" w:start="1"/>
          <w:cols w:space="425" w:num="1"/>
          <w:docGrid w:type="lines" w:linePitch="312" w:charSpace="0"/>
        </w:sectPr>
      </w:pPr>
      <w:bookmarkStart w:id="3"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3"/>
    </w:p>
    <w:bookmarkEnd w:id="2"/>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对广西自贸区来字节科技有限公司开展股权评估服务采购项目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w:t>
      </w:r>
      <w:bookmarkStart w:id="17" w:name="_GoBack"/>
      <w:bookmarkEnd w:id="17"/>
      <w:r>
        <w:rPr>
          <w:rFonts w:hint="eastAsia" w:ascii="宋体" w:hAnsi="宋体" w:eastAsia="宋体" w:cs="宋体"/>
          <w:bCs/>
          <w:color w:val="auto"/>
          <w:sz w:val="24"/>
          <w:szCs w:val="24"/>
          <w:highlight w:val="none"/>
          <w:u w:val="single"/>
        </w:rPr>
        <w:t>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4" w:name="OLE_LINK4"/>
      <w:r>
        <w:rPr>
          <w:rFonts w:hint="eastAsia" w:ascii="宋体" w:hAnsi="宋体" w:eastAsia="宋体" w:cs="宋体"/>
          <w:bCs/>
          <w:color w:val="auto"/>
          <w:sz w:val="24"/>
          <w:szCs w:val="24"/>
          <w:highlight w:val="none"/>
          <w:u w:val="single"/>
          <w:lang w:eastAsia="zh-CN"/>
        </w:rPr>
        <w:t>对广西自贸区来字节科技有限公司</w:t>
      </w:r>
      <w:bookmarkEnd w:id="4"/>
      <w:r>
        <w:rPr>
          <w:rFonts w:hint="eastAsia" w:ascii="宋体" w:hAnsi="宋体" w:eastAsia="宋体" w:cs="宋体"/>
          <w:bCs/>
          <w:color w:val="auto"/>
          <w:sz w:val="24"/>
          <w:szCs w:val="24"/>
          <w:highlight w:val="none"/>
          <w:u w:val="single"/>
          <w:lang w:eastAsia="zh-CN"/>
        </w:rPr>
        <w:t>开展股权评估服务采购项目</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5" w:name="OLE_LINK5"/>
      <w:r>
        <w:rPr>
          <w:rFonts w:hint="eastAsia" w:ascii="宋体" w:hAnsi="宋体" w:eastAsia="宋体" w:cs="宋体"/>
          <w:color w:val="auto"/>
          <w:sz w:val="24"/>
          <w:szCs w:val="24"/>
          <w:highlight w:val="none"/>
        </w:rPr>
        <w:t>人民币</w:t>
      </w:r>
      <w:bookmarkEnd w:id="5"/>
      <w:r>
        <w:rPr>
          <w:rFonts w:hint="eastAsia" w:ascii="宋体" w:hAnsi="宋体" w:eastAsia="宋体" w:cs="宋体"/>
          <w:color w:val="auto"/>
          <w:sz w:val="24"/>
          <w:szCs w:val="24"/>
          <w:highlight w:val="none"/>
        </w:rPr>
        <w:t>（大写）</w:t>
      </w:r>
      <w:bookmarkStart w:id="6" w:name="OLE_LINK6"/>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bookmarkEnd w:id="6"/>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bookmarkStart w:id="7"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7"/>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11月17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07775881380</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kern w:val="0"/>
          <w:sz w:val="24"/>
          <w:szCs w:val="24"/>
          <w:u w:val="single"/>
          <w:lang w:val="en-US" w:eastAsia="zh-CN" w:bidi="ar"/>
        </w:rPr>
        <w:t>13627770319</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苏瑞国</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eastAsia="zh-CN"/>
              </w:rPr>
              <w:t>股权评估</w:t>
            </w:r>
            <w:r>
              <w:rPr>
                <w:rFonts w:hint="eastAsia" w:ascii="宋体" w:hAnsi="宋体" w:eastAsia="宋体" w:cs="宋体"/>
                <w:bCs/>
                <w:color w:val="auto"/>
                <w:szCs w:val="21"/>
                <w:highlight w:val="none"/>
                <w:lang w:val="en-US" w:eastAsia="zh-CN"/>
              </w:rPr>
              <w:t>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 w:val="21"/>
                <w:szCs w:val="21"/>
                <w:highlight w:val="none"/>
                <w:u w:val="none"/>
                <w:lang w:eastAsia="zh-CN"/>
              </w:rPr>
              <w:t>股权评估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rPr>
      </w:pPr>
      <w:bookmarkStart w:id="8" w:name="_Toc11475"/>
      <w:r>
        <w:t>第二章  服务商须知</w:t>
      </w:r>
      <w:bookmarkEnd w:id="8"/>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int="eastAsia" w:hAnsi="宋体" w:cs="宋体"/>
                <w:bCs/>
                <w:color w:val="auto"/>
                <w:sz w:val="24"/>
                <w:szCs w:val="24"/>
                <w:highlight w:val="none"/>
              </w:rPr>
            </w:pPr>
            <w:r>
              <w:rPr>
                <w:rFonts w:hint="eastAsia" w:hAnsi="宋体" w:cs="宋体"/>
                <w:bCs/>
                <w:color w:val="auto"/>
                <w:sz w:val="24"/>
                <w:szCs w:val="24"/>
                <w:highlight w:val="none"/>
              </w:rPr>
              <w:t>项目联系人：</w:t>
            </w:r>
            <w:r>
              <w:rPr>
                <w:rFonts w:hint="eastAsia" w:ascii="宋体" w:hAnsi="宋体" w:eastAsia="宋体" w:cs="宋体"/>
                <w:bCs/>
                <w:color w:val="auto"/>
                <w:kern w:val="2"/>
                <w:sz w:val="24"/>
                <w:szCs w:val="24"/>
                <w:highlight w:val="none"/>
                <w:u w:val="none"/>
                <w:lang w:val="en-US" w:eastAsia="zh-CN" w:bidi="ar"/>
              </w:rPr>
              <w:t>13627770319</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u w:val="none"/>
                <w:lang w:val="en-US" w:eastAsia="zh-CN"/>
              </w:rPr>
              <w:t>苏瑞国</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eastAsia="zh-CN"/>
              </w:rPr>
              <w:t>对广西自贸区来字节科技有限公司开展股权评估服务采购项目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551DE621">
            <w:pPr>
              <w:spacing w:line="240" w:lineRule="atLeast"/>
              <w:ind w:firstLine="0"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9C7ABD7">
            <w:pPr>
              <w:spacing w:line="240" w:lineRule="atLeast"/>
              <w:ind w:firstLine="0" w:firstLineChars="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0" w:firstLineChars="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0" w:firstLineChars="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rPr>
      </w:pPr>
      <w:bookmarkStart w:id="9" w:name="_Toc23918"/>
      <w:r>
        <w:t>第三章 评审办法</w:t>
      </w:r>
      <w:bookmarkEnd w:id="9"/>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444CCC36">
      <w:pPr>
        <w:rPr>
          <w:color w:val="auto"/>
          <w:highlight w:val="none"/>
        </w:rPr>
      </w:pPr>
    </w:p>
    <w:tbl>
      <w:tblPr>
        <w:tblStyle w:val="25"/>
        <w:tblW w:w="4997" w:type="pct"/>
        <w:jc w:val="center"/>
        <w:tblLayout w:type="autofit"/>
        <w:tblCellMar>
          <w:top w:w="0" w:type="dxa"/>
          <w:left w:w="108" w:type="dxa"/>
          <w:bottom w:w="0" w:type="dxa"/>
          <w:right w:w="108" w:type="dxa"/>
        </w:tblCellMar>
      </w:tblPr>
      <w:tblGrid>
        <w:gridCol w:w="1265"/>
        <w:gridCol w:w="931"/>
        <w:gridCol w:w="6231"/>
        <w:gridCol w:w="741"/>
      </w:tblGrid>
      <w:tr w14:paraId="0650A8D1">
        <w:tblPrEx>
          <w:tblCellMar>
            <w:top w:w="0" w:type="dxa"/>
            <w:left w:w="108" w:type="dxa"/>
            <w:bottom w:w="0" w:type="dxa"/>
            <w:right w:w="108" w:type="dxa"/>
          </w:tblCellMar>
        </w:tblPrEx>
        <w:trPr>
          <w:trHeight w:val="0" w:hRule="atLeast"/>
          <w:jc w:val="center"/>
        </w:trPr>
        <w:tc>
          <w:tcPr>
            <w:tcW w:w="690" w:type="pct"/>
            <w:tcBorders>
              <w:top w:val="single" w:color="000000" w:sz="4" w:space="0"/>
              <w:left w:val="single" w:color="000000" w:sz="4" w:space="0"/>
              <w:bottom w:val="single" w:color="000000" w:sz="4" w:space="0"/>
              <w:right w:val="single" w:color="000000" w:sz="4" w:space="0"/>
            </w:tcBorders>
            <w:vAlign w:val="center"/>
          </w:tcPr>
          <w:p w14:paraId="6F505905">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评审因素</w:t>
            </w:r>
          </w:p>
        </w:tc>
        <w:tc>
          <w:tcPr>
            <w:tcW w:w="508" w:type="pct"/>
            <w:tcBorders>
              <w:top w:val="single" w:color="000000" w:sz="4" w:space="0"/>
              <w:left w:val="single" w:color="000000" w:sz="4" w:space="0"/>
              <w:bottom w:val="single" w:color="000000" w:sz="4" w:space="0"/>
              <w:right w:val="single" w:color="000000" w:sz="4" w:space="0"/>
            </w:tcBorders>
            <w:vAlign w:val="center"/>
          </w:tcPr>
          <w:p w14:paraId="642DC632">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分值（分）</w:t>
            </w:r>
          </w:p>
        </w:tc>
        <w:tc>
          <w:tcPr>
            <w:tcW w:w="3398" w:type="pct"/>
            <w:tcBorders>
              <w:top w:val="single" w:color="000000" w:sz="4" w:space="0"/>
              <w:left w:val="single" w:color="000000" w:sz="4" w:space="0"/>
              <w:bottom w:val="single" w:color="000000" w:sz="4" w:space="0"/>
              <w:right w:val="single" w:color="000000" w:sz="4" w:space="0"/>
            </w:tcBorders>
            <w:vAlign w:val="center"/>
          </w:tcPr>
          <w:p w14:paraId="0A6A4257">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评审标准</w:t>
            </w:r>
          </w:p>
        </w:tc>
        <w:tc>
          <w:tcPr>
            <w:tcW w:w="402" w:type="pct"/>
            <w:tcBorders>
              <w:top w:val="single" w:color="000000" w:sz="4" w:space="0"/>
              <w:left w:val="single" w:color="000000" w:sz="4" w:space="0"/>
              <w:bottom w:val="single" w:color="000000" w:sz="4" w:space="0"/>
              <w:right w:val="single" w:color="000000" w:sz="4" w:space="0"/>
            </w:tcBorders>
            <w:vAlign w:val="center"/>
          </w:tcPr>
          <w:p w14:paraId="290DB1B2">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标准分值</w:t>
            </w:r>
          </w:p>
        </w:tc>
      </w:tr>
      <w:tr w14:paraId="16540A6F">
        <w:tblPrEx>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11931255">
            <w:pPr>
              <w:widowControl/>
              <w:snapToGrid w:val="0"/>
              <w:jc w:val="left"/>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b/>
                <w:bCs/>
                <w:color w:val="000000" w:themeColor="text1"/>
                <w:kern w:val="0"/>
                <w:szCs w:val="21"/>
                <w:highlight w:val="none"/>
                <w:lang w:bidi="ar"/>
                <w14:textFill>
                  <w14:solidFill>
                    <w14:schemeClr w14:val="tx1"/>
                  </w14:solidFill>
                </w14:textFill>
              </w:rPr>
              <w:t>一、技术部分（</w:t>
            </w:r>
            <w:r>
              <w:rPr>
                <w:rFonts w:hint="eastAsia" w:ascii="黑体" w:hAnsi="宋体" w:eastAsia="黑体" w:cs="黑体"/>
                <w:b/>
                <w:bCs/>
                <w:color w:val="000000" w:themeColor="text1"/>
                <w:kern w:val="0"/>
                <w:szCs w:val="21"/>
                <w:highlight w:val="none"/>
                <w:lang w:val="en-US" w:eastAsia="zh-CN" w:bidi="ar"/>
                <w14:textFill>
                  <w14:solidFill>
                    <w14:schemeClr w14:val="tx1"/>
                  </w14:solidFill>
                </w14:textFill>
              </w:rPr>
              <w:t>5</w:t>
            </w:r>
            <w:r>
              <w:rPr>
                <w:rFonts w:hint="eastAsia" w:ascii="黑体" w:hAnsi="宋体" w:eastAsia="黑体" w:cs="黑体"/>
                <w:b/>
                <w:bCs/>
                <w:color w:val="000000" w:themeColor="text1"/>
                <w:kern w:val="0"/>
                <w:szCs w:val="21"/>
                <w:highlight w:val="none"/>
                <w:lang w:bidi="ar"/>
                <w14:textFill>
                  <w14:solidFill>
                    <w14:schemeClr w14:val="tx1"/>
                  </w14:solidFill>
                </w14:textFill>
              </w:rPr>
              <w:t>5分）</w:t>
            </w:r>
          </w:p>
        </w:tc>
      </w:tr>
      <w:tr w14:paraId="26C4BE71">
        <w:tblPrEx>
          <w:tblCellMar>
            <w:top w:w="0" w:type="dxa"/>
            <w:left w:w="108" w:type="dxa"/>
            <w:bottom w:w="0" w:type="dxa"/>
            <w:right w:w="108" w:type="dxa"/>
          </w:tblCellMar>
        </w:tblPrEx>
        <w:trPr>
          <w:trHeight w:val="0"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vAlign w:val="center"/>
          </w:tcPr>
          <w:p w14:paraId="2218A14E">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（一）实施方案（</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35</w:t>
            </w:r>
            <w:r>
              <w:rPr>
                <w:rFonts w:hint="eastAsia" w:ascii="宋体" w:hAnsi="宋体" w:eastAsia="宋体" w:cs="宋体"/>
                <w:b/>
                <w:bCs/>
                <w:color w:val="000000" w:themeColor="text1"/>
                <w:kern w:val="0"/>
                <w:sz w:val="22"/>
                <w:highlight w:val="none"/>
                <w:lang w:bidi="ar"/>
                <w14:textFill>
                  <w14:solidFill>
                    <w14:schemeClr w14:val="tx1"/>
                  </w14:solidFill>
                </w14:textFill>
              </w:rPr>
              <w:t>分）</w:t>
            </w:r>
          </w:p>
        </w:tc>
        <w:tc>
          <w:tcPr>
            <w:tcW w:w="508" w:type="pct"/>
            <w:vMerge w:val="restart"/>
            <w:tcBorders>
              <w:top w:val="single" w:color="000000" w:sz="4" w:space="0"/>
              <w:left w:val="single" w:color="000000" w:sz="4" w:space="0"/>
              <w:bottom w:val="single" w:color="000000" w:sz="4" w:space="0"/>
              <w:right w:val="single" w:color="000000" w:sz="4" w:space="0"/>
            </w:tcBorders>
            <w:vAlign w:val="center"/>
          </w:tcPr>
          <w:p w14:paraId="35CBD5E2">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35</w:t>
            </w:r>
          </w:p>
        </w:tc>
        <w:tc>
          <w:tcPr>
            <w:tcW w:w="3398" w:type="pct"/>
            <w:tcBorders>
              <w:top w:val="single" w:color="000000" w:sz="4" w:space="0"/>
              <w:left w:val="single" w:color="000000" w:sz="4" w:space="0"/>
              <w:bottom w:val="single" w:color="000000" w:sz="4" w:space="0"/>
              <w:right w:val="single" w:color="000000" w:sz="4" w:space="0"/>
            </w:tcBorders>
            <w:vAlign w:val="center"/>
          </w:tcPr>
          <w:p w14:paraId="2A78CC98">
            <w:pPr>
              <w:widowControl/>
              <w:snapToGrid w:val="0"/>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提出合理且可行的服务方案，根据服务方案的优劣、服务期间各时间节点的响应速度、人员服务的单位数量多少等横向对比评审，满分</w:t>
            </w:r>
            <w:r>
              <w:rPr>
                <w:rFonts w:hint="eastAsia" w:ascii="宋体" w:hAnsi="宋体" w:eastAsia="宋体" w:cs="宋体"/>
                <w:color w:val="000000" w:themeColor="text1"/>
                <w:sz w:val="24"/>
                <w:szCs w:val="24"/>
                <w:highlight w:val="none"/>
                <w:lang w:val="en-US" w:bidi="zh-CN"/>
                <w14:textFill>
                  <w14:solidFill>
                    <w14:schemeClr w14:val="tx1"/>
                  </w14:solidFill>
                </w14:textFill>
              </w:rPr>
              <w:t>35</w:t>
            </w:r>
            <w:r>
              <w:rPr>
                <w:rFonts w:hint="eastAsia" w:ascii="宋体" w:hAnsi="宋体" w:eastAsia="宋体" w:cs="宋体"/>
                <w:color w:val="000000" w:themeColor="text1"/>
                <w:sz w:val="24"/>
                <w:szCs w:val="24"/>
                <w:highlight w:val="none"/>
                <w:lang w:bidi="zh-CN"/>
                <w14:textFill>
                  <w14:solidFill>
                    <w14:schemeClr w14:val="tx1"/>
                  </w14:solidFill>
                </w14:textFill>
              </w:rPr>
              <w:t>分。</w:t>
            </w:r>
          </w:p>
        </w:tc>
        <w:tc>
          <w:tcPr>
            <w:tcW w:w="402" w:type="pct"/>
            <w:vMerge w:val="restart"/>
            <w:tcBorders>
              <w:top w:val="single" w:color="000000" w:sz="4" w:space="0"/>
              <w:left w:val="single" w:color="000000" w:sz="4" w:space="0"/>
              <w:bottom w:val="single" w:color="000000" w:sz="4" w:space="0"/>
              <w:right w:val="single" w:color="000000" w:sz="4" w:space="0"/>
            </w:tcBorders>
            <w:vAlign w:val="center"/>
          </w:tcPr>
          <w:p w14:paraId="67A3BFBE">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2"/>
                <w:highlight w:val="none"/>
                <w:lang w:bidi="ar"/>
                <w14:textFill>
                  <w14:solidFill>
                    <w14:schemeClr w14:val="tx1"/>
                  </w14:solidFill>
                </w14:textFill>
              </w:rPr>
              <w:t>-</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35</w:t>
            </w:r>
            <w:r>
              <w:rPr>
                <w:rFonts w:hint="eastAsia" w:ascii="宋体" w:hAnsi="宋体" w:eastAsia="宋体" w:cs="宋体"/>
                <w:color w:val="000000" w:themeColor="text1"/>
                <w:kern w:val="0"/>
                <w:sz w:val="22"/>
                <w:highlight w:val="none"/>
                <w:lang w:bidi="ar"/>
                <w14:textFill>
                  <w14:solidFill>
                    <w14:schemeClr w14:val="tx1"/>
                  </w14:solidFill>
                </w14:textFill>
              </w:rPr>
              <w:t>分</w:t>
            </w:r>
          </w:p>
        </w:tc>
      </w:tr>
      <w:tr w14:paraId="3FBB13B8">
        <w:tblPrEx>
          <w:tblCellMar>
            <w:top w:w="0" w:type="dxa"/>
            <w:left w:w="108" w:type="dxa"/>
            <w:bottom w:w="0" w:type="dxa"/>
            <w:right w:w="108" w:type="dxa"/>
          </w:tblCellMar>
        </w:tblPrEx>
        <w:trPr>
          <w:trHeight w:val="0"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vAlign w:val="center"/>
          </w:tcPr>
          <w:p w14:paraId="0EDF5C91">
            <w:pPr>
              <w:snapToGrid w:val="0"/>
              <w:jc w:val="center"/>
              <w:rPr>
                <w:rFonts w:ascii="宋体" w:hAnsi="宋体" w:eastAsia="宋体" w:cs="宋体"/>
                <w:color w:val="000000" w:themeColor="text1"/>
                <w:sz w:val="22"/>
                <w:highlight w:val="none"/>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EDB7B0C">
            <w:pPr>
              <w:snapToGrid w:val="0"/>
              <w:jc w:val="center"/>
              <w:rPr>
                <w:rFonts w:ascii="宋体" w:hAnsi="宋体" w:eastAsia="宋体" w:cs="宋体"/>
                <w:color w:val="000000" w:themeColor="text1"/>
                <w:sz w:val="22"/>
                <w:highlight w:val="none"/>
                <w14:textFill>
                  <w14:solidFill>
                    <w14:schemeClr w14:val="tx1"/>
                  </w14:solidFill>
                </w14:textFill>
              </w:rPr>
            </w:pPr>
          </w:p>
        </w:tc>
        <w:tc>
          <w:tcPr>
            <w:tcW w:w="3398" w:type="pct"/>
            <w:tcBorders>
              <w:top w:val="single" w:color="000000" w:sz="4" w:space="0"/>
              <w:left w:val="single" w:color="000000" w:sz="4" w:space="0"/>
              <w:bottom w:val="single" w:color="000000" w:sz="4" w:space="0"/>
              <w:right w:val="single" w:color="000000" w:sz="4" w:space="0"/>
            </w:tcBorders>
            <w:vAlign w:val="center"/>
          </w:tcPr>
          <w:p w14:paraId="2AA398BD">
            <w:pPr>
              <w:pStyle w:val="21"/>
              <w:widowControl/>
              <w:snapToGrid w:val="0"/>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一档（22.1-35分）：根据采购需求量身定做服务团队和服务模式，能提供采购人领域的深度服务，精于调配不同专业领域的分工协作，服务质量保障措施周密完善，完全满足采购文件要求，可行性高。</w:t>
            </w:r>
          </w:p>
        </w:tc>
        <w:tc>
          <w:tcPr>
            <w:tcW w:w="402" w:type="pct"/>
            <w:vMerge w:val="continue"/>
            <w:tcBorders>
              <w:top w:val="single" w:color="000000" w:sz="4" w:space="0"/>
              <w:left w:val="single" w:color="000000" w:sz="4" w:space="0"/>
              <w:bottom w:val="single" w:color="000000" w:sz="4" w:space="0"/>
              <w:right w:val="single" w:color="000000" w:sz="4" w:space="0"/>
            </w:tcBorders>
            <w:vAlign w:val="center"/>
          </w:tcPr>
          <w:p w14:paraId="4E257E49">
            <w:pPr>
              <w:snapToGrid w:val="0"/>
              <w:jc w:val="center"/>
              <w:rPr>
                <w:rFonts w:ascii="宋体" w:hAnsi="宋体" w:eastAsia="宋体" w:cs="宋体"/>
                <w:color w:val="000000" w:themeColor="text1"/>
                <w:sz w:val="22"/>
                <w:highlight w:val="none"/>
                <w14:textFill>
                  <w14:solidFill>
                    <w14:schemeClr w14:val="tx1"/>
                  </w14:solidFill>
                </w14:textFill>
              </w:rPr>
            </w:pPr>
          </w:p>
        </w:tc>
      </w:tr>
      <w:tr w14:paraId="2E29B9A1">
        <w:tblPrEx>
          <w:tblCellMar>
            <w:top w:w="0" w:type="dxa"/>
            <w:left w:w="108" w:type="dxa"/>
            <w:bottom w:w="0" w:type="dxa"/>
            <w:right w:w="108" w:type="dxa"/>
          </w:tblCellMar>
        </w:tblPrEx>
        <w:trPr>
          <w:trHeight w:val="0"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vAlign w:val="center"/>
          </w:tcPr>
          <w:p w14:paraId="241BE492">
            <w:pPr>
              <w:snapToGrid w:val="0"/>
              <w:jc w:val="center"/>
              <w:rPr>
                <w:rFonts w:ascii="宋体" w:hAnsi="宋体" w:eastAsia="宋体" w:cs="宋体"/>
                <w:color w:val="000000" w:themeColor="text1"/>
                <w:sz w:val="22"/>
                <w:highlight w:val="none"/>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5279CAC6">
            <w:pPr>
              <w:snapToGrid w:val="0"/>
              <w:jc w:val="center"/>
              <w:rPr>
                <w:rFonts w:ascii="宋体" w:hAnsi="宋体" w:eastAsia="宋体" w:cs="宋体"/>
                <w:color w:val="000000" w:themeColor="text1"/>
                <w:sz w:val="22"/>
                <w:highlight w:val="none"/>
                <w14:textFill>
                  <w14:solidFill>
                    <w14:schemeClr w14:val="tx1"/>
                  </w14:solidFill>
                </w14:textFill>
              </w:rPr>
            </w:pPr>
          </w:p>
        </w:tc>
        <w:tc>
          <w:tcPr>
            <w:tcW w:w="3398" w:type="pct"/>
            <w:tcBorders>
              <w:top w:val="single" w:color="000000" w:sz="4" w:space="0"/>
              <w:left w:val="single" w:color="000000" w:sz="4" w:space="0"/>
              <w:bottom w:val="single" w:color="000000" w:sz="4" w:space="0"/>
              <w:right w:val="single" w:color="000000" w:sz="4" w:space="0"/>
            </w:tcBorders>
            <w:vAlign w:val="center"/>
          </w:tcPr>
          <w:p w14:paraId="6F603D03">
            <w:pPr>
              <w:widowControl/>
              <w:snapToGrid w:val="0"/>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二档（1</w:t>
            </w:r>
            <w:r>
              <w:rPr>
                <w:rFonts w:hint="eastAsia" w:ascii="宋体" w:hAnsi="宋体" w:eastAsia="宋体" w:cs="宋体"/>
                <w:color w:val="000000" w:themeColor="text1"/>
                <w:sz w:val="24"/>
                <w:szCs w:val="24"/>
                <w:highlight w:val="none"/>
                <w:lang w:val="en-US" w:bidi="zh-CN"/>
                <w14:textFill>
                  <w14:solidFill>
                    <w14:schemeClr w14:val="tx1"/>
                  </w14:solidFill>
                </w14:textFill>
              </w:rPr>
              <w:t>2.1</w:t>
            </w:r>
            <w:r>
              <w:rPr>
                <w:rFonts w:hint="eastAsia" w:ascii="宋体" w:hAnsi="宋体" w:eastAsia="宋体" w:cs="宋体"/>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val="en-US"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02" w:type="pct"/>
            <w:vMerge w:val="continue"/>
            <w:tcBorders>
              <w:top w:val="single" w:color="000000" w:sz="4" w:space="0"/>
              <w:left w:val="single" w:color="000000" w:sz="4" w:space="0"/>
              <w:bottom w:val="single" w:color="000000" w:sz="4" w:space="0"/>
              <w:right w:val="single" w:color="000000" w:sz="4" w:space="0"/>
            </w:tcBorders>
            <w:vAlign w:val="center"/>
          </w:tcPr>
          <w:p w14:paraId="2CB17395">
            <w:pPr>
              <w:snapToGrid w:val="0"/>
              <w:jc w:val="center"/>
              <w:rPr>
                <w:rFonts w:ascii="宋体" w:hAnsi="宋体" w:eastAsia="宋体" w:cs="宋体"/>
                <w:color w:val="000000" w:themeColor="text1"/>
                <w:sz w:val="22"/>
                <w:highlight w:val="none"/>
                <w14:textFill>
                  <w14:solidFill>
                    <w14:schemeClr w14:val="tx1"/>
                  </w14:solidFill>
                </w14:textFill>
              </w:rPr>
            </w:pPr>
          </w:p>
        </w:tc>
      </w:tr>
      <w:tr w14:paraId="4EACCA93">
        <w:tblPrEx>
          <w:tblCellMar>
            <w:top w:w="0" w:type="dxa"/>
            <w:left w:w="108" w:type="dxa"/>
            <w:bottom w:w="0" w:type="dxa"/>
            <w:right w:w="108" w:type="dxa"/>
          </w:tblCellMar>
        </w:tblPrEx>
        <w:trPr>
          <w:trHeight w:val="0"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vAlign w:val="center"/>
          </w:tcPr>
          <w:p w14:paraId="658B418D">
            <w:pPr>
              <w:snapToGrid w:val="0"/>
              <w:jc w:val="center"/>
              <w:rPr>
                <w:rFonts w:ascii="宋体" w:hAnsi="宋体" w:eastAsia="宋体" w:cs="宋体"/>
                <w:color w:val="000000" w:themeColor="text1"/>
                <w:sz w:val="22"/>
                <w:highlight w:val="none"/>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4C7922C">
            <w:pPr>
              <w:snapToGrid w:val="0"/>
              <w:jc w:val="center"/>
              <w:rPr>
                <w:rFonts w:ascii="宋体" w:hAnsi="宋体" w:eastAsia="宋体" w:cs="宋体"/>
                <w:color w:val="000000" w:themeColor="text1"/>
                <w:sz w:val="22"/>
                <w:highlight w:val="none"/>
                <w14:textFill>
                  <w14:solidFill>
                    <w14:schemeClr w14:val="tx1"/>
                  </w14:solidFill>
                </w14:textFill>
              </w:rPr>
            </w:pPr>
          </w:p>
        </w:tc>
        <w:tc>
          <w:tcPr>
            <w:tcW w:w="3398" w:type="pct"/>
            <w:tcBorders>
              <w:top w:val="single" w:color="000000" w:sz="4" w:space="0"/>
              <w:left w:val="single" w:color="000000" w:sz="4" w:space="0"/>
              <w:bottom w:val="single" w:color="000000" w:sz="4" w:space="0"/>
              <w:right w:val="single" w:color="000000" w:sz="4" w:space="0"/>
            </w:tcBorders>
            <w:vAlign w:val="center"/>
          </w:tcPr>
          <w:p w14:paraId="3739B25A">
            <w:pPr>
              <w:widowControl/>
              <w:snapToGrid w:val="0"/>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三档（0-1</w:t>
            </w:r>
            <w:r>
              <w:rPr>
                <w:rFonts w:hint="eastAsia" w:ascii="宋体" w:hAnsi="宋体" w:eastAsia="宋体" w:cs="宋体"/>
                <w:color w:val="000000" w:themeColor="text1"/>
                <w:sz w:val="24"/>
                <w:szCs w:val="24"/>
                <w:highlight w:val="none"/>
                <w:lang w:val="en-US"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分）：服务方案基本满足采购需求，内容较为简单；能根据采购人要求，量身定做服务团队和服务模式。服务质量保障措施不能全面的满足采购文件要求。</w:t>
            </w:r>
          </w:p>
        </w:tc>
        <w:tc>
          <w:tcPr>
            <w:tcW w:w="402" w:type="pct"/>
            <w:vMerge w:val="continue"/>
            <w:tcBorders>
              <w:top w:val="single" w:color="000000" w:sz="4" w:space="0"/>
              <w:left w:val="single" w:color="000000" w:sz="4" w:space="0"/>
              <w:bottom w:val="single" w:color="000000" w:sz="4" w:space="0"/>
              <w:right w:val="single" w:color="000000" w:sz="4" w:space="0"/>
            </w:tcBorders>
            <w:vAlign w:val="center"/>
          </w:tcPr>
          <w:p w14:paraId="4D4A67B1">
            <w:pPr>
              <w:snapToGrid w:val="0"/>
              <w:jc w:val="center"/>
              <w:rPr>
                <w:rFonts w:ascii="宋体" w:hAnsi="宋体" w:eastAsia="宋体" w:cs="宋体"/>
                <w:color w:val="000000" w:themeColor="text1"/>
                <w:sz w:val="22"/>
                <w:highlight w:val="none"/>
                <w14:textFill>
                  <w14:solidFill>
                    <w14:schemeClr w14:val="tx1"/>
                  </w14:solidFill>
                </w14:textFill>
              </w:rPr>
            </w:pPr>
          </w:p>
        </w:tc>
      </w:tr>
      <w:tr w14:paraId="37661C01">
        <w:tblPrEx>
          <w:tblCellMar>
            <w:top w:w="0" w:type="dxa"/>
            <w:left w:w="108" w:type="dxa"/>
            <w:bottom w:w="0" w:type="dxa"/>
            <w:right w:w="108" w:type="dxa"/>
          </w:tblCellMar>
        </w:tblPrEx>
        <w:trPr>
          <w:trHeight w:val="0"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vAlign w:val="center"/>
          </w:tcPr>
          <w:p w14:paraId="599C84BA">
            <w:pPr>
              <w:widowControl/>
              <w:snapToGrid w:val="0"/>
              <w:jc w:val="center"/>
              <w:textAlignment w:val="center"/>
              <w:rPr>
                <w:rFonts w:ascii="宋体" w:hAnsi="宋体" w:eastAsia="宋体" w:cs="宋体"/>
                <w:b/>
                <w:bCs/>
                <w:color w:val="000000" w:themeColor="text1"/>
                <w:kern w:val="0"/>
                <w:sz w:val="22"/>
                <w:highlight w:val="none"/>
                <w:lang w:bidi="ar"/>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（二）拟投入项目人员配置</w:t>
            </w:r>
          </w:p>
          <w:p w14:paraId="576134FA">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（2</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b/>
                <w:bCs/>
                <w:color w:val="000000" w:themeColor="text1"/>
                <w:kern w:val="0"/>
                <w:sz w:val="22"/>
                <w:highlight w:val="none"/>
                <w:lang w:bidi="ar"/>
                <w14:textFill>
                  <w14:solidFill>
                    <w14:schemeClr w14:val="tx1"/>
                  </w14:solidFill>
                </w14:textFill>
              </w:rPr>
              <w:t>分）</w:t>
            </w:r>
          </w:p>
        </w:tc>
        <w:tc>
          <w:tcPr>
            <w:tcW w:w="508" w:type="pct"/>
            <w:vMerge w:val="restart"/>
            <w:tcBorders>
              <w:top w:val="single" w:color="000000" w:sz="4" w:space="0"/>
              <w:left w:val="single" w:color="000000" w:sz="4" w:space="0"/>
              <w:bottom w:val="single" w:color="000000" w:sz="4" w:space="0"/>
              <w:right w:val="single" w:color="000000" w:sz="4" w:space="0"/>
            </w:tcBorders>
            <w:vAlign w:val="center"/>
          </w:tcPr>
          <w:p w14:paraId="76E2E96D">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ar"/>
                <w14:textFill>
                  <w14:solidFill>
                    <w14:schemeClr w14:val="tx1"/>
                  </w14:solidFill>
                </w14:textFill>
              </w:rPr>
              <w:t>2</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p>
        </w:tc>
        <w:tc>
          <w:tcPr>
            <w:tcW w:w="3398" w:type="pct"/>
            <w:tcBorders>
              <w:top w:val="single" w:color="000000" w:sz="4" w:space="0"/>
              <w:left w:val="single" w:color="000000" w:sz="4" w:space="0"/>
              <w:bottom w:val="single" w:color="000000" w:sz="4" w:space="0"/>
              <w:right w:val="single" w:color="000000" w:sz="4" w:space="0"/>
            </w:tcBorders>
            <w:vAlign w:val="center"/>
          </w:tcPr>
          <w:p w14:paraId="7C3CC806">
            <w:pPr>
              <w:widowControl/>
              <w:snapToGrid w:val="0"/>
              <w:jc w:val="left"/>
              <w:textAlignment w:val="center"/>
              <w:rPr>
                <w:rFonts w:ascii="宋体" w:hAnsi="宋体" w:eastAsia="宋体" w:cs="宋体"/>
                <w:b/>
                <w:bCs/>
                <w:color w:val="000000" w:themeColor="text1"/>
                <w:sz w:val="22"/>
                <w:highlight w:val="none"/>
                <w14:textFill>
                  <w14:solidFill>
                    <w14:schemeClr w14:val="tx1"/>
                  </w14:solidFill>
                </w14:textFill>
              </w:rPr>
            </w:pPr>
            <w:r>
              <w:rPr>
                <w:rFonts w:ascii="宋体" w:hAnsi="宋体" w:eastAsia="宋体" w:cs="宋体"/>
                <w:color w:val="000000" w:themeColor="text1"/>
                <w:sz w:val="24"/>
                <w:szCs w:val="24"/>
                <w:highlight w:val="none"/>
                <w:lang w:bidi="zh-CN"/>
                <w14:textFill>
                  <w14:solidFill>
                    <w14:schemeClr w14:val="tx1"/>
                  </w14:solidFill>
                </w14:textFill>
              </w:rPr>
              <w:t>拟投入本服务项目的</w:t>
            </w:r>
            <w:r>
              <w:rPr>
                <w:rFonts w:hint="eastAsia" w:ascii="宋体" w:hAnsi="宋体" w:eastAsia="宋体" w:cs="宋体"/>
                <w:color w:val="000000" w:themeColor="text1"/>
                <w:sz w:val="24"/>
                <w:szCs w:val="24"/>
                <w:highlight w:val="none"/>
                <w:lang w:bidi="zh-CN"/>
                <w14:textFill>
                  <w14:solidFill>
                    <w14:schemeClr w14:val="tx1"/>
                  </w14:solidFill>
                </w14:textFill>
              </w:rPr>
              <w:t>编制</w:t>
            </w:r>
            <w:r>
              <w:rPr>
                <w:rFonts w:ascii="宋体" w:hAnsi="宋体" w:eastAsia="宋体" w:cs="宋体"/>
                <w:color w:val="000000" w:themeColor="text1"/>
                <w:sz w:val="24"/>
                <w:szCs w:val="24"/>
                <w:highlight w:val="none"/>
                <w:lang w:bidi="zh-CN"/>
                <w14:textFill>
                  <w14:solidFill>
                    <w14:schemeClr w14:val="tx1"/>
                  </w14:solidFill>
                </w14:textFill>
              </w:rPr>
              <w:t>组成员简介，根据配置合理性、充足性、人员资格执业证书是否齐全、人员执业年限、数量是否满足采购要求等方面进行横向对比评审，满分2</w:t>
            </w:r>
            <w:r>
              <w:rPr>
                <w:rFonts w:hint="eastAsia" w:ascii="宋体" w:hAnsi="宋体" w:eastAsia="宋体" w:cs="宋体"/>
                <w:color w:val="000000" w:themeColor="text1"/>
                <w:sz w:val="24"/>
                <w:szCs w:val="24"/>
                <w:highlight w:val="none"/>
                <w:lang w:val="en-US" w:bidi="zh-CN"/>
                <w14:textFill>
                  <w14:solidFill>
                    <w14:schemeClr w14:val="tx1"/>
                  </w14:solidFill>
                </w14:textFill>
              </w:rPr>
              <w:t>0</w:t>
            </w:r>
            <w:r>
              <w:rPr>
                <w:rFonts w:ascii="宋体" w:hAnsi="宋体" w:eastAsia="宋体" w:cs="宋体"/>
                <w:color w:val="000000" w:themeColor="text1"/>
                <w:sz w:val="24"/>
                <w:szCs w:val="24"/>
                <w:highlight w:val="none"/>
                <w:lang w:bidi="zh-CN"/>
                <w14:textFill>
                  <w14:solidFill>
                    <w14:schemeClr w14:val="tx1"/>
                  </w14:solidFill>
                </w14:textFill>
              </w:rPr>
              <w:t>分。</w:t>
            </w:r>
          </w:p>
        </w:tc>
        <w:tc>
          <w:tcPr>
            <w:tcW w:w="402" w:type="pct"/>
            <w:vMerge w:val="restart"/>
            <w:tcBorders>
              <w:top w:val="single" w:color="000000" w:sz="4" w:space="0"/>
              <w:left w:val="single" w:color="000000" w:sz="4" w:space="0"/>
              <w:right w:val="single" w:color="000000" w:sz="4" w:space="0"/>
            </w:tcBorders>
            <w:vAlign w:val="center"/>
          </w:tcPr>
          <w:p w14:paraId="24C4C6CF">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2"/>
                <w:highlight w:val="none"/>
                <w:lang w:bidi="ar"/>
                <w14:textFill>
                  <w14:solidFill>
                    <w14:schemeClr w14:val="tx1"/>
                  </w14:solidFill>
                </w14:textFill>
              </w:rPr>
              <w:t>-2</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2"/>
                <w:highlight w:val="none"/>
                <w:lang w:bidi="ar"/>
                <w14:textFill>
                  <w14:solidFill>
                    <w14:schemeClr w14:val="tx1"/>
                  </w14:solidFill>
                </w14:textFill>
              </w:rPr>
              <w:t>分</w:t>
            </w:r>
          </w:p>
        </w:tc>
      </w:tr>
      <w:tr w14:paraId="452AC046">
        <w:tblPrEx>
          <w:tblCellMar>
            <w:top w:w="0" w:type="dxa"/>
            <w:left w:w="108" w:type="dxa"/>
            <w:bottom w:w="0" w:type="dxa"/>
            <w:right w:w="108" w:type="dxa"/>
          </w:tblCellMar>
        </w:tblPrEx>
        <w:trPr>
          <w:trHeight w:val="0"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vAlign w:val="center"/>
          </w:tcPr>
          <w:p w14:paraId="545ECD26">
            <w:pPr>
              <w:snapToGrid w:val="0"/>
              <w:jc w:val="center"/>
              <w:rPr>
                <w:rFonts w:ascii="宋体" w:hAnsi="宋体" w:eastAsia="宋体" w:cs="宋体"/>
                <w:color w:val="000000" w:themeColor="text1"/>
                <w:sz w:val="22"/>
                <w:highlight w:val="none"/>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E78CC10">
            <w:pPr>
              <w:snapToGrid w:val="0"/>
              <w:jc w:val="center"/>
              <w:rPr>
                <w:rFonts w:ascii="宋体" w:hAnsi="宋体" w:eastAsia="宋体" w:cs="宋体"/>
                <w:color w:val="000000" w:themeColor="text1"/>
                <w:sz w:val="22"/>
                <w:highlight w:val="none"/>
                <w14:textFill>
                  <w14:solidFill>
                    <w14:schemeClr w14:val="tx1"/>
                  </w14:solidFill>
                </w14:textFill>
              </w:rPr>
            </w:pPr>
          </w:p>
        </w:tc>
        <w:tc>
          <w:tcPr>
            <w:tcW w:w="3398" w:type="pct"/>
            <w:tcBorders>
              <w:top w:val="single" w:color="000000" w:sz="4" w:space="0"/>
              <w:left w:val="single" w:color="000000" w:sz="4" w:space="0"/>
              <w:bottom w:val="single" w:color="000000" w:sz="4" w:space="0"/>
              <w:right w:val="single" w:color="000000" w:sz="4" w:space="0"/>
            </w:tcBorders>
            <w:vAlign w:val="center"/>
          </w:tcPr>
          <w:p w14:paraId="584945AC">
            <w:pPr>
              <w:widowControl/>
              <w:snapToGrid w:val="0"/>
              <w:jc w:val="left"/>
              <w:textAlignment w:val="center"/>
              <w:rPr>
                <w:rFonts w:hint="default" w:ascii="宋体" w:hAnsi="宋体" w:eastAsia="宋体" w:cs="宋体"/>
                <w:b/>
                <w:bCs/>
                <w:color w:val="000000" w:themeColor="text1"/>
                <w:kern w:val="2"/>
                <w:sz w:val="24"/>
                <w:szCs w:val="24"/>
                <w:highlight w:val="none"/>
                <w:lang w:bidi="zh-CN"/>
                <w14:textFill>
                  <w14:solidFill>
                    <w14:schemeClr w14:val="tx1"/>
                  </w14:solidFill>
                </w14:textFill>
              </w:rPr>
            </w:pPr>
            <w:r>
              <w:rPr>
                <w:rFonts w:hint="default" w:ascii="宋体" w:hAnsi="宋体" w:eastAsia="宋体" w:cs="宋体"/>
                <w:b/>
                <w:bCs/>
                <w:color w:val="000000" w:themeColor="text1"/>
                <w:kern w:val="2"/>
                <w:sz w:val="24"/>
                <w:szCs w:val="24"/>
                <w:highlight w:val="none"/>
                <w:lang w:bidi="zh-CN"/>
                <w14:textFill>
                  <w14:solidFill>
                    <w14:schemeClr w14:val="tx1"/>
                  </w14:solidFill>
                </w14:textFill>
              </w:rPr>
              <w:t>项目负责人（</w:t>
            </w:r>
            <w:r>
              <w:rPr>
                <w:rFonts w:hint="default" w:ascii="宋体" w:hAnsi="宋体" w:eastAsia="宋体" w:cs="宋体"/>
                <w:b/>
                <w:bCs/>
                <w:color w:val="000000" w:themeColor="text1"/>
                <w:kern w:val="2"/>
                <w:sz w:val="24"/>
                <w:szCs w:val="24"/>
                <w:highlight w:val="none"/>
                <w:lang w:val="en-US" w:bidi="zh-CN"/>
                <w14:textFill>
                  <w14:solidFill>
                    <w14:schemeClr w14:val="tx1"/>
                  </w14:solidFill>
                </w14:textFill>
              </w:rPr>
              <w:t>此小项满分8分</w:t>
            </w:r>
            <w:r>
              <w:rPr>
                <w:rFonts w:hint="default" w:ascii="宋体" w:hAnsi="宋体" w:eastAsia="宋体" w:cs="宋体"/>
                <w:b/>
                <w:bCs/>
                <w:color w:val="000000" w:themeColor="text1"/>
                <w:kern w:val="2"/>
                <w:sz w:val="24"/>
                <w:szCs w:val="24"/>
                <w:highlight w:val="none"/>
                <w:lang w:bidi="zh-CN"/>
                <w14:textFill>
                  <w14:solidFill>
                    <w14:schemeClr w14:val="tx1"/>
                  </w14:solidFill>
                </w14:textFill>
              </w:rPr>
              <w:t>）：</w:t>
            </w:r>
          </w:p>
          <w:p w14:paraId="286F0F39">
            <w:pPr>
              <w:pStyle w:val="58"/>
              <w:snapToGrid w:val="0"/>
              <w:spacing w:before="173" w:line="240" w:lineRule="auto"/>
              <w:ind w:left="123"/>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（1）专业素质（4 分）</w:t>
            </w:r>
          </w:p>
          <w:p w14:paraId="74FB9BE6">
            <w:pPr>
              <w:pStyle w:val="58"/>
              <w:snapToGrid w:val="0"/>
              <w:spacing w:before="172" w:line="240" w:lineRule="auto"/>
              <w:ind w:left="112" w:right="108" w:firstLine="5"/>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具有 </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5</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年资产评估工作经验得 </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3</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分，在此基础上每增加 1 年加 1 分，满分 4 分。不足 </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5</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年不得分。（提供相关证书复印件，加盖公章；工作经验以项目经理取得资产评估师执业资格证书时间起计算）。</w:t>
            </w:r>
          </w:p>
          <w:p w14:paraId="6C02250B">
            <w:pPr>
              <w:pStyle w:val="58"/>
              <w:snapToGrid w:val="0"/>
              <w:spacing w:line="240" w:lineRule="auto"/>
              <w:ind w:left="123"/>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（2）同类项目经验（</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4</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分）</w:t>
            </w:r>
          </w:p>
          <w:p w14:paraId="3366459F">
            <w:pPr>
              <w:pStyle w:val="58"/>
              <w:snapToGrid w:val="0"/>
              <w:spacing w:before="171" w:line="240" w:lineRule="auto"/>
              <w:ind w:left="112" w:right="37"/>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考察投标人拟派投入本项目担任项目经理近三年（自 2022 年 1 月 1 日至今）承担过资产评估类项目的情况。（提供有效合同业绩的证明材料或可体现项目经理参与项目的服务成果的签字页、合同金额、雇主提供的声明等证明材料）。</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得</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4</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分，此项满分8分</w:t>
            </w:r>
          </w:p>
          <w:p w14:paraId="6F5A55D7">
            <w:pPr>
              <w:snapToGrid w:val="0"/>
              <w:textAlignment w:val="center"/>
              <w:rPr>
                <w:rFonts w:ascii="宋体" w:hAnsi="宋体" w:eastAsia="宋体" w:cs="宋体"/>
                <w:b/>
                <w:bCs/>
                <w:color w:val="000000" w:themeColor="text1"/>
                <w:kern w:val="2"/>
                <w:sz w:val="24"/>
                <w:szCs w:val="24"/>
                <w:highlight w:val="none"/>
                <w:lang w:bidi="zh-CN"/>
                <w14:textFill>
                  <w14:solidFill>
                    <w14:schemeClr w14:val="tx1"/>
                  </w14:solidFill>
                </w14:textFill>
              </w:rPr>
            </w:pPr>
            <w:r>
              <w:rPr>
                <w:rFonts w:ascii="宋体" w:hAnsi="宋体" w:eastAsia="宋体" w:cs="宋体"/>
                <w:b/>
                <w:bCs/>
                <w:color w:val="000000" w:themeColor="text1"/>
                <w:kern w:val="2"/>
                <w:sz w:val="24"/>
                <w:szCs w:val="24"/>
                <w:highlight w:val="none"/>
                <w:lang w:bidi="zh-CN"/>
                <w14:textFill>
                  <w14:solidFill>
                    <w14:schemeClr w14:val="tx1"/>
                  </w14:solidFill>
                </w14:textFill>
              </w:rPr>
              <w:t>项目组成员</w:t>
            </w:r>
            <w:r>
              <w:rPr>
                <w:rFonts w:hint="default" w:ascii="宋体" w:hAnsi="宋体" w:eastAsia="宋体" w:cs="宋体"/>
                <w:b/>
                <w:bCs/>
                <w:color w:val="000000" w:themeColor="text1"/>
                <w:kern w:val="2"/>
                <w:sz w:val="24"/>
                <w:szCs w:val="24"/>
                <w:highlight w:val="none"/>
                <w:lang w:bidi="zh-CN"/>
                <w14:textFill>
                  <w14:solidFill>
                    <w14:schemeClr w14:val="tx1"/>
                  </w14:solidFill>
                </w14:textFill>
              </w:rPr>
              <w:t>（</w:t>
            </w:r>
            <w:r>
              <w:rPr>
                <w:rFonts w:hint="default" w:ascii="宋体" w:hAnsi="宋体" w:eastAsia="宋体" w:cs="宋体"/>
                <w:b/>
                <w:bCs/>
                <w:color w:val="000000" w:themeColor="text1"/>
                <w:kern w:val="2"/>
                <w:sz w:val="24"/>
                <w:szCs w:val="24"/>
                <w:highlight w:val="none"/>
                <w:lang w:val="en-US" w:bidi="zh-CN"/>
                <w14:textFill>
                  <w14:solidFill>
                    <w14:schemeClr w14:val="tx1"/>
                  </w14:solidFill>
                </w14:textFill>
              </w:rPr>
              <w:t>此小项满分1</w:t>
            </w:r>
            <w:r>
              <w:rPr>
                <w:rFonts w:hint="eastAsia" w:ascii="宋体" w:hAnsi="宋体" w:eastAsia="宋体" w:cs="宋体"/>
                <w:b/>
                <w:bCs/>
                <w:color w:val="000000" w:themeColor="text1"/>
                <w:kern w:val="2"/>
                <w:sz w:val="24"/>
                <w:szCs w:val="24"/>
                <w:highlight w:val="none"/>
                <w:lang w:val="en-US" w:bidi="zh-CN"/>
                <w14:textFill>
                  <w14:solidFill>
                    <w14:schemeClr w14:val="tx1"/>
                  </w14:solidFill>
                </w14:textFill>
              </w:rPr>
              <w:t>2</w:t>
            </w:r>
            <w:r>
              <w:rPr>
                <w:rFonts w:hint="default" w:ascii="宋体" w:hAnsi="宋体" w:eastAsia="宋体" w:cs="宋体"/>
                <w:b/>
                <w:bCs/>
                <w:color w:val="000000" w:themeColor="text1"/>
                <w:kern w:val="2"/>
                <w:sz w:val="24"/>
                <w:szCs w:val="24"/>
                <w:highlight w:val="none"/>
                <w:lang w:val="en-US" w:bidi="zh-CN"/>
                <w14:textFill>
                  <w14:solidFill>
                    <w14:schemeClr w14:val="tx1"/>
                  </w14:solidFill>
                </w14:textFill>
              </w:rPr>
              <w:t>分</w:t>
            </w:r>
            <w:r>
              <w:rPr>
                <w:rFonts w:hint="default" w:ascii="宋体" w:hAnsi="宋体" w:eastAsia="宋体" w:cs="宋体"/>
                <w:b/>
                <w:bCs/>
                <w:color w:val="000000" w:themeColor="text1"/>
                <w:kern w:val="2"/>
                <w:sz w:val="24"/>
                <w:szCs w:val="24"/>
                <w:highlight w:val="none"/>
                <w:lang w:bidi="zh-CN"/>
                <w14:textFill>
                  <w14:solidFill>
                    <w14:schemeClr w14:val="tx1"/>
                  </w14:solidFill>
                </w14:textFill>
              </w:rPr>
              <w:t>）</w:t>
            </w:r>
            <w:r>
              <w:rPr>
                <w:rFonts w:ascii="宋体" w:hAnsi="宋体" w:eastAsia="宋体" w:cs="宋体"/>
                <w:b/>
                <w:bCs/>
                <w:color w:val="000000" w:themeColor="text1"/>
                <w:kern w:val="2"/>
                <w:sz w:val="24"/>
                <w:szCs w:val="24"/>
                <w:highlight w:val="none"/>
                <w:lang w:bidi="zh-CN"/>
                <w14:textFill>
                  <w14:solidFill>
                    <w14:schemeClr w14:val="tx1"/>
                  </w14:solidFill>
                </w14:textFill>
              </w:rPr>
              <w:t>：</w:t>
            </w:r>
          </w:p>
          <w:p w14:paraId="3CADB71E">
            <w:pPr>
              <w:pStyle w:val="58"/>
              <w:snapToGrid w:val="0"/>
              <w:spacing w:before="171" w:line="240" w:lineRule="auto"/>
              <w:ind w:left="112" w:right="37"/>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拟投入本项目的执业注册资产评估师数量在 3 人的，得 4 分，在此基础上每增加 1 人，加 2 分，满分 12 分。</w:t>
            </w:r>
          </w:p>
          <w:p w14:paraId="39FC5C22">
            <w:pPr>
              <w:pStyle w:val="58"/>
              <w:snapToGrid w:val="0"/>
              <w:spacing w:before="171" w:line="240" w:lineRule="auto"/>
              <w:ind w:left="112" w:right="37"/>
              <w:rPr>
                <w:rFonts w:hint="default" w:ascii="宋体" w:hAnsi="宋体" w:eastAsia="宋体" w:cs="宋体"/>
                <w:b w:val="0"/>
                <w:bCs w:val="0"/>
                <w:color w:val="000000" w:themeColor="text1"/>
                <w:kern w:val="2"/>
                <w:sz w:val="24"/>
                <w:szCs w:val="24"/>
                <w:highlight w:val="none"/>
                <w:lang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注：提供以上人员的身份证、相关证书、投标人为其缴纳的 2025 年 3 月以来连续三个月的社保证明等证明材料扫描/复印件，复印件加盖公章。</w:t>
            </w:r>
          </w:p>
        </w:tc>
        <w:tc>
          <w:tcPr>
            <w:tcW w:w="402" w:type="pct"/>
            <w:vMerge w:val="continue"/>
            <w:tcBorders>
              <w:left w:val="single" w:color="000000" w:sz="4" w:space="0"/>
              <w:bottom w:val="single" w:color="000000" w:sz="4" w:space="0"/>
              <w:right w:val="single" w:color="000000" w:sz="4" w:space="0"/>
            </w:tcBorders>
            <w:vAlign w:val="center"/>
          </w:tcPr>
          <w:p w14:paraId="485E5ACE">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p>
        </w:tc>
      </w:tr>
      <w:tr w14:paraId="4A971B19">
        <w:tblPrEx>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6E406F97">
            <w:pPr>
              <w:widowControl/>
              <w:snapToGrid w:val="0"/>
              <w:jc w:val="left"/>
              <w:textAlignment w:val="center"/>
              <w:rPr>
                <w:rFonts w:ascii="宋体" w:hAnsi="宋体" w:eastAsia="宋体" w:cs="宋体"/>
                <w:color w:val="000000" w:themeColor="text1"/>
                <w:sz w:val="24"/>
                <w:szCs w:val="24"/>
                <w:highlight w:val="none"/>
                <w:lang w:bidi="zh-CN"/>
                <w14:textFill>
                  <w14:solidFill>
                    <w14:schemeClr w14:val="tx1"/>
                  </w14:solidFill>
                </w14:textFill>
              </w:rPr>
            </w:pPr>
            <w:r>
              <w:rPr>
                <w:rFonts w:hint="default" w:ascii="宋体" w:hAnsi="宋体" w:eastAsia="宋体" w:cs="宋体"/>
                <w:b/>
                <w:bCs/>
                <w:color w:val="000000" w:themeColor="text1"/>
                <w:kern w:val="2"/>
                <w:sz w:val="24"/>
                <w:szCs w:val="24"/>
                <w:highlight w:val="none"/>
                <w:lang w:bidi="zh-CN"/>
                <w14:textFill>
                  <w14:solidFill>
                    <w14:schemeClr w14:val="tx1"/>
                  </w14:solidFill>
                </w14:textFill>
              </w:rPr>
              <w:t>二、资信部分（15分）</w:t>
            </w:r>
          </w:p>
        </w:tc>
      </w:tr>
      <w:tr w14:paraId="2C925BF2">
        <w:tblPrEx>
          <w:tblCellMar>
            <w:top w:w="0" w:type="dxa"/>
            <w:left w:w="108" w:type="dxa"/>
            <w:bottom w:w="0" w:type="dxa"/>
            <w:right w:w="108" w:type="dxa"/>
          </w:tblCellMar>
        </w:tblPrEx>
        <w:trPr>
          <w:trHeight w:val="0"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vAlign w:val="center"/>
          </w:tcPr>
          <w:p w14:paraId="7C07D24B">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一</w:t>
            </w:r>
            <w:r>
              <w:rPr>
                <w:rFonts w:hint="eastAsia" w:ascii="宋体" w:hAnsi="宋体" w:eastAsia="宋体" w:cs="宋体"/>
                <w:b/>
                <w:bCs/>
                <w:color w:val="000000" w:themeColor="text1"/>
                <w:kern w:val="0"/>
                <w:sz w:val="22"/>
                <w:highlight w:val="none"/>
                <w:lang w:bidi="ar"/>
                <w14:textFill>
                  <w14:solidFill>
                    <w14:schemeClr w14:val="tx1"/>
                  </w14:solidFill>
                </w14:textFill>
              </w:rPr>
              <w:t>）供应商业绩（15分）</w:t>
            </w:r>
          </w:p>
        </w:tc>
        <w:tc>
          <w:tcPr>
            <w:tcW w:w="508" w:type="pct"/>
            <w:tcBorders>
              <w:top w:val="single" w:color="000000" w:sz="4" w:space="0"/>
              <w:left w:val="single" w:color="000000" w:sz="4" w:space="0"/>
              <w:bottom w:val="single" w:color="000000" w:sz="4" w:space="0"/>
              <w:right w:val="single" w:color="000000" w:sz="4" w:space="0"/>
            </w:tcBorders>
            <w:vAlign w:val="center"/>
          </w:tcPr>
          <w:p w14:paraId="3C4476B7">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ascii="宋体" w:hAnsi="宋体" w:eastAsia="宋体" w:cs="宋体"/>
                <w:color w:val="000000" w:themeColor="text1"/>
                <w:kern w:val="0"/>
                <w:sz w:val="22"/>
                <w:highlight w:val="none"/>
                <w:lang w:bidi="ar"/>
                <w14:textFill>
                  <w14:solidFill>
                    <w14:schemeClr w14:val="tx1"/>
                  </w14:solidFill>
                </w14:textFill>
              </w:rPr>
              <w:t>15</w:t>
            </w:r>
          </w:p>
        </w:tc>
        <w:tc>
          <w:tcPr>
            <w:tcW w:w="3398" w:type="pct"/>
            <w:tcBorders>
              <w:top w:val="single" w:color="000000" w:sz="4" w:space="0"/>
              <w:left w:val="single" w:color="000000" w:sz="4" w:space="0"/>
              <w:bottom w:val="single" w:color="000000" w:sz="4" w:space="0"/>
              <w:right w:val="single" w:color="000000" w:sz="4" w:space="0"/>
            </w:tcBorders>
            <w:vAlign w:val="center"/>
          </w:tcPr>
          <w:p w14:paraId="0F3F1F92">
            <w:pPr>
              <w:widowControl/>
              <w:snapToGrid w:val="0"/>
              <w:jc w:val="left"/>
              <w:textAlignment w:val="center"/>
              <w:rPr>
                <w:rFonts w:ascii="宋体" w:hAnsi="宋体" w:eastAsia="宋体" w:cs="宋体"/>
                <w:color w:val="000000" w:themeColor="text1"/>
                <w:sz w:val="24"/>
                <w:szCs w:val="24"/>
                <w:highlight w:val="none"/>
                <w:lang w:bidi="zh-CN"/>
                <w14:textFill>
                  <w14:solidFill>
                    <w14:schemeClr w14:val="tx1"/>
                  </w14:solidFill>
                </w14:textFill>
              </w:rPr>
            </w:pPr>
            <w:r>
              <w:rPr>
                <w:rFonts w:hint="default" w:ascii="宋体" w:hAnsi="宋体" w:eastAsia="宋体" w:cs="宋体"/>
                <w:color w:val="000000" w:themeColor="text1"/>
                <w:sz w:val="24"/>
                <w:szCs w:val="24"/>
                <w:highlight w:val="none"/>
                <w:lang w:val="en-US" w:bidi="zh-CN"/>
                <w14:textFill>
                  <w14:solidFill>
                    <w14:schemeClr w14:val="tx1"/>
                  </w14:solidFill>
                </w14:textFill>
              </w:rPr>
              <w:t>供应商</w:t>
            </w:r>
            <w:r>
              <w:rPr>
                <w:rFonts w:hint="default" w:ascii="宋体" w:hAnsi="宋体" w:eastAsia="宋体" w:cs="宋体"/>
                <w:color w:val="000000" w:themeColor="text1"/>
                <w:sz w:val="24"/>
                <w:szCs w:val="24"/>
                <w:highlight w:val="none"/>
                <w:lang w:bidi="zh-CN"/>
                <w14:textFill>
                  <w14:solidFill>
                    <w14:schemeClr w14:val="tx1"/>
                  </w14:solidFill>
                </w14:textFill>
              </w:rPr>
              <w:t>自2022年1月1日以来，</w:t>
            </w:r>
            <w:r>
              <w:rPr>
                <w:rFonts w:hint="eastAsia" w:ascii="宋体" w:hAnsi="宋体" w:eastAsia="宋体" w:cs="宋体"/>
                <w:color w:val="000000" w:themeColor="text1"/>
                <w:sz w:val="24"/>
                <w:szCs w:val="24"/>
                <w:highlight w:val="none"/>
                <w:lang w:val="en-US" w:bidi="zh-CN"/>
                <w14:textFill>
                  <w14:solidFill>
                    <w14:schemeClr w14:val="tx1"/>
                  </w14:solidFill>
                </w14:textFill>
              </w:rPr>
              <w:t>做过股权资产评估的</w:t>
            </w:r>
            <w:r>
              <w:rPr>
                <w:rFonts w:hint="default" w:ascii="宋体" w:hAnsi="宋体" w:eastAsia="宋体" w:cs="宋体"/>
                <w:color w:val="000000" w:themeColor="text1"/>
                <w:sz w:val="24"/>
                <w:szCs w:val="24"/>
                <w:highlight w:val="none"/>
                <w:lang w:bidi="zh-CN"/>
                <w14:textFill>
                  <w14:solidFill>
                    <w14:schemeClr w14:val="tx1"/>
                  </w14:solidFill>
                </w14:textFill>
              </w:rPr>
              <w:t>每一个得</w:t>
            </w:r>
            <w:r>
              <w:rPr>
                <w:rFonts w:hint="default" w:ascii="宋体" w:hAnsi="宋体" w:eastAsia="宋体" w:cs="宋体"/>
                <w:color w:val="000000" w:themeColor="text1"/>
                <w:sz w:val="24"/>
                <w:szCs w:val="24"/>
                <w:highlight w:val="none"/>
                <w:lang w:val="en-US" w:bidi="zh-CN"/>
                <w14:textFill>
                  <w14:solidFill>
                    <w14:schemeClr w14:val="tx1"/>
                  </w14:solidFill>
                </w14:textFill>
              </w:rPr>
              <w:t>3</w:t>
            </w:r>
            <w:r>
              <w:rPr>
                <w:rFonts w:hint="default" w:ascii="宋体" w:hAnsi="宋体" w:eastAsia="宋体" w:cs="宋体"/>
                <w:color w:val="000000" w:themeColor="text1"/>
                <w:sz w:val="24"/>
                <w:szCs w:val="24"/>
                <w:highlight w:val="none"/>
                <w:lang w:bidi="zh-CN"/>
                <w14:textFill>
                  <w14:solidFill>
                    <w14:schemeClr w14:val="tx1"/>
                  </w14:solidFill>
                </w14:textFill>
              </w:rPr>
              <w:t>分，满分1</w:t>
            </w:r>
            <w:r>
              <w:rPr>
                <w:rFonts w:ascii="宋体" w:hAnsi="宋体" w:eastAsia="宋体" w:cs="宋体"/>
                <w:color w:val="000000" w:themeColor="text1"/>
                <w:sz w:val="24"/>
                <w:szCs w:val="24"/>
                <w:highlight w:val="none"/>
                <w:lang w:bidi="zh-CN"/>
                <w14:textFill>
                  <w14:solidFill>
                    <w14:schemeClr w14:val="tx1"/>
                  </w14:solidFill>
                </w14:textFill>
              </w:rPr>
              <w:t>5分。</w:t>
            </w:r>
          </w:p>
          <w:p w14:paraId="77B91984">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000000" w:themeColor="text1"/>
                <w:sz w:val="24"/>
                <w:szCs w:val="24"/>
                <w:highlight w:val="none"/>
                <w:lang w:bidi="zh-CN"/>
                <w14:textFill>
                  <w14:solidFill>
                    <w14:schemeClr w14:val="tx1"/>
                  </w14:solidFill>
                </w14:textFill>
              </w:rPr>
              <w:t>注：需提供中标通知书（如有）、合同关键页、签字页</w:t>
            </w:r>
            <w:r>
              <w:rPr>
                <w:rFonts w:hint="eastAsia" w:ascii="宋体" w:hAnsi="宋体" w:eastAsia="宋体" w:cs="宋体"/>
                <w:color w:val="000000" w:themeColor="text1"/>
                <w:sz w:val="24"/>
                <w:szCs w:val="24"/>
                <w:highlight w:val="none"/>
                <w:lang w:val="en-US" w:bidi="zh-CN"/>
                <w14:textFill>
                  <w14:solidFill>
                    <w14:schemeClr w14:val="tx1"/>
                  </w14:solidFill>
                </w14:textFill>
              </w:rPr>
              <w:t>的</w:t>
            </w:r>
            <w:r>
              <w:rPr>
                <w:rFonts w:ascii="宋体" w:hAnsi="宋体" w:eastAsia="宋体" w:cs="宋体"/>
                <w:color w:val="000000" w:themeColor="text1"/>
                <w:sz w:val="24"/>
                <w:szCs w:val="24"/>
                <w:highlight w:val="none"/>
                <w:lang w:bidi="zh-CN"/>
                <w14:textFill>
                  <w14:solidFill>
                    <w14:schemeClr w14:val="tx1"/>
                  </w14:solidFill>
                </w14:textFill>
              </w:rPr>
              <w:t>复印件。</w:t>
            </w:r>
          </w:p>
        </w:tc>
        <w:tc>
          <w:tcPr>
            <w:tcW w:w="402" w:type="pct"/>
            <w:tcBorders>
              <w:top w:val="single" w:color="000000" w:sz="4" w:space="0"/>
              <w:left w:val="single" w:color="000000" w:sz="4" w:space="0"/>
              <w:bottom w:val="single" w:color="000000" w:sz="4" w:space="0"/>
              <w:right w:val="single" w:color="000000" w:sz="4" w:space="0"/>
            </w:tcBorders>
            <w:vAlign w:val="center"/>
          </w:tcPr>
          <w:p w14:paraId="57C54FA6">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36203FF2">
        <w:tblPrEx>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784C250D">
            <w:pPr>
              <w:widowControl/>
              <w:snapToGrid w:val="0"/>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3509408A">
        <w:tblPrEx>
          <w:tblCellMar>
            <w:top w:w="0" w:type="dxa"/>
            <w:left w:w="108" w:type="dxa"/>
            <w:bottom w:w="0" w:type="dxa"/>
            <w:right w:w="108" w:type="dxa"/>
          </w:tblCellMar>
        </w:tblPrEx>
        <w:trPr>
          <w:trHeight w:val="312" w:hRule="atLeast"/>
          <w:jc w:val="center"/>
        </w:trPr>
        <w:tc>
          <w:tcPr>
            <w:tcW w:w="6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BDB1C9">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508" w:type="pct"/>
            <w:vMerge w:val="restart"/>
            <w:tcBorders>
              <w:top w:val="single" w:color="000000" w:sz="4" w:space="0"/>
              <w:left w:val="single" w:color="000000" w:sz="4" w:space="0"/>
              <w:bottom w:val="single" w:color="000000" w:sz="4" w:space="0"/>
              <w:right w:val="single" w:color="000000" w:sz="4" w:space="0"/>
            </w:tcBorders>
            <w:vAlign w:val="center"/>
          </w:tcPr>
          <w:p w14:paraId="0E333C6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3398" w:type="pct"/>
            <w:vMerge w:val="restart"/>
            <w:tcBorders>
              <w:top w:val="single" w:color="000000" w:sz="4" w:space="0"/>
              <w:left w:val="single" w:color="000000" w:sz="4" w:space="0"/>
              <w:bottom w:val="single" w:color="000000" w:sz="4" w:space="0"/>
              <w:right w:val="single" w:color="000000" w:sz="4" w:space="0"/>
            </w:tcBorders>
            <w:vAlign w:val="center"/>
          </w:tcPr>
          <w:p w14:paraId="5C8F0199">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kern w:val="0"/>
                <w:sz w:val="24"/>
                <w:szCs w:val="24"/>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402" w:type="pct"/>
            <w:vMerge w:val="restart"/>
            <w:tcBorders>
              <w:top w:val="single" w:color="000000" w:sz="4" w:space="0"/>
              <w:left w:val="single" w:color="000000" w:sz="4" w:space="0"/>
              <w:bottom w:val="single" w:color="000000" w:sz="4" w:space="0"/>
              <w:right w:val="single" w:color="000000" w:sz="4" w:space="0"/>
            </w:tcBorders>
            <w:vAlign w:val="center"/>
          </w:tcPr>
          <w:p w14:paraId="469B63A3">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0CA629F">
        <w:tblPrEx>
          <w:tblCellMar>
            <w:top w:w="0" w:type="dxa"/>
            <w:left w:w="108" w:type="dxa"/>
            <w:bottom w:w="0" w:type="dxa"/>
            <w:right w:w="108" w:type="dxa"/>
          </w:tblCellMar>
        </w:tblPrEx>
        <w:trPr>
          <w:trHeight w:val="312" w:hRule="atLeast"/>
          <w:jc w:val="center"/>
        </w:trPr>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5A48E">
            <w:pPr>
              <w:snapToGrid w:val="0"/>
              <w:jc w:val="center"/>
              <w:rPr>
                <w:rFonts w:ascii="宋体" w:hAnsi="宋体" w:eastAsia="宋体" w:cs="宋体"/>
                <w:color w:val="auto"/>
                <w:sz w:val="22"/>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4BBC8CCB">
            <w:pPr>
              <w:snapToGrid w:val="0"/>
              <w:jc w:val="center"/>
              <w:rPr>
                <w:rFonts w:ascii="宋体" w:hAnsi="宋体" w:eastAsia="宋体" w:cs="宋体"/>
                <w:color w:val="auto"/>
                <w:sz w:val="22"/>
                <w:highlight w:val="none"/>
              </w:rPr>
            </w:pPr>
          </w:p>
        </w:tc>
        <w:tc>
          <w:tcPr>
            <w:tcW w:w="3398" w:type="pct"/>
            <w:vMerge w:val="continue"/>
            <w:tcBorders>
              <w:top w:val="single" w:color="000000" w:sz="4" w:space="0"/>
              <w:left w:val="single" w:color="000000" w:sz="4" w:space="0"/>
              <w:bottom w:val="single" w:color="000000" w:sz="4" w:space="0"/>
              <w:right w:val="single" w:color="000000" w:sz="4" w:space="0"/>
            </w:tcBorders>
            <w:vAlign w:val="center"/>
          </w:tcPr>
          <w:p w14:paraId="0E52189D">
            <w:pPr>
              <w:snapToGrid w:val="0"/>
              <w:rPr>
                <w:rFonts w:ascii="宋体" w:hAnsi="宋体" w:eastAsia="宋体" w:cs="宋体"/>
                <w:color w:val="auto"/>
                <w:sz w:val="22"/>
                <w:highlight w:val="none"/>
              </w:rPr>
            </w:pPr>
          </w:p>
        </w:tc>
        <w:tc>
          <w:tcPr>
            <w:tcW w:w="402" w:type="pct"/>
            <w:vMerge w:val="continue"/>
            <w:tcBorders>
              <w:top w:val="single" w:color="000000" w:sz="4" w:space="0"/>
              <w:left w:val="single" w:color="000000" w:sz="4" w:space="0"/>
              <w:bottom w:val="single" w:color="000000" w:sz="4" w:space="0"/>
              <w:right w:val="single" w:color="000000" w:sz="4" w:space="0"/>
            </w:tcBorders>
            <w:vAlign w:val="center"/>
          </w:tcPr>
          <w:p w14:paraId="4568DE72">
            <w:pPr>
              <w:snapToGrid w:val="0"/>
              <w:jc w:val="center"/>
              <w:rPr>
                <w:rFonts w:ascii="宋体" w:hAnsi="宋体" w:eastAsia="宋体" w:cs="宋体"/>
                <w:color w:val="auto"/>
                <w:sz w:val="22"/>
                <w:highlight w:val="none"/>
              </w:rPr>
            </w:pPr>
          </w:p>
        </w:tc>
      </w:tr>
      <w:tr w14:paraId="742B04DB">
        <w:tblPrEx>
          <w:tblCellMar>
            <w:top w:w="0" w:type="dxa"/>
            <w:left w:w="108" w:type="dxa"/>
            <w:bottom w:w="0" w:type="dxa"/>
            <w:right w:w="108" w:type="dxa"/>
          </w:tblCellMar>
        </w:tblPrEx>
        <w:trPr>
          <w:trHeight w:val="0" w:hRule="atLeast"/>
          <w:jc w:val="center"/>
        </w:trPr>
        <w:tc>
          <w:tcPr>
            <w:tcW w:w="690" w:type="pct"/>
            <w:tcBorders>
              <w:top w:val="single" w:color="000000" w:sz="4" w:space="0"/>
              <w:left w:val="single" w:color="000000" w:sz="4" w:space="0"/>
              <w:bottom w:val="single" w:color="000000" w:sz="4" w:space="0"/>
              <w:right w:val="single" w:color="000000" w:sz="4" w:space="0"/>
            </w:tcBorders>
            <w:vAlign w:val="center"/>
          </w:tcPr>
          <w:p w14:paraId="472E542A">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508" w:type="pct"/>
            <w:tcBorders>
              <w:top w:val="single" w:color="000000" w:sz="4" w:space="0"/>
              <w:left w:val="single" w:color="000000" w:sz="4" w:space="0"/>
              <w:bottom w:val="single" w:color="000000" w:sz="4" w:space="0"/>
              <w:right w:val="single" w:color="000000" w:sz="4" w:space="0"/>
            </w:tcBorders>
            <w:vAlign w:val="center"/>
          </w:tcPr>
          <w:p w14:paraId="598420EB">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3398" w:type="pct"/>
            <w:tcBorders>
              <w:top w:val="single" w:color="000000" w:sz="4" w:space="0"/>
              <w:left w:val="single" w:color="000000" w:sz="4" w:space="0"/>
              <w:bottom w:val="single" w:color="000000" w:sz="4" w:space="0"/>
              <w:right w:val="single" w:color="000000" w:sz="4" w:space="0"/>
            </w:tcBorders>
            <w:vAlign w:val="center"/>
          </w:tcPr>
          <w:p w14:paraId="6D9F5AA1">
            <w:pPr>
              <w:snapToGrid w:val="0"/>
              <w:rPr>
                <w:rFonts w:ascii="宋体" w:hAnsi="宋体" w:eastAsia="宋体" w:cs="宋体"/>
                <w:b/>
                <w:bCs/>
                <w:color w:val="auto"/>
                <w:sz w:val="22"/>
                <w:highlight w: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46ED3CB2">
            <w:pPr>
              <w:snapToGrid w:val="0"/>
              <w:rPr>
                <w:rFonts w:ascii="宋体" w:hAnsi="宋体" w:eastAsia="宋体" w:cs="宋体"/>
                <w:b/>
                <w:bCs/>
                <w:color w:val="auto"/>
                <w:sz w:val="22"/>
                <w:highlight w:val="none"/>
              </w:rPr>
            </w:pPr>
          </w:p>
        </w:tc>
      </w:tr>
    </w:tbl>
    <w:p w14:paraId="3BE883A1">
      <w:pPr>
        <w:rPr>
          <w:color w:val="auto"/>
          <w:highlight w:val="none"/>
        </w:rPr>
      </w:pPr>
    </w:p>
    <w:p w14:paraId="08C2CCED">
      <w:pPr>
        <w:pStyle w:val="44"/>
        <w:spacing w:after="312"/>
        <w:rPr>
          <w:color w:val="auto"/>
          <w:highlight w:val="none"/>
        </w:rPr>
      </w:pPr>
      <w:r>
        <w:rPr>
          <w:color w:val="auto"/>
          <w:highlight w:val="none"/>
        </w:rPr>
        <w:br w:type="page"/>
      </w:r>
    </w:p>
    <w:p w14:paraId="4A3EBB71">
      <w:pPr>
        <w:pStyle w:val="2"/>
        <w:numPr>
          <w:ilvl w:val="-1"/>
          <w:numId w:val="0"/>
        </w:numPr>
        <w:spacing w:after="312"/>
        <w:ind w:left="0" w:firstLine="0"/>
        <w:rPr>
          <w:rFonts w:hint="default"/>
        </w:rPr>
      </w:pPr>
      <w:bookmarkStart w:id="10" w:name="_Toc5961"/>
      <w:r>
        <w:t>第四章  响应文件格式</w:t>
      </w:r>
      <w:bookmarkEnd w:id="10"/>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11" w:name="_Toc44229899"/>
      <w:bookmarkStart w:id="12" w:name="_Toc31723070"/>
      <w:bookmarkStart w:id="13" w:name="_Toc35611438"/>
      <w:bookmarkStart w:id="14" w:name="_Toc35611516"/>
      <w:bookmarkStart w:id="15" w:name="_Toc31728084"/>
      <w:bookmarkStart w:id="16" w:name="_Toc3069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11"/>
      <w:bookmarkEnd w:id="12"/>
      <w:bookmarkEnd w:id="13"/>
      <w:bookmarkEnd w:id="14"/>
      <w:bookmarkEnd w:id="15"/>
      <w:bookmarkEnd w:id="16"/>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4810F4-53E8-43CF-AE04-BE565052F6F0}"/>
  </w:font>
  <w:font w:name="黑体">
    <w:panose1 w:val="02010609060101010101"/>
    <w:charset w:val="86"/>
    <w:family w:val="auto"/>
    <w:pitch w:val="default"/>
    <w:sig w:usb0="800002BF" w:usb1="38CF7CFA" w:usb2="00000016" w:usb3="00000000" w:csb0="00040001" w:csb1="00000000"/>
    <w:embedRegular r:id="rId2" w:fontKey="{B90F94A2-035A-4D4F-82C3-1AE7C9C987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531A0B0-3190-4CEA-9036-D5A2CB85C95E}"/>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31771A30-BCC6-41B5-BCC9-B2A2CFD1552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43084C"/>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E028A3"/>
    <w:rsid w:val="71F907AC"/>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8640</Words>
  <Characters>9194</Characters>
  <Lines>80</Lines>
  <Paragraphs>22</Paragraphs>
  <TotalTime>2</TotalTime>
  <ScaleCrop>false</ScaleCrop>
  <LinksUpToDate>false</LinksUpToDate>
  <CharactersWithSpaces>10241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2025-11-17T07:16:33Z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FB5DBA69A8164CDB914839D7EFB2383A_13</vt:lpwstr>
  </property>
  <property fmtid="{D5CDD505-2E9C-101B-9397-08002B2CF9AE}" pid="4" name="KSOTemplateDocerSaveRecord">
    <vt:lpwstr>eyJoZGlkIjoiZTE5MDRkN2UyZWU2ZmU4NGE1YjI3ZDQ0MWRkNzEyYzkiLCJ1c2VySWQiOiI0MTg5MzY0NjEifQ==</vt:lpwstr>
  </property>
</Properties>
</file>