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再生铝浮选加工厂集装箱房采购项目</w:t>
      </w:r>
    </w:p>
    <w:p w14:paraId="124EC211">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2"/>
          <w:szCs w:val="32"/>
          <w:highlight w:val="none"/>
          <w:u w:val="single"/>
        </w:rPr>
        <w:t>广西</w:t>
      </w:r>
      <w:r>
        <w:rPr>
          <w:rFonts w:hint="eastAsia" w:ascii="宋体" w:hAnsi="宋体" w:cs="宋体"/>
          <w:b/>
          <w:bCs/>
          <w:color w:val="auto"/>
          <w:sz w:val="32"/>
          <w:szCs w:val="32"/>
          <w:highlight w:val="none"/>
          <w:u w:val="single"/>
          <w:lang w:val="en-US" w:eastAsia="zh-CN"/>
        </w:rPr>
        <w:t>保晟金属材料有限</w:t>
      </w:r>
      <w:r>
        <w:rPr>
          <w:rFonts w:hint="eastAsia" w:ascii="宋体" w:hAnsi="宋体" w:eastAsia="宋体" w:cs="宋体"/>
          <w:b/>
          <w:bCs/>
          <w:color w:val="auto"/>
          <w:sz w:val="32"/>
          <w:szCs w:val="32"/>
          <w:highlight w:val="none"/>
          <w:u w:val="single"/>
        </w:rPr>
        <w:t>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月</w:t>
      </w:r>
    </w:p>
    <w:p w14:paraId="6E540B16">
      <w:pPr>
        <w:pStyle w:val="16"/>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6"/>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再生铝浮选加工厂集装箱房采购项目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5"/>
          <w:rFonts w:hint="eastAsia" w:ascii="宋体" w:hAnsi="宋体" w:eastAsia="宋体" w:cs="宋体"/>
          <w:bCs/>
          <w:color w:val="auto"/>
          <w:sz w:val="24"/>
          <w:szCs w:val="24"/>
          <w:highlight w:val="none"/>
        </w:rPr>
        <w:t>http://www.qzmktjt.com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u w:val="single"/>
          <w:lang w:val="en-US" w:eastAsia="zh-CN"/>
        </w:rPr>
        <w:t>再生铝浮选加工厂集装箱房采购项目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工程内容：</w:t>
      </w:r>
      <w:r>
        <w:rPr>
          <w:rFonts w:hint="eastAsia" w:ascii="宋体" w:hAnsi="宋体" w:cs="宋体"/>
          <w:bCs/>
          <w:color w:val="auto"/>
          <w:kern w:val="2"/>
          <w:sz w:val="24"/>
          <w:szCs w:val="24"/>
          <w:highlight w:val="none"/>
          <w:lang w:val="en-US" w:eastAsia="zh-CN" w:bidi="ar-SA"/>
        </w:rPr>
        <w:t>6间</w:t>
      </w:r>
      <w:r>
        <w:rPr>
          <w:rFonts w:hint="eastAsia" w:ascii="宋体" w:hAnsi="宋体" w:eastAsia="宋体" w:cs="宋体"/>
          <w:bCs/>
          <w:color w:val="auto"/>
          <w:kern w:val="2"/>
          <w:sz w:val="24"/>
          <w:szCs w:val="24"/>
          <w:highlight w:val="none"/>
          <w:lang w:val="en-US" w:eastAsia="zh-CN" w:bidi="ar-SA"/>
        </w:rPr>
        <w:t>集装箱房基础指导、供货及</w:t>
      </w:r>
      <w:r>
        <w:rPr>
          <w:rFonts w:hint="eastAsia" w:ascii="宋体" w:hAnsi="宋体" w:cs="宋体"/>
          <w:bCs/>
          <w:color w:val="auto"/>
          <w:kern w:val="2"/>
          <w:sz w:val="24"/>
          <w:szCs w:val="24"/>
          <w:highlight w:val="none"/>
          <w:lang w:val="en-US" w:eastAsia="zh-CN" w:bidi="ar-SA"/>
        </w:rPr>
        <w:t>吊</w:t>
      </w:r>
      <w:r>
        <w:rPr>
          <w:rFonts w:hint="eastAsia" w:ascii="宋体" w:hAnsi="宋体" w:eastAsia="宋体" w:cs="宋体"/>
          <w:bCs/>
          <w:color w:val="auto"/>
          <w:kern w:val="2"/>
          <w:sz w:val="24"/>
          <w:szCs w:val="24"/>
          <w:highlight w:val="none"/>
          <w:lang w:val="en-US" w:eastAsia="zh-CN" w:bidi="ar-SA"/>
        </w:rPr>
        <w:t>装、线路接入、调试与验收等，确保集装箱房</w:t>
      </w:r>
      <w:r>
        <w:rPr>
          <w:rFonts w:hint="eastAsia" w:ascii="宋体" w:hAnsi="宋体" w:cs="宋体"/>
          <w:bCs/>
          <w:color w:val="auto"/>
          <w:kern w:val="2"/>
          <w:sz w:val="24"/>
          <w:szCs w:val="24"/>
          <w:highlight w:val="none"/>
          <w:lang w:val="en-US" w:eastAsia="zh-CN" w:bidi="ar-SA"/>
        </w:rPr>
        <w:t>合格</w:t>
      </w:r>
      <w:r>
        <w:rPr>
          <w:rFonts w:hint="eastAsia" w:ascii="宋体" w:hAnsi="宋体" w:eastAsia="宋体" w:cs="宋体"/>
          <w:bCs/>
          <w:color w:val="auto"/>
          <w:kern w:val="2"/>
          <w:sz w:val="24"/>
          <w:szCs w:val="24"/>
          <w:highlight w:val="none"/>
          <w:lang w:val="en-US" w:eastAsia="zh-CN" w:bidi="ar-SA"/>
        </w:rPr>
        <w:t>，满足现场生产运营管理需求。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捌万叁仟肆佰元整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83400.00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捌万叁仟肆佰元整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83400.00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25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eastAsia="zh-CN"/>
        </w:rPr>
        <w:t>改造</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设备</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的工程业绩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5"/>
          <w:rFonts w:hint="eastAsia" w:ascii="宋体" w:hAnsi="宋体" w:eastAsia="宋体" w:cs="宋体"/>
          <w:bCs/>
          <w:color w:val="auto"/>
          <w:sz w:val="24"/>
          <w:szCs w:val="24"/>
          <w:highlight w:val="none"/>
        </w:rPr>
        <w:t>//www.qzmktjt.com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5</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cs="宋体"/>
          <w:bCs/>
          <w:color w:val="auto"/>
          <w:szCs w:val="24"/>
          <w:highlight w:val="none"/>
          <w:u w:val="single"/>
          <w:lang w:val="en-US" w:eastAsia="zh-CN"/>
        </w:rPr>
        <w:t>保晟金属材料有限公司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cs="宋体"/>
          <w:bCs/>
          <w:color w:val="auto"/>
          <w:szCs w:val="24"/>
          <w:highlight w:val="none"/>
          <w:u w:val="single"/>
          <w:lang w:val="en-US" w:eastAsia="zh-CN"/>
        </w:rPr>
        <w:t>18577700080</w:t>
      </w:r>
      <w:r>
        <w:rPr>
          <w:rFonts w:hint="eastAsia" w:ascii="宋体" w:hAnsi="宋体" w:eastAsia="宋体" w:cs="宋体"/>
          <w:bCs/>
          <w:color w:val="auto"/>
          <w:szCs w:val="24"/>
          <w:highlight w:val="none"/>
          <w:u w:val="single"/>
        </w:rPr>
        <w:t>（</w:t>
      </w:r>
      <w:r>
        <w:rPr>
          <w:rFonts w:hint="eastAsia" w:ascii="宋体" w:hAnsi="宋体" w:cs="宋体"/>
          <w:bCs/>
          <w:color w:val="auto"/>
          <w:szCs w:val="24"/>
          <w:highlight w:val="none"/>
          <w:u w:val="single"/>
          <w:lang w:val="en-US" w:eastAsia="zh-CN"/>
        </w:rPr>
        <w:t>卢业诚</w:t>
      </w:r>
      <w:r>
        <w:rPr>
          <w:rFonts w:hint="eastAsia" w:ascii="宋体" w:hAnsi="宋体" w:eastAsia="宋体" w:cs="宋体"/>
          <w:bCs/>
          <w:color w:val="auto"/>
          <w:szCs w:val="24"/>
          <w:highlight w:val="none"/>
          <w:u w:val="single"/>
        </w:rPr>
        <w:t>）</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717AADA">
      <w:pPr>
        <w:numPr>
          <w:ilvl w:val="0"/>
          <w:numId w:val="0"/>
        </w:numPr>
        <w:adjustRightInd w:val="0"/>
        <w:snapToGrid w:val="0"/>
        <w:spacing w:before="156" w:beforeLines="50"/>
        <w:jc w:val="center"/>
      </w:pPr>
      <w:r>
        <w:rPr>
          <w:rFonts w:hint="eastAsia" w:ascii="宋体" w:hAnsi="宋体" w:eastAsia="宋体" w:cs="宋体"/>
          <w:b/>
          <w:bCs/>
          <w:color w:val="auto"/>
          <w:sz w:val="28"/>
          <w:szCs w:val="28"/>
          <w:highlight w:val="none"/>
          <w:lang w:bidi="zh-CN"/>
        </w:rPr>
        <w:t>采购需求表</w:t>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5564"/>
        <w:gridCol w:w="388"/>
        <w:gridCol w:w="425"/>
        <w:gridCol w:w="961"/>
      </w:tblGrid>
      <w:tr w14:paraId="50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14:paraId="03239D46">
            <w:pPr>
              <w:numPr>
                <w:ilvl w:val="0"/>
                <w:numId w:val="0"/>
              </w:numPr>
              <w:adjustRightInd w:val="0"/>
              <w:snapToGrid w:val="0"/>
              <w:spacing w:before="156" w:beforeLines="50"/>
              <w:jc w:val="left"/>
              <w:rPr>
                <w:rFonts w:hint="default" w:eastAsia="宋体"/>
                <w:vertAlign w:val="baseline"/>
                <w:lang w:val="en-US" w:eastAsia="zh-CN"/>
              </w:rPr>
            </w:pPr>
            <w:r>
              <w:rPr>
                <w:rFonts w:hint="eastAsia"/>
                <w:vertAlign w:val="baseline"/>
                <w:lang w:val="en-US" w:eastAsia="zh-CN"/>
              </w:rPr>
              <w:t>设备名称</w:t>
            </w:r>
          </w:p>
        </w:tc>
        <w:tc>
          <w:tcPr>
            <w:tcW w:w="5564" w:type="dxa"/>
          </w:tcPr>
          <w:p w14:paraId="32DCB3E5">
            <w:pPr>
              <w:numPr>
                <w:ilvl w:val="0"/>
                <w:numId w:val="0"/>
              </w:numPr>
              <w:adjustRightInd w:val="0"/>
              <w:snapToGrid w:val="0"/>
              <w:spacing w:before="156" w:beforeLines="50"/>
              <w:jc w:val="left"/>
              <w:rPr>
                <w:rFonts w:hint="default"/>
                <w:vertAlign w:val="baseline"/>
                <w:lang w:val="en-US" w:eastAsia="zh-CN"/>
              </w:rPr>
            </w:pPr>
            <w:r>
              <w:rPr>
                <w:rFonts w:hint="eastAsia"/>
                <w:vertAlign w:val="baseline"/>
                <w:lang w:val="en-US" w:eastAsia="zh-CN"/>
              </w:rPr>
              <w:t>参数</w:t>
            </w:r>
          </w:p>
        </w:tc>
        <w:tc>
          <w:tcPr>
            <w:tcW w:w="388" w:type="dxa"/>
          </w:tcPr>
          <w:p w14:paraId="594237A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数量</w:t>
            </w:r>
          </w:p>
        </w:tc>
        <w:tc>
          <w:tcPr>
            <w:tcW w:w="425" w:type="dxa"/>
          </w:tcPr>
          <w:p w14:paraId="76A08783">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单位</w:t>
            </w:r>
          </w:p>
        </w:tc>
        <w:tc>
          <w:tcPr>
            <w:tcW w:w="961" w:type="dxa"/>
          </w:tcPr>
          <w:p w14:paraId="3AEAE24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备注</w:t>
            </w:r>
          </w:p>
        </w:tc>
      </w:tr>
      <w:tr w14:paraId="2BF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834" w:type="dxa"/>
            <w:vAlign w:val="center"/>
          </w:tcPr>
          <w:p w14:paraId="0AEF50C3">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集装箱办公室</w:t>
            </w:r>
          </w:p>
        </w:tc>
        <w:tc>
          <w:tcPr>
            <w:tcW w:w="5564" w:type="dxa"/>
            <w:vMerge w:val="restart"/>
            <w:vAlign w:val="center"/>
          </w:tcPr>
          <w:p w14:paraId="28A42D1D">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▲1.新与旧:全新集装箱房(宽3米、长6米、高273米)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▲2.主体结构材质:Q235B国标镀锌钢结构，角柱厚度≥2.5mm，顶/底框主梁厚度≥2.3mm，镀锌层厚度≥85g/nm2，焊缝做防锈防腐处理，适配工业厂区高负荷使用需求 </w:t>
            </w:r>
          </w:p>
          <w:p w14:paraId="573598D0">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▲3.保温隔热性能:墙体夹芯层为50mm厚A级防火岩棉，导热系数≤0.040W/(m-K):屋面保温层厚度&gt;50mm，整体传热系数K≤0.6W/(m2.K)，适配厂区高低温环境使用       </w:t>
            </w:r>
          </w:p>
          <w:p w14:paraId="610E95EC">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▲4.墙面系统:内外壁采用国标彩钢板，外板厚度≥0.45mm，内板厚度≥0.25mm，工业灰配色:夹芯层为A级防火岩棉，厚度50mm，整体平整度≤2mm/m，抗冲击性能≥15J</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▲5.屋面系统:外彩钢板厚度≥0.3mm，工业灰配色，采用双坡防水密封设计，屋面坡度≥3%，设置防积水、防紫外线构造，整体防水等级不低于I级，适配户外长期使用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▲6.地面系统:基层为18mm厚高强度水泥纤维板，表面做防滑耐磨工业地坪处理:地面承载能力≥2.5kN/m2，平整度≤3mm/m，防水防潮，适配厂区设备放置与人员高频通行</w:t>
            </w:r>
          </w:p>
          <w:p w14:paraId="5E226F0C">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▲7.门窗配置:主门为1.2mx2.1m工业级不锈钢防盗门，配备防盗锁、重型合页，密封防尘防水;窗户为1.5mx1.2m铝合金推拉窗2套，配备金刚网纱窗及窗帘，隔音隔热，适配厂区粉尘环境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▲8.结构安全性能:抗风等级≥12级，抗震设防烈度≥7度，整体结构安全符合《钢结构工程施工质量验收标准》GB50205要求:适用温度范围-20°C~60°C，正常使用寿命≥20年，适配工业厂区恶劣环境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防水防腐性能:所有钢结构件均做热镀锌防腐处理，焊缝处做防锈底漆+工业面漆双重处理;屋面、墙面、门窗接缝处均采用耐候防水玻璃胶+丁基胶双重密封，无渗漏隐患，适配再生铝厂区潮湿、有腐蚀性气体的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▲10.空调：每间集装箱房配备1间全新</w:t>
            </w:r>
            <w:r>
              <w:rPr>
                <w:rFonts w:hint="eastAsia" w:ascii="宋体" w:hAnsi="宋体" w:cs="宋体"/>
                <w:i w:val="0"/>
                <w:iCs w:val="0"/>
                <w:color w:val="000000"/>
                <w:kern w:val="0"/>
                <w:sz w:val="15"/>
                <w:szCs w:val="15"/>
                <w:u w:val="none"/>
                <w:lang w:val="en-US" w:eastAsia="zh-CN" w:bidi="ar"/>
              </w:rPr>
              <w:t>一级耗能</w:t>
            </w:r>
            <w:r>
              <w:rPr>
                <w:rFonts w:hint="eastAsia" w:ascii="宋体" w:hAnsi="宋体" w:eastAsia="宋体" w:cs="宋体"/>
                <w:i w:val="0"/>
                <w:iCs w:val="0"/>
                <w:color w:val="000000"/>
                <w:kern w:val="0"/>
                <w:sz w:val="15"/>
                <w:szCs w:val="15"/>
                <w:u w:val="none"/>
                <w:lang w:val="en-US" w:eastAsia="zh-CN" w:bidi="ar"/>
              </w:rPr>
              <w:t>1.5匹以上挂壁式格力空调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▲11.灯管：每间集装箱房配备2 盏38-50W的LED管式灯管及开关</w:t>
            </w:r>
          </w:p>
          <w:p w14:paraId="2E18CEA0">
            <w:pPr>
              <w:keepNext/>
              <w:keepLines w:val="0"/>
              <w:widowControl/>
              <w:suppressLineNumbers w:val="0"/>
              <w:snapToGrid w:val="0"/>
              <w:jc w:val="left"/>
              <w:textAlignment w:val="center"/>
              <w:rPr>
                <w:rFonts w:hint="eastAsia"/>
                <w:sz w:val="18"/>
                <w:szCs w:val="18"/>
                <w:vertAlign w:val="baseline"/>
                <w:lang w:val="en-US" w:eastAsia="zh-CN"/>
              </w:rPr>
            </w:pPr>
            <w:r>
              <w:rPr>
                <w:rFonts w:hint="eastAsia" w:ascii="宋体" w:hAnsi="宋体" w:eastAsia="宋体" w:cs="宋体"/>
                <w:i w:val="0"/>
                <w:iCs w:val="0"/>
                <w:color w:val="000000"/>
                <w:kern w:val="0"/>
                <w:sz w:val="15"/>
                <w:szCs w:val="15"/>
                <w:u w:val="none"/>
                <w:lang w:val="en-US" w:eastAsia="zh-CN" w:bidi="ar"/>
              </w:rPr>
              <w:t>▲12.线路：每间集装箱房配备3-4个插座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▲13.为了方便参数核对及后期设备验收，以上参数以集装箱房实际参数值为准，投标时请提供参数表复印件或影印件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标准配置：主体钢结构框架、A级防火保温夹芯板墙体、屋面、高强度水泥纤维板防滑地面:1套工业级不锈钢防盗门、2套铝合金推拉窗(含金刚网纱窗);室内LED照明、开关、插座全套电气系统:1套标准配电箱(含漏电、过载、短路保护);所有线路、管件、密封胶、五金配件等辅材;产品合格证、材质检测报告、防火检测报告、安装使用说明书等全套技术资料</w:t>
            </w:r>
          </w:p>
        </w:tc>
        <w:tc>
          <w:tcPr>
            <w:tcW w:w="388" w:type="dxa"/>
            <w:vAlign w:val="center"/>
          </w:tcPr>
          <w:p w14:paraId="7145D021">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4</w:t>
            </w:r>
          </w:p>
        </w:tc>
        <w:tc>
          <w:tcPr>
            <w:tcW w:w="425" w:type="dxa"/>
            <w:vAlign w:val="center"/>
          </w:tcPr>
          <w:p w14:paraId="4F4E9E5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restart"/>
            <w:shd w:val="clear" w:color="auto" w:fill="auto"/>
            <w:vAlign w:val="center"/>
          </w:tcPr>
          <w:p w14:paraId="7627AE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配备空调、窗帘、照明、插座</w:t>
            </w:r>
          </w:p>
        </w:tc>
      </w:tr>
      <w:tr w14:paraId="7FE8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834" w:type="dxa"/>
            <w:vAlign w:val="center"/>
          </w:tcPr>
          <w:p w14:paraId="4F3F878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地磅室</w:t>
            </w:r>
          </w:p>
        </w:tc>
        <w:tc>
          <w:tcPr>
            <w:tcW w:w="5564" w:type="dxa"/>
            <w:vMerge w:val="continue"/>
            <w:vAlign w:val="center"/>
          </w:tcPr>
          <w:p w14:paraId="1716B415">
            <w:pPr>
              <w:numPr>
                <w:ilvl w:val="0"/>
                <w:numId w:val="0"/>
              </w:numPr>
              <w:adjustRightInd w:val="0"/>
              <w:snapToGrid w:val="0"/>
              <w:spacing w:before="156" w:beforeLines="50"/>
              <w:jc w:val="center"/>
              <w:rPr>
                <w:rFonts w:hint="eastAsia"/>
                <w:sz w:val="18"/>
                <w:szCs w:val="18"/>
                <w:vertAlign w:val="baseline"/>
                <w:lang w:val="en-US" w:eastAsia="zh-CN"/>
              </w:rPr>
            </w:pPr>
          </w:p>
        </w:tc>
        <w:tc>
          <w:tcPr>
            <w:tcW w:w="388" w:type="dxa"/>
            <w:vAlign w:val="center"/>
          </w:tcPr>
          <w:p w14:paraId="2427479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425" w:type="dxa"/>
            <w:vAlign w:val="center"/>
          </w:tcPr>
          <w:p w14:paraId="132C060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continue"/>
          </w:tcPr>
          <w:p w14:paraId="41F3FA2F">
            <w:pPr>
              <w:numPr>
                <w:ilvl w:val="0"/>
                <w:numId w:val="0"/>
              </w:numPr>
              <w:adjustRightInd w:val="0"/>
              <w:snapToGrid w:val="0"/>
              <w:spacing w:before="156" w:beforeLines="50"/>
              <w:jc w:val="left"/>
              <w:rPr>
                <w:sz w:val="18"/>
                <w:szCs w:val="18"/>
                <w:vertAlign w:val="baseline"/>
              </w:rPr>
            </w:pPr>
          </w:p>
        </w:tc>
      </w:tr>
      <w:tr w14:paraId="31E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14:paraId="3D0A6EC4">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门卫室</w:t>
            </w:r>
          </w:p>
        </w:tc>
        <w:tc>
          <w:tcPr>
            <w:tcW w:w="5564" w:type="dxa"/>
            <w:vMerge w:val="continue"/>
            <w:vAlign w:val="center"/>
          </w:tcPr>
          <w:p w14:paraId="42533379">
            <w:pPr>
              <w:numPr>
                <w:ilvl w:val="0"/>
                <w:numId w:val="0"/>
              </w:numPr>
              <w:adjustRightInd w:val="0"/>
              <w:snapToGrid w:val="0"/>
              <w:spacing w:before="156" w:beforeLines="50"/>
              <w:jc w:val="center"/>
              <w:rPr>
                <w:rFonts w:hint="eastAsia"/>
                <w:sz w:val="18"/>
                <w:szCs w:val="18"/>
                <w:vertAlign w:val="baseline"/>
                <w:lang w:val="en-US" w:eastAsia="zh-CN"/>
              </w:rPr>
            </w:pPr>
          </w:p>
        </w:tc>
        <w:tc>
          <w:tcPr>
            <w:tcW w:w="388" w:type="dxa"/>
            <w:vAlign w:val="center"/>
          </w:tcPr>
          <w:p w14:paraId="6747B5AC">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425" w:type="dxa"/>
            <w:vAlign w:val="center"/>
          </w:tcPr>
          <w:p w14:paraId="09C8BCC5">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continue"/>
          </w:tcPr>
          <w:p w14:paraId="798A0703">
            <w:pPr>
              <w:numPr>
                <w:ilvl w:val="0"/>
                <w:numId w:val="0"/>
              </w:numPr>
              <w:adjustRightInd w:val="0"/>
              <w:snapToGrid w:val="0"/>
              <w:spacing w:before="156" w:beforeLines="50"/>
              <w:jc w:val="left"/>
              <w:rPr>
                <w:sz w:val="18"/>
                <w:szCs w:val="18"/>
                <w:vertAlign w:val="baseline"/>
              </w:rPr>
            </w:pPr>
          </w:p>
        </w:tc>
      </w:tr>
    </w:tbl>
    <w:p w14:paraId="342AA0FB">
      <w:pPr>
        <w:numPr>
          <w:ilvl w:val="0"/>
          <w:numId w:val="0"/>
        </w:numPr>
        <w:adjustRightInd w:val="0"/>
        <w:snapToGrid w:val="0"/>
        <w:spacing w:before="156" w:beforeLines="50"/>
        <w:jc w:val="left"/>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25</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设备安装、称重系统配置及验收调试等工程</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本工程不设预付款项。待乙方依约完成全部工程施工内容并通过竣工验收后，甲方应于工程竣工验收合格之日起15个工作日内，向乙方支付合同总价款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w:t>
            </w:r>
            <w:r>
              <w:rPr>
                <w:rFonts w:hint="eastAsia" w:ascii="方正仿宋_GBK" w:hAnsi="方正仿宋_GBK" w:eastAsia="方正仿宋_GBK" w:cs="方正仿宋_GBK"/>
                <w:color w:val="auto"/>
                <w:kern w:val="2"/>
                <w:sz w:val="21"/>
                <w:szCs w:val="22"/>
                <w:highlight w:val="none"/>
                <w:lang w:eastAsia="zh-CN" w:bidi="ar-SA"/>
              </w:rPr>
              <w:t>增值税专用发票</w:t>
            </w:r>
            <w:r>
              <w:rPr>
                <w:rFonts w:hint="eastAsia" w:ascii="方正仿宋_GBK" w:hAnsi="方正仿宋_GBK" w:eastAsia="方正仿宋_GBK" w:cs="方正仿宋_GBK"/>
                <w:color w:val="auto"/>
                <w:kern w:val="2"/>
                <w:sz w:val="21"/>
                <w:szCs w:val="22"/>
                <w:highlight w:val="none"/>
                <w:lang w:bidi="ar-SA"/>
              </w:rPr>
              <w:t>。</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6C55F48">
            <w:pPr>
              <w:widowControl/>
              <w:adjustRightInd w:val="0"/>
              <w:snapToGrid w:val="0"/>
              <w:jc w:val="left"/>
              <w:textAlignment w:val="center"/>
              <w:rPr>
                <w:rFonts w:hint="eastAsia"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无</w:t>
            </w:r>
          </w:p>
        </w:tc>
      </w:tr>
    </w:tbl>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6"/>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w:t>
            </w:r>
            <w:r>
              <w:rPr>
                <w:rFonts w:hint="eastAsia" w:ascii="方正仿宋_GBK" w:hAnsi="方正仿宋_GBK" w:eastAsia="方正仿宋_GBK" w:cs="方正仿宋_GBK"/>
                <w:color w:val="auto"/>
                <w:sz w:val="24"/>
                <w:szCs w:val="24"/>
                <w:highlight w:val="none"/>
                <w:lang w:val="en-US" w:eastAsia="zh-CN"/>
              </w:rPr>
              <w:t>广西保晟金属材料有限公司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卢业诚</w:t>
            </w:r>
          </w:p>
          <w:p w14:paraId="1321516D">
            <w:pPr>
              <w:pStyle w:val="7"/>
              <w:spacing w:line="360" w:lineRule="exact"/>
              <w:jc w:val="lef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18577700080</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sz w:val="24"/>
                <w:szCs w:val="24"/>
                <w:highlight w:val="none"/>
                <w:u w:val="single"/>
                <w:lang w:val="en-US" w:eastAsia="zh-CN"/>
              </w:rPr>
              <w:t>再生铝浮选加工厂集装箱房采购项目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人民币（大写）捌万叁仟肆佰元整（￥：83400.00元）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人民币（大写）捌万叁仟肆佰元整（￥：83400.00元）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5"/>
                <w:rFonts w:hint="eastAsia" w:ascii="方正仿宋_GBK" w:hAnsi="方正仿宋_GBK" w:eastAsia="方正仿宋_GBK" w:cs="方正仿宋_GBK"/>
                <w:color w:val="auto"/>
                <w:sz w:val="24"/>
                <w:szCs w:val="24"/>
                <w:highlight w:val="none"/>
              </w:rPr>
              <w:t>http://www.qzmktjt.com</w:t>
            </w:r>
            <w:r>
              <w:rPr>
                <w:rStyle w:val="15"/>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，依法能实施本次采购工程的供应商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的工程业绩</w:t>
            </w:r>
            <w:r>
              <w:rPr>
                <w:rFonts w:hint="eastAsia" w:ascii="方正仿宋_GBK" w:hAnsi="方正仿宋_GBK" w:eastAsia="方正仿宋_GBK" w:cs="方正仿宋_GBK"/>
                <w:bCs/>
                <w:color w:val="auto"/>
                <w:sz w:val="24"/>
                <w:szCs w:val="24"/>
                <w:highlight w:val="none"/>
                <w:lang w:eastAsia="zh-CN"/>
              </w:rPr>
              <w:t xml:space="preserve"> </w:t>
            </w:r>
            <w:r>
              <w:rPr>
                <w:rFonts w:hint="eastAsia" w:ascii="方正仿宋_GBK" w:hAnsi="方正仿宋_GBK" w:eastAsia="方正仿宋_GBK" w:cs="方正仿宋_GBK"/>
                <w:bCs/>
                <w:color w:val="auto"/>
                <w:sz w:val="24"/>
                <w:szCs w:val="24"/>
                <w:highlight w:val="none"/>
              </w:rPr>
              <w:t>，并附上相应的合同复印件，至少需提供1个及以上的业绩。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正本1份，副本2份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5"/>
          <w:rFonts w:ascii="宋体" w:hAnsi="宋体" w:eastAsia="宋体" w:cs="宋体"/>
          <w:color w:val="auto"/>
          <w:sz w:val="24"/>
          <w:szCs w:val="24"/>
          <w:highlight w:val="none"/>
          <w:lang w:bidi="zh-CN"/>
        </w:rPr>
        <w:t>http://www.</w:t>
      </w:r>
      <w:r>
        <w:rPr>
          <w:rStyle w:val="15"/>
          <w:rFonts w:hint="eastAsia" w:ascii="宋体" w:hAnsi="宋体" w:eastAsia="宋体" w:cs="宋体"/>
          <w:color w:val="auto"/>
          <w:sz w:val="24"/>
          <w:szCs w:val="24"/>
          <w:highlight w:val="none"/>
          <w:lang w:bidi="zh-CN"/>
        </w:rPr>
        <w:t>qzmktjt</w:t>
      </w:r>
      <w:r>
        <w:rPr>
          <w:rStyle w:val="15"/>
          <w:rFonts w:ascii="宋体" w:hAnsi="宋体" w:eastAsia="宋体" w:cs="宋体"/>
          <w:color w:val="auto"/>
          <w:sz w:val="24"/>
          <w:szCs w:val="24"/>
          <w:highlight w:val="none"/>
          <w:lang w:bidi="zh-CN"/>
        </w:rPr>
        <w:t>.com</w:t>
      </w:r>
      <w:r>
        <w:rPr>
          <w:rStyle w:val="15"/>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6"/>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供货、吊</w:t>
            </w:r>
            <w:bookmarkStart w:id="9" w:name="_GoBack"/>
            <w:bookmarkEnd w:id="9"/>
            <w:r>
              <w:rPr>
                <w:rFonts w:hint="eastAsia" w:ascii="宋体" w:hAnsi="宋体" w:cs="宋体"/>
                <w:b/>
                <w:bCs/>
                <w:color w:val="auto"/>
                <w:kern w:val="0"/>
                <w:sz w:val="22"/>
                <w:highlight w:val="none"/>
                <w:lang w:val="en-US" w:eastAsia="zh-CN" w:bidi="ar"/>
              </w:rPr>
              <w:t>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55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55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41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55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40</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30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  （30分）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30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0-30分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6"/>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1723070"/>
      <w:bookmarkStart w:id="4" w:name="_Toc30694"/>
      <w:bookmarkStart w:id="5" w:name="_Toc35611438"/>
      <w:bookmarkStart w:id="6" w:name="_Toc35611516"/>
      <w:bookmarkStart w:id="7" w:name="_Toc44229899"/>
      <w:bookmarkStart w:id="8" w:name="_Toc31728084"/>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7DC6D97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b w:val="0"/>
          <w:bCs w:val="0"/>
          <w:color w:val="auto"/>
          <w:sz w:val="24"/>
          <w:szCs w:val="24"/>
          <w:highlight w:val="none"/>
          <w:u w:val="single"/>
          <w:lang w:val="en-US" w:eastAsia="zh-CN"/>
        </w:rPr>
        <w:t>再生铝浮选加工厂集装箱房采购项目</w:t>
      </w:r>
    </w:p>
    <w:tbl>
      <w:tblPr>
        <w:tblStyle w:val="11"/>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3"/>
        <w:gridCol w:w="4362"/>
        <w:gridCol w:w="463"/>
        <w:gridCol w:w="475"/>
        <w:gridCol w:w="837"/>
        <w:gridCol w:w="838"/>
        <w:gridCol w:w="712"/>
        <w:gridCol w:w="548"/>
      </w:tblGrid>
      <w:tr w14:paraId="5F8C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83" w:type="dxa"/>
            <w:tcBorders>
              <w:top w:val="single" w:color="000000" w:sz="4" w:space="0"/>
              <w:left w:val="single" w:color="000000" w:sz="4" w:space="0"/>
              <w:bottom w:val="single" w:color="000000" w:sz="4" w:space="0"/>
              <w:right w:val="single" w:color="000000" w:sz="4" w:space="0"/>
            </w:tcBorders>
            <w:noWrap w:val="0"/>
            <w:vAlign w:val="center"/>
          </w:tcPr>
          <w:p w14:paraId="1969537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名称</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511F88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参数</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55BF956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数量</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F614D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3871BB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单价</w:t>
            </w:r>
          </w:p>
          <w:p w14:paraId="2B480D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D71834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合价</w:t>
            </w:r>
          </w:p>
          <w:p w14:paraId="0E1762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4D01A9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费用类型</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200CE7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备注</w:t>
            </w:r>
          </w:p>
        </w:tc>
      </w:tr>
      <w:tr w14:paraId="059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383" w:type="dxa"/>
            <w:tcBorders>
              <w:top w:val="single" w:color="000000" w:sz="4" w:space="0"/>
              <w:left w:val="single" w:color="000000" w:sz="4" w:space="0"/>
              <w:right w:val="single" w:color="000000" w:sz="4" w:space="0"/>
            </w:tcBorders>
            <w:noWrap w:val="0"/>
            <w:vAlign w:val="center"/>
          </w:tcPr>
          <w:p w14:paraId="577C657C">
            <w:pPr>
              <w:keepNext w:val="0"/>
              <w:keepLines w:val="0"/>
              <w:widowControl/>
              <w:suppressLineNumbers w:val="0"/>
              <w:snapToGrid w:val="0"/>
              <w:ind w:left="0" w:leftChars="0" w:right="0" w:rightChars="0" w:firstLine="0" w:firstLineChars="0"/>
              <w:jc w:val="both"/>
              <w:textAlignment w:val="center"/>
              <w:rPr>
                <w:rFonts w:hint="default" w:ascii="方正仿宋_GBK" w:hAnsi="方正仿宋_GBK" w:eastAsia="方正仿宋_GBK" w:cs="方正仿宋_GBK"/>
                <w:i w:val="0"/>
                <w:iCs w:val="0"/>
                <w:color w:val="000000"/>
                <w:kern w:val="2"/>
                <w:sz w:val="20"/>
                <w:szCs w:val="22"/>
                <w:u w:val="none"/>
                <w:lang w:val="en-US" w:eastAsia="zh-CN" w:bidi="ar-SA"/>
              </w:rPr>
            </w:pPr>
            <w:r>
              <w:rPr>
                <w:rFonts w:hint="eastAsia" w:ascii="宋体" w:hAnsi="宋体" w:eastAsia="宋体" w:cs="宋体"/>
                <w:i w:val="0"/>
                <w:iCs w:val="0"/>
                <w:color w:val="000000"/>
                <w:kern w:val="2"/>
                <w:sz w:val="20"/>
                <w:szCs w:val="22"/>
                <w:u w:val="none"/>
                <w:lang w:val="en-US" w:eastAsia="zh-CN" w:bidi="ar-SA"/>
              </w:rPr>
              <w:t>集装箱房</w:t>
            </w:r>
          </w:p>
        </w:tc>
        <w:tc>
          <w:tcPr>
            <w:tcW w:w="4362" w:type="dxa"/>
            <w:tcBorders>
              <w:top w:val="single" w:color="000000" w:sz="4" w:space="0"/>
              <w:left w:val="single" w:color="000000" w:sz="4" w:space="0"/>
              <w:right w:val="single" w:color="000000" w:sz="4" w:space="0"/>
            </w:tcBorders>
            <w:noWrap w:val="0"/>
            <w:vAlign w:val="center"/>
          </w:tcPr>
          <w:p w14:paraId="7D88C45B">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▲1.新与旧:全新集装箱房(宽3米、长6米、高273米)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▲2.主体结构材质:Q235B国标镀锌钢结构，角柱厚度≥2.5mm，顶/底框主梁厚度≥2.3mm，镀锌层厚度≥85g/nm2，焊缝做防锈防腐处理，适配工业厂区高负荷使用需求 </w:t>
            </w:r>
          </w:p>
          <w:p w14:paraId="45EFFCB7">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▲3.保温隔热性能:墙体夹芯层为50mm厚A级防火岩棉，导热系数≤0.040W/(m-K):屋面保温层厚度&gt;50mm，整体传热系数K≤0.6W/(m2.K)，适配厂区高低温环境使用       </w:t>
            </w:r>
          </w:p>
          <w:p w14:paraId="37E0AD9A">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▲4.墙面系统:内外壁采用国标彩钢板，外板厚度≥0.45mm，内板厚度≥0.25mm，工业灰配色:夹芯层为A级防火岩棉，厚度50mm，整体平整度≤2mm/m，抗冲击性能≥15J</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▲5.屋面系统:外彩钢板厚度≥0.3mm，工业灰配色，采用双坡防水密封设计，屋面坡度≥3%，设置防积水、防紫外线构造，整体防水等级不低于I级，适配户外长期使用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▲6.地面系统:基层为18mm厚高强度水泥纤维板，表面做防滑耐磨工业地坪处理:地面承载能力≥2.5kN/m2，平整度≤3mm/m，防水防潮，适配厂区设备放置与人员高频通行</w:t>
            </w:r>
          </w:p>
          <w:p w14:paraId="28141C4E">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▲7.门窗配置:主门为1.2mx2.1m工业级不锈钢防盗门，配备防盗锁、重型合页，密封防尘防水;窗户为1.5mx1.2m铝合金推拉窗2套，配备金刚网纱窗及窗帘，隔音隔热，适配厂区粉尘环境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▲8.结构安全性能:抗风等级≥12级，抗震设防烈度≥7度，整体结构安全符合《钢结构工程施工质量验收标准》GB50205要求:适用温度范围-20°C~60°C，正常使用寿命≥20年，适配工业厂区恶劣环境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防水防腐性能:所有钢结构件均做热镀锌防腐处理，焊缝处做防锈底漆+工业面漆双重处理;屋面、墙面、门窗接缝处均采用耐候防水玻璃胶+丁基胶双重密封，无渗漏隐患，适配再生铝厂区潮湿、有腐蚀性气体的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▲10.空调：每间集装箱房配备1间全新1.5匹以上挂壁式格力空调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▲11.灯管：每间集装箱房配备2 盏38-50W的LED管式灯管及开关</w:t>
            </w:r>
          </w:p>
          <w:p w14:paraId="5B8BF1F9">
            <w:pPr>
              <w:keepNext w:val="0"/>
              <w:keepLines w:val="0"/>
              <w:widowControl/>
              <w:suppressLineNumbers w:val="0"/>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▲12.线路：每间集装箱房配备3-4个插座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▲13.为了方便参数核对及后期设备验收，以上参数以集装箱房实际参数值为准，投标时请提供参数表复印件或影印件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标准配置：主体钢结构框架、A级防火保温夹芯板墙体、屋面、高强度水泥纤维板防滑地面:1套工业级不锈钢防盗门、2套铝合金推拉窗(含金刚网纱窗);室内LED照明、开关、插座全套电气系统:1套标准配电箱(含漏电、过载、短路保护);所有线路、管件、密封胶、五金配件等辅材;产品合格证、材质检测报告、防火检测报告、安装使用说明书等全套技术资料</w:t>
            </w:r>
          </w:p>
        </w:tc>
        <w:tc>
          <w:tcPr>
            <w:tcW w:w="463" w:type="dxa"/>
            <w:tcBorders>
              <w:top w:val="single" w:color="000000" w:sz="4" w:space="0"/>
              <w:left w:val="single" w:color="000000" w:sz="4" w:space="0"/>
              <w:right w:val="single" w:color="000000" w:sz="4" w:space="0"/>
            </w:tcBorders>
            <w:noWrap w:val="0"/>
            <w:vAlign w:val="center"/>
          </w:tcPr>
          <w:p w14:paraId="5374703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4"/>
                <w:u w:val="none"/>
                <w:lang w:val="en-US" w:eastAsia="zh-CN" w:bidi="ar"/>
              </w:rPr>
            </w:pPr>
            <w:r>
              <w:rPr>
                <w:rFonts w:hint="eastAsia" w:ascii="方正仿宋_GBK" w:hAnsi="方正仿宋_GBK" w:eastAsia="方正仿宋_GBK" w:cs="方正仿宋_GBK"/>
                <w:i w:val="0"/>
                <w:iCs w:val="0"/>
                <w:color w:val="000000"/>
                <w:kern w:val="0"/>
                <w:sz w:val="20"/>
                <w:szCs w:val="24"/>
                <w:u w:val="none"/>
                <w:lang w:val="en-US" w:eastAsia="zh-CN" w:bidi="ar"/>
              </w:rPr>
              <w:t>6</w:t>
            </w:r>
          </w:p>
          <w:p w14:paraId="3A92BB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p>
        </w:tc>
        <w:tc>
          <w:tcPr>
            <w:tcW w:w="475" w:type="dxa"/>
            <w:tcBorders>
              <w:top w:val="single" w:color="000000" w:sz="4" w:space="0"/>
              <w:left w:val="single" w:color="000000" w:sz="4" w:space="0"/>
              <w:right w:val="single" w:color="000000" w:sz="4" w:space="0"/>
            </w:tcBorders>
            <w:noWrap w:val="0"/>
            <w:vAlign w:val="center"/>
          </w:tcPr>
          <w:p w14:paraId="25BDF2B6">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4"/>
                <w:u w:val="none"/>
                <w:lang w:val="en-US" w:eastAsia="zh-CN" w:bidi="ar"/>
              </w:rPr>
              <w:t>间</w:t>
            </w:r>
          </w:p>
        </w:tc>
        <w:tc>
          <w:tcPr>
            <w:tcW w:w="837" w:type="dxa"/>
            <w:tcBorders>
              <w:top w:val="single" w:color="000000" w:sz="4" w:space="0"/>
              <w:left w:val="single" w:color="000000" w:sz="4" w:space="0"/>
              <w:right w:val="single" w:color="000000" w:sz="4" w:space="0"/>
            </w:tcBorders>
            <w:noWrap w:val="0"/>
            <w:vAlign w:val="center"/>
          </w:tcPr>
          <w:p w14:paraId="08281F56">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p>
        </w:tc>
        <w:tc>
          <w:tcPr>
            <w:tcW w:w="838" w:type="dxa"/>
            <w:tcBorders>
              <w:top w:val="single" w:color="000000" w:sz="4" w:space="0"/>
              <w:left w:val="single" w:color="000000" w:sz="4" w:space="0"/>
              <w:right w:val="single" w:color="000000" w:sz="4" w:space="0"/>
            </w:tcBorders>
            <w:noWrap w:val="0"/>
            <w:vAlign w:val="center"/>
          </w:tcPr>
          <w:p w14:paraId="1D0A0D7E">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4"/>
                <w:u w:val="none"/>
                <w:lang w:val="en-US" w:eastAsia="zh-CN" w:bidi="ar"/>
              </w:rPr>
            </w:pPr>
          </w:p>
        </w:tc>
        <w:tc>
          <w:tcPr>
            <w:tcW w:w="712" w:type="dxa"/>
            <w:tcBorders>
              <w:top w:val="single" w:color="000000" w:sz="4" w:space="0"/>
              <w:left w:val="single" w:color="000000" w:sz="4" w:space="0"/>
              <w:right w:val="single" w:color="000000" w:sz="4" w:space="0"/>
            </w:tcBorders>
            <w:noWrap w:val="0"/>
            <w:vAlign w:val="center"/>
          </w:tcPr>
          <w:p w14:paraId="2694E93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p w14:paraId="2A6EF26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26377C55">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w:t>
            </w:r>
          </w:p>
        </w:tc>
      </w:tr>
      <w:tr w14:paraId="5B6A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6B45AF48">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lang w:val="en-US" w:eastAsia="zh-CN"/>
              </w:rPr>
              <w:t>不含税总价：</w:t>
            </w:r>
          </w:p>
        </w:tc>
      </w:tr>
      <w:tr w14:paraId="6DBD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52BF61B5">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rPr>
              <w:t>增值税专用发票税率</w:t>
            </w:r>
            <w:r>
              <w:rPr>
                <w:rFonts w:hint="eastAsia" w:ascii="方正仿宋_GBK" w:hAnsi="方正仿宋_GBK" w:eastAsia="方正仿宋_GBK" w:cs="方正仿宋_GBK"/>
                <w:b w:val="0"/>
                <w:bCs/>
                <w:i w:val="0"/>
                <w:iCs w:val="0"/>
                <w:color w:val="000000"/>
                <w:sz w:val="20"/>
                <w:szCs w:val="21"/>
                <w:u w:val="single"/>
                <w:lang w:val="en-US" w:eastAsia="zh-CN"/>
              </w:rPr>
              <w:t xml:space="preserve">        </w:t>
            </w:r>
            <w:r>
              <w:rPr>
                <w:rFonts w:hint="eastAsia" w:ascii="宋体" w:hAnsi="宋体" w:eastAsia="宋体" w:cs="宋体"/>
                <w:b w:val="0"/>
                <w:bCs/>
                <w:i w:val="0"/>
                <w:iCs w:val="0"/>
                <w:color w:val="000000"/>
                <w:sz w:val="20"/>
                <w:szCs w:val="21"/>
                <w:u w:val="single"/>
                <w:lang w:val="en-US" w:eastAsia="zh-CN"/>
              </w:rPr>
              <w:t>％</w:t>
            </w:r>
          </w:p>
        </w:tc>
      </w:tr>
      <w:tr w14:paraId="6AD9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0D7B8593">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lang w:val="en-US" w:eastAsia="zh-CN"/>
              </w:rPr>
              <w:t>含税总价：</w:t>
            </w:r>
          </w:p>
        </w:tc>
      </w:tr>
    </w:tbl>
    <w:p w14:paraId="02732C1D">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F29F1E-7F8B-4C8A-B9DC-342059D29D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4E2B212B-ADA6-4AF4-800B-E8BFFBB1661A}"/>
  </w:font>
  <w:font w:name="Wingdings 2">
    <w:panose1 w:val="05020102010507070707"/>
    <w:charset w:val="02"/>
    <w:family w:val="roman"/>
    <w:pitch w:val="default"/>
    <w:sig w:usb0="00000000" w:usb1="00000000" w:usb2="00000000" w:usb3="00000000" w:csb0="80000000" w:csb1="00000000"/>
    <w:embedRegular r:id="rId3" w:fontKey="{62E0528D-9FE5-4FCE-A0A3-BF10C9FDB752}"/>
  </w:font>
  <w:font w:name="KSOF20C6EC42">
    <w:panose1 w:val="020F0704030504030204"/>
    <w:charset w:val="00"/>
    <w:family w:val="auto"/>
    <w:pitch w:val="default"/>
    <w:sig w:usb0="00000001" w:usb1="00000000" w:usb2="00000000" w:usb3="00000000" w:csb0="00000001" w:csb1="00000000"/>
  </w:font>
  <w:font w:name="WPSEMBED1">
    <w:panose1 w:val="03000509000000000000"/>
    <w:charset w:val="86"/>
    <w:family w:val="auto"/>
    <w:pitch w:val="default"/>
    <w:sig w:usb0="00000001" w:usb1="080E0000" w:usb2="00000000" w:usb3="00000000" w:csb0="00040000" w:csb1="00000000"/>
  </w:font>
  <w:font w:name="KSOF6AF88583">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099C"/>
    <w:rsid w:val="07294B24"/>
    <w:rsid w:val="08372D47"/>
    <w:rsid w:val="08465E02"/>
    <w:rsid w:val="08CE5DBF"/>
    <w:rsid w:val="09155762"/>
    <w:rsid w:val="0ACC6CC8"/>
    <w:rsid w:val="0F002CF3"/>
    <w:rsid w:val="130F4C41"/>
    <w:rsid w:val="157522D7"/>
    <w:rsid w:val="159E1DEC"/>
    <w:rsid w:val="161D5555"/>
    <w:rsid w:val="16626F20"/>
    <w:rsid w:val="16DC7B67"/>
    <w:rsid w:val="176204A9"/>
    <w:rsid w:val="17C36FE9"/>
    <w:rsid w:val="17C41936"/>
    <w:rsid w:val="1EAA683A"/>
    <w:rsid w:val="217616D3"/>
    <w:rsid w:val="23671B57"/>
    <w:rsid w:val="271E423C"/>
    <w:rsid w:val="273D46C2"/>
    <w:rsid w:val="285423F7"/>
    <w:rsid w:val="28F9693A"/>
    <w:rsid w:val="2C3229E7"/>
    <w:rsid w:val="2E532D3F"/>
    <w:rsid w:val="309C0928"/>
    <w:rsid w:val="32BD2B5B"/>
    <w:rsid w:val="32BF2D77"/>
    <w:rsid w:val="340A4069"/>
    <w:rsid w:val="345364CB"/>
    <w:rsid w:val="36AA0B8B"/>
    <w:rsid w:val="375A12C0"/>
    <w:rsid w:val="37D44BCF"/>
    <w:rsid w:val="385C6972"/>
    <w:rsid w:val="39781C4B"/>
    <w:rsid w:val="3AB17449"/>
    <w:rsid w:val="3AD24EA0"/>
    <w:rsid w:val="3B6F4C0F"/>
    <w:rsid w:val="3BFA5E32"/>
    <w:rsid w:val="3C5D421B"/>
    <w:rsid w:val="3D1017D1"/>
    <w:rsid w:val="3D7B67C9"/>
    <w:rsid w:val="3F71460F"/>
    <w:rsid w:val="3F943452"/>
    <w:rsid w:val="41305B09"/>
    <w:rsid w:val="46E14C12"/>
    <w:rsid w:val="49ED67C8"/>
    <w:rsid w:val="4FB4787B"/>
    <w:rsid w:val="507D4E01"/>
    <w:rsid w:val="51D72D57"/>
    <w:rsid w:val="55C061A9"/>
    <w:rsid w:val="57411EE0"/>
    <w:rsid w:val="58030761"/>
    <w:rsid w:val="5A5F28F1"/>
    <w:rsid w:val="5AD60E6A"/>
    <w:rsid w:val="5CB75E1C"/>
    <w:rsid w:val="5D082FA1"/>
    <w:rsid w:val="5D276010"/>
    <w:rsid w:val="5D4D4958"/>
    <w:rsid w:val="5E766130"/>
    <w:rsid w:val="5EA73711"/>
    <w:rsid w:val="5F370AEC"/>
    <w:rsid w:val="60BB26AF"/>
    <w:rsid w:val="63CD572D"/>
    <w:rsid w:val="64306D81"/>
    <w:rsid w:val="6468394A"/>
    <w:rsid w:val="64A15DFC"/>
    <w:rsid w:val="65C5024C"/>
    <w:rsid w:val="660B3D98"/>
    <w:rsid w:val="68922C4A"/>
    <w:rsid w:val="6A13495F"/>
    <w:rsid w:val="6AF361D6"/>
    <w:rsid w:val="6CEB7FF6"/>
    <w:rsid w:val="734737A0"/>
    <w:rsid w:val="74AF129A"/>
    <w:rsid w:val="78177BE5"/>
    <w:rsid w:val="79D0602D"/>
    <w:rsid w:val="7B9D7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paragraph" w:customStyle="1" w:styleId="16">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7">
    <w:name w:val="font51"/>
    <w:basedOn w:val="13"/>
    <w:qFormat/>
    <w:uiPriority w:val="0"/>
    <w:rPr>
      <w:rFonts w:hint="eastAsia" w:ascii="宋体" w:hAnsi="宋体" w:eastAsia="宋体" w:cs="宋体"/>
      <w:color w:val="000000"/>
      <w:sz w:val="32"/>
      <w:szCs w:val="32"/>
      <w:u w:val="none"/>
    </w:rPr>
  </w:style>
  <w:style w:type="character" w:customStyle="1" w:styleId="18">
    <w:name w:val="font31"/>
    <w:basedOn w:val="13"/>
    <w:qFormat/>
    <w:uiPriority w:val="0"/>
    <w:rPr>
      <w:rFonts w:ascii="宋体" w:hAnsi="宋体" w:eastAsia="宋体" w:cs="宋体"/>
      <w:color w:val="000000"/>
      <w:sz w:val="32"/>
      <w:szCs w:val="32"/>
      <w:u w:val="single"/>
    </w:rPr>
  </w:style>
  <w:style w:type="character" w:customStyle="1" w:styleId="19">
    <w:name w:val="font21"/>
    <w:basedOn w:val="13"/>
    <w:qFormat/>
    <w:uiPriority w:val="0"/>
    <w:rPr>
      <w:rFonts w:ascii="宋体" w:hAnsi="宋体" w:eastAsia="宋体" w:cs="宋体"/>
      <w:color w:val="000000"/>
      <w:sz w:val="32"/>
      <w:szCs w:val="32"/>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6940</Words>
  <Characters>7579</Characters>
  <Lines>0</Lines>
  <Paragraphs>0</Paragraphs>
  <TotalTime>19</TotalTime>
  <ScaleCrop>false</ScaleCrop>
  <LinksUpToDate>false</LinksUpToDate>
  <CharactersWithSpaces>7610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玩物强志</cp:lastModifiedBy>
  <dcterms:modified xsi:type="dcterms:W3CDTF">2026-06-04T02:14:24Z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eyJoZGlkIjoiYTI3NTZiMDNjYTA5YzI2ZTBjMjg5NDEzMGY3MjJlZjgiLCJ1c2VySWQiOiI3MDg0MTI4MDcifQ==</vt:lpwstr>
  </property>
  <property fmtid="{D5CDD505-2E9C-101B-9397-08002B2CF9AE}" pid="4" name="ICV">
    <vt:lpwstr>A986D1E6AC0E4715A063A52E4E3EEA7E_13</vt:lpwstr>
  </property>
</Properties>
</file>