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EB8E2">
      <w:pPr>
        <w:pStyle w:val="16"/>
        <w:spacing w:after="312" w:line="240" w:lineRule="atLeast"/>
        <w:rPr>
          <w:rFonts w:hint="default"/>
          <w:color w:val="auto"/>
          <w:highlight w:val="none"/>
        </w:rPr>
      </w:pPr>
      <w:bookmarkStart w:id="0" w:name="OLE_LINK9"/>
      <w:r>
        <w:rPr>
          <w:color w:val="auto"/>
          <w:highlight w:val="none"/>
        </w:rPr>
        <w:t>第一章  采购公告</w:t>
      </w:r>
    </w:p>
    <w:bookmarkEnd w:id="0"/>
    <w:p w14:paraId="08355871">
      <w:pPr>
        <w:spacing w:line="240" w:lineRule="atLeast"/>
        <w:ind w:firstLine="480" w:firstLineChars="20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u w:val="single"/>
          <w:lang w:val="en-US" w:eastAsia="zh-CN"/>
        </w:rPr>
        <w:t>综合保税区仓储板块消防维保服务</w:t>
      </w:r>
      <w:r>
        <w:rPr>
          <w:rFonts w:hint="eastAsia" w:ascii="宋体" w:hAnsi="宋体" w:eastAsia="宋体" w:cs="宋体"/>
          <w:bCs/>
          <w:color w:val="auto"/>
          <w:sz w:val="24"/>
          <w:szCs w:val="24"/>
          <w:highlight w:val="none"/>
          <w:u w:val="single"/>
          <w:lang w:eastAsia="zh-CN"/>
        </w:rPr>
        <w:t>项目</w:t>
      </w:r>
      <w:r>
        <w:rPr>
          <w:rFonts w:hint="eastAsia" w:ascii="宋体" w:hAnsi="宋体" w:eastAsia="宋体" w:cs="宋体"/>
          <w:bCs/>
          <w:color w:val="auto"/>
          <w:sz w:val="24"/>
          <w:szCs w:val="24"/>
          <w:highlight w:val="none"/>
        </w:rPr>
        <w:t>的潜在服务商应在</w:t>
      </w:r>
      <w:r>
        <w:rPr>
          <w:rFonts w:hint="eastAsia" w:ascii="宋体" w:hAnsi="宋体" w:eastAsia="宋体" w:cs="宋体"/>
          <w:bCs/>
          <w:color w:val="auto"/>
          <w:sz w:val="24"/>
          <w:szCs w:val="24"/>
          <w:highlight w:val="none"/>
          <w:u w:val="single"/>
        </w:rPr>
        <w:t>广西自贸区钦州港片区开发投资集团有限责任公司网站</w:t>
      </w:r>
      <w:r>
        <w:rPr>
          <w:rFonts w:hint="eastAsia" w:ascii="宋体" w:hAnsi="宋体" w:eastAsia="宋体"/>
          <w:color w:val="auto"/>
          <w:highlight w:val="none"/>
        </w:rPr>
        <w:fldChar w:fldCharType="begin"/>
      </w:r>
      <w:r>
        <w:rPr>
          <w:rFonts w:ascii="宋体" w:hAnsi="宋体" w:eastAsia="宋体"/>
          <w:color w:val="auto"/>
          <w:highlight w:val="none"/>
        </w:rPr>
        <w:instrText xml:space="preserve"> HYPERLINK "http://www.qbtzjt.com" </w:instrText>
      </w:r>
      <w:r>
        <w:rPr>
          <w:rFonts w:hint="eastAsia" w:ascii="宋体" w:hAnsi="宋体" w:eastAsia="宋体"/>
          <w:color w:val="auto"/>
          <w:highlight w:val="none"/>
        </w:rPr>
        <w:fldChar w:fldCharType="separate"/>
      </w:r>
      <w:r>
        <w:rPr>
          <w:rStyle w:val="14"/>
          <w:rFonts w:hint="eastAsia" w:ascii="宋体" w:hAnsi="宋体" w:eastAsia="宋体" w:cs="宋体"/>
          <w:bCs/>
          <w:color w:val="auto"/>
          <w:sz w:val="24"/>
          <w:szCs w:val="24"/>
          <w:highlight w:val="none"/>
        </w:rPr>
        <w:t>http://www.qzmktjt.com</w:t>
      </w:r>
      <w:r>
        <w:rPr>
          <w:rStyle w:val="14"/>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r>
        <w:rPr>
          <w:rFonts w:hint="eastAsia" w:ascii="宋体" w:hAnsi="宋体" w:eastAsia="宋体" w:cs="宋体"/>
          <w:bCs/>
          <w:color w:val="auto"/>
          <w:sz w:val="24"/>
          <w:szCs w:val="24"/>
          <w:highlight w:val="none"/>
        </w:rPr>
        <w:t>采购文件，并于截止日期</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5</w:t>
      </w:r>
      <w:r>
        <w:rPr>
          <w:rFonts w:hint="eastAsia" w:ascii="宋体" w:hAnsi="宋体" w:eastAsia="宋体" w:cs="宋体"/>
          <w:bCs/>
          <w:color w:val="auto"/>
          <w:sz w:val="24"/>
          <w:szCs w:val="24"/>
          <w:highlight w:val="none"/>
          <w:u w:val="single"/>
        </w:rPr>
        <w:t>日17时00分（北京时间）</w:t>
      </w:r>
      <w:r>
        <w:rPr>
          <w:rFonts w:hint="eastAsia" w:ascii="宋体" w:hAnsi="宋体" w:eastAsia="宋体" w:cs="宋体"/>
          <w:bCs/>
          <w:color w:val="auto"/>
          <w:sz w:val="24"/>
          <w:szCs w:val="24"/>
          <w:highlight w:val="none"/>
        </w:rPr>
        <w:t>前提交响应文件。 </w:t>
      </w:r>
    </w:p>
    <w:p w14:paraId="3F40F30A">
      <w:pPr>
        <w:spacing w:line="240" w:lineRule="atLeast"/>
        <w:rPr>
          <w:rFonts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一、项目基本情况</w:t>
      </w:r>
    </w:p>
    <w:p w14:paraId="5E64F44B">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项目名称：</w:t>
      </w:r>
      <w:r>
        <w:rPr>
          <w:rFonts w:hint="eastAsia" w:ascii="宋体" w:hAnsi="宋体" w:eastAsia="宋体" w:cs="宋体"/>
          <w:bCs/>
          <w:color w:val="auto"/>
          <w:sz w:val="24"/>
          <w:szCs w:val="24"/>
          <w:highlight w:val="none"/>
          <w:u w:val="single"/>
          <w:lang w:val="en-US" w:eastAsia="zh-CN"/>
        </w:rPr>
        <w:t>综合保税区仓储板块消防维保服务</w:t>
      </w:r>
      <w:r>
        <w:rPr>
          <w:rFonts w:hint="eastAsia" w:ascii="宋体" w:hAnsi="宋体" w:eastAsia="宋体" w:cs="宋体"/>
          <w:bCs/>
          <w:color w:val="auto"/>
          <w:sz w:val="24"/>
          <w:szCs w:val="24"/>
          <w:highlight w:val="none"/>
          <w:u w:val="single"/>
          <w:lang w:eastAsia="zh-CN"/>
        </w:rPr>
        <w:t>项目</w:t>
      </w:r>
    </w:p>
    <w:p w14:paraId="5B4F4824">
      <w:pPr>
        <w:pStyle w:val="3"/>
        <w:spacing w:line="240" w:lineRule="atLeast"/>
        <w:rPr>
          <w:rFonts w:ascii="宋体" w:hAnsi="宋体" w:eastAsia="宋体"/>
          <w:color w:val="auto"/>
          <w:highlight w:val="none"/>
        </w:rPr>
      </w:pPr>
      <w:r>
        <w:rPr>
          <w:rFonts w:hint="eastAsia" w:ascii="宋体" w:hAnsi="宋体" w:eastAsia="宋体"/>
          <w:color w:val="auto"/>
          <w:highlight w:val="none"/>
        </w:rPr>
        <w:t xml:space="preserve"> </w:t>
      </w:r>
      <w:r>
        <w:rPr>
          <w:rFonts w:ascii="宋体" w:hAnsi="宋体" w:eastAsia="宋体"/>
          <w:color w:val="auto"/>
          <w:highlight w:val="none"/>
        </w:rPr>
        <w:t xml:space="preserve">   </w:t>
      </w:r>
      <w:r>
        <w:rPr>
          <w:rFonts w:hint="eastAsia" w:ascii="宋体" w:hAnsi="宋体" w:eastAsia="宋体" w:cs="宋体"/>
          <w:bCs/>
          <w:color w:val="auto"/>
          <w:szCs w:val="24"/>
          <w:highlight w:val="none"/>
        </w:rPr>
        <w:t>采购方式：询比采购</w:t>
      </w:r>
    </w:p>
    <w:p w14:paraId="1F8D9866">
      <w:pPr>
        <w:spacing w:line="400" w:lineRule="exac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定标方式：满足采购文件的实质性要求，满足采购文件的实质要求，且经评审得分最高的供应商为成交供应商。</w:t>
      </w:r>
    </w:p>
    <w:p w14:paraId="1DD4152D">
      <w:pPr>
        <w:spacing w:line="240" w:lineRule="atLeast"/>
        <w:ind w:firstLine="480" w:firstLineChars="200"/>
        <w:rPr>
          <w:rFonts w:ascii="宋体" w:hAnsi="宋体" w:eastAsia="宋体" w:cs="宋体"/>
          <w:bCs/>
          <w:color w:val="auto"/>
          <w:sz w:val="22"/>
          <w:szCs w:val="22"/>
          <w:highlight w:val="none"/>
        </w:rPr>
      </w:pPr>
      <w:r>
        <w:rPr>
          <w:rFonts w:hint="eastAsia" w:ascii="宋体" w:hAnsi="宋体" w:eastAsia="宋体" w:cs="宋体"/>
          <w:color w:val="auto"/>
          <w:sz w:val="24"/>
          <w:szCs w:val="24"/>
          <w:highlight w:val="none"/>
        </w:rPr>
        <w:t>预算金额：</w:t>
      </w:r>
      <w:r>
        <w:rPr>
          <w:rFonts w:hint="eastAsia" w:ascii="宋体" w:hAnsi="宋体" w:eastAsia="宋体" w:cs="宋体"/>
          <w:color w:val="auto"/>
          <w:sz w:val="22"/>
          <w:szCs w:val="22"/>
          <w:highlight w:val="none"/>
        </w:rPr>
        <w:t>人民币（大写）</w:t>
      </w:r>
      <w:bookmarkStart w:id="1" w:name="OLE_LINK6"/>
      <w:r>
        <w:rPr>
          <w:rFonts w:hint="eastAsia" w:ascii="宋体" w:hAnsi="宋体" w:eastAsia="宋体" w:cs="宋体"/>
          <w:color w:val="auto"/>
          <w:sz w:val="22"/>
          <w:szCs w:val="22"/>
          <w:highlight w:val="none"/>
          <w:lang w:val="en-US" w:eastAsia="zh-CN"/>
        </w:rPr>
        <w:t>捌万伍仟元整</w:t>
      </w:r>
      <w:r>
        <w:rPr>
          <w:rFonts w:hint="eastAsia" w:ascii="宋体" w:hAnsi="宋体" w:eastAsia="宋体" w:cs="宋体"/>
          <w:bCs/>
          <w:color w:val="auto"/>
          <w:sz w:val="22"/>
          <w:szCs w:val="22"/>
          <w:highlight w:val="none"/>
        </w:rPr>
        <w:t>（￥：</w:t>
      </w:r>
      <w:r>
        <w:rPr>
          <w:rFonts w:hint="eastAsia" w:ascii="宋体" w:hAnsi="宋体" w:eastAsia="宋体" w:cs="宋体"/>
          <w:bCs/>
          <w:color w:val="auto"/>
          <w:sz w:val="22"/>
          <w:szCs w:val="22"/>
          <w:highlight w:val="none"/>
          <w:lang w:val="en-US" w:eastAsia="zh-CN"/>
        </w:rPr>
        <w:t>85000.00</w:t>
      </w:r>
      <w:r>
        <w:rPr>
          <w:rFonts w:hint="eastAsia" w:ascii="宋体" w:hAnsi="宋体" w:eastAsia="宋体" w:cs="宋体"/>
          <w:bCs/>
          <w:color w:val="auto"/>
          <w:sz w:val="22"/>
          <w:szCs w:val="22"/>
          <w:highlight w:val="none"/>
        </w:rPr>
        <w:t>元）</w:t>
      </w:r>
      <w:bookmarkEnd w:id="1"/>
    </w:p>
    <w:p w14:paraId="3912B224">
      <w:pPr>
        <w:spacing w:line="240" w:lineRule="atLeast"/>
        <w:ind w:firstLine="480" w:firstLineChars="200"/>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最高限价：</w:t>
      </w:r>
      <w:r>
        <w:rPr>
          <w:rFonts w:hint="eastAsia" w:ascii="宋体" w:hAnsi="宋体" w:eastAsia="宋体" w:cs="宋体"/>
          <w:color w:val="auto"/>
          <w:sz w:val="22"/>
          <w:szCs w:val="22"/>
          <w:highlight w:val="none"/>
        </w:rPr>
        <w:t>人民币（大写）</w:t>
      </w:r>
      <w:r>
        <w:rPr>
          <w:rFonts w:hint="eastAsia" w:ascii="宋体" w:hAnsi="宋体" w:eastAsia="宋体" w:cs="宋体"/>
          <w:color w:val="auto"/>
          <w:sz w:val="22"/>
          <w:szCs w:val="22"/>
          <w:highlight w:val="none"/>
          <w:lang w:val="en-US" w:eastAsia="zh-CN"/>
        </w:rPr>
        <w:t>捌万伍仟元整</w:t>
      </w:r>
      <w:r>
        <w:rPr>
          <w:rFonts w:hint="eastAsia" w:ascii="宋体" w:hAnsi="宋体" w:eastAsia="宋体" w:cs="宋体"/>
          <w:bCs/>
          <w:color w:val="auto"/>
          <w:sz w:val="22"/>
          <w:szCs w:val="22"/>
          <w:highlight w:val="none"/>
        </w:rPr>
        <w:t>（￥：</w:t>
      </w:r>
      <w:r>
        <w:rPr>
          <w:rFonts w:hint="eastAsia" w:ascii="宋体" w:hAnsi="宋体" w:eastAsia="宋体" w:cs="宋体"/>
          <w:bCs/>
          <w:color w:val="auto"/>
          <w:sz w:val="22"/>
          <w:szCs w:val="22"/>
          <w:highlight w:val="none"/>
          <w:lang w:val="en-US" w:eastAsia="zh-CN"/>
        </w:rPr>
        <w:t>85000.00</w:t>
      </w:r>
      <w:r>
        <w:rPr>
          <w:rFonts w:hint="eastAsia" w:ascii="宋体" w:hAnsi="宋体" w:eastAsia="宋体" w:cs="宋体"/>
          <w:bCs/>
          <w:color w:val="auto"/>
          <w:sz w:val="22"/>
          <w:szCs w:val="22"/>
          <w:highlight w:val="none"/>
        </w:rPr>
        <w:t>元）</w:t>
      </w:r>
    </w:p>
    <w:p w14:paraId="742F92E5">
      <w:pPr>
        <w:spacing w:line="240" w:lineRule="atLeast"/>
        <w:ind w:firstLine="480" w:firstLineChars="200"/>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合同履行期限：</w:t>
      </w:r>
      <w:r>
        <w:rPr>
          <w:rFonts w:hint="eastAsia" w:ascii="宋体" w:hAnsi="宋体" w:eastAsia="宋体" w:cs="宋体"/>
          <w:bCs/>
          <w:color w:val="auto"/>
          <w:sz w:val="24"/>
          <w:szCs w:val="24"/>
          <w:highlight w:val="none"/>
        </w:rPr>
        <w:t>合同签订后</w:t>
      </w:r>
      <w:r>
        <w:rPr>
          <w:rFonts w:hint="eastAsia" w:ascii="宋体" w:hAnsi="宋体" w:eastAsia="宋体" w:cs="宋体"/>
          <w:bCs/>
          <w:color w:val="auto"/>
          <w:sz w:val="24"/>
          <w:szCs w:val="24"/>
          <w:highlight w:val="none"/>
          <w:lang w:val="en-US" w:eastAsia="zh-CN"/>
        </w:rPr>
        <w:t>12个月</w:t>
      </w:r>
      <w:r>
        <w:rPr>
          <w:rFonts w:ascii="宋体" w:hAnsi="宋体" w:eastAsia="宋体" w:cs="宋体"/>
          <w:bCs/>
          <w:color w:val="auto"/>
          <w:sz w:val="24"/>
          <w:szCs w:val="24"/>
          <w:highlight w:val="none"/>
        </w:rPr>
        <w:t>。</w:t>
      </w:r>
    </w:p>
    <w:p w14:paraId="276125D8">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本项目不接受联合体。</w:t>
      </w:r>
    </w:p>
    <w:p w14:paraId="4EF3757C">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二、服务商的资格要求</w:t>
      </w:r>
    </w:p>
    <w:p w14:paraId="5585841D">
      <w:pPr>
        <w:spacing w:line="240" w:lineRule="atLeast"/>
        <w:ind w:left="1199" w:leftChars="228" w:hanging="720" w:hangingChars="3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1</w:t>
      </w:r>
      <w:r>
        <w:rPr>
          <w:rFonts w:hint="eastAsia" w:ascii="宋体" w:hAnsi="宋体" w:eastAsia="宋体" w:cs="宋体"/>
          <w:bCs/>
          <w:color w:val="auto"/>
          <w:sz w:val="24"/>
          <w:szCs w:val="24"/>
          <w:highlight w:val="none"/>
        </w:rPr>
        <w:t>.服务商应当具备下列条件：</w:t>
      </w:r>
    </w:p>
    <w:p w14:paraId="7923F37D">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highlight w:val="none"/>
        </w:rPr>
        <w:t>（</w:t>
      </w:r>
      <w:r>
        <w:rPr>
          <w:rFonts w:hint="eastAsia" w:ascii="宋体" w:hAnsi="宋体" w:eastAsia="宋体" w:cs="Times New Roman"/>
          <w:bCs/>
          <w:color w:val="auto"/>
          <w:sz w:val="24"/>
          <w:highlight w:val="none"/>
        </w:rPr>
        <w:t>1</w:t>
      </w:r>
      <w:r>
        <w:rPr>
          <w:rFonts w:hint="eastAsia" w:ascii="宋体" w:hAnsi="宋体" w:eastAsia="宋体" w:cs="宋体"/>
          <w:bCs/>
          <w:color w:val="auto"/>
          <w:sz w:val="24"/>
          <w:highlight w:val="none"/>
        </w:rPr>
        <w:t>）</w:t>
      </w:r>
      <w:r>
        <w:rPr>
          <w:rFonts w:hint="eastAsia" w:ascii="宋体" w:hAnsi="宋体" w:eastAsia="宋体" w:cs="宋体"/>
          <w:bCs/>
          <w:color w:val="auto"/>
          <w:sz w:val="24"/>
          <w:szCs w:val="24"/>
          <w:highlight w:val="none"/>
        </w:rPr>
        <w:t>国内注册（指按国家有关规定要求注册），具有有效的营业执照。</w:t>
      </w:r>
    </w:p>
    <w:p w14:paraId="583DF235">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宋体" w:hAnsi="宋体" w:eastAsia="宋体" w:cs="Times New Roman"/>
          <w:bCs/>
          <w:color w:val="auto"/>
          <w:sz w:val="24"/>
          <w:highlight w:val="none"/>
        </w:rPr>
        <w:t>2</w:t>
      </w:r>
      <w:r>
        <w:rPr>
          <w:rFonts w:hint="eastAsia" w:ascii="宋体" w:hAnsi="宋体" w:eastAsia="宋体" w:cs="宋体"/>
          <w:bCs/>
          <w:color w:val="auto"/>
          <w:sz w:val="24"/>
          <w:highlight w:val="none"/>
        </w:rPr>
        <w:t>）具有独立承担民事责任的能力；</w:t>
      </w:r>
    </w:p>
    <w:p w14:paraId="15168577">
      <w:pPr>
        <w:pStyle w:val="4"/>
        <w:ind w:firstLine="480" w:firstLineChars="200"/>
        <w:rPr>
          <w:rFonts w:ascii="宋体" w:hAnsi="宋体" w:eastAsia="宋体" w:cs="宋体"/>
          <w:bCs/>
          <w:color w:val="auto"/>
          <w:sz w:val="24"/>
          <w:highlight w:val="none"/>
        </w:rPr>
      </w:pPr>
      <w:bookmarkStart w:id="2" w:name="OLE_LINK7"/>
      <w:r>
        <w:rPr>
          <w:rFonts w:hint="eastAsia" w:ascii="宋体" w:hAnsi="宋体" w:eastAsia="宋体" w:cs="宋体"/>
          <w:bCs/>
          <w:color w:val="auto"/>
          <w:sz w:val="24"/>
          <w:highlight w:val="none"/>
        </w:rPr>
        <w:t>（3）</w:t>
      </w:r>
      <w:r>
        <w:rPr>
          <w:rFonts w:hint="eastAsia" w:ascii="宋体" w:hAnsi="宋体" w:eastAsia="宋体" w:cs="宋体"/>
          <w:bCs/>
          <w:color w:val="auto"/>
          <w:sz w:val="24"/>
          <w:szCs w:val="22"/>
          <w:highlight w:val="none"/>
        </w:rPr>
        <w:t>履行合同所必须的设备和专业技术能力；</w:t>
      </w:r>
    </w:p>
    <w:bookmarkEnd w:id="2"/>
    <w:p w14:paraId="6A6DAE28">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宋体" w:hAnsi="宋体" w:eastAsia="宋体" w:cs="Times New Roman"/>
          <w:bCs/>
          <w:color w:val="auto"/>
          <w:sz w:val="24"/>
          <w:highlight w:val="none"/>
        </w:rPr>
        <w:t>4</w:t>
      </w:r>
      <w:r>
        <w:rPr>
          <w:rFonts w:hint="eastAsia" w:ascii="宋体" w:hAnsi="宋体" w:eastAsia="宋体" w:cs="宋体"/>
          <w:bCs/>
          <w:color w:val="auto"/>
          <w:sz w:val="24"/>
          <w:highlight w:val="none"/>
        </w:rPr>
        <w:t>）参加采购活动前三年内，在经营活动中没有重大违法记录（由竞标人提供证明或采购人在“信用中国”网站查询）；</w:t>
      </w:r>
    </w:p>
    <w:p w14:paraId="526F50FB">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（5）近3年内（自202</w:t>
      </w:r>
      <w:r>
        <w:rPr>
          <w:rFonts w:hint="eastAsia" w:ascii="宋体" w:hAnsi="宋体" w:eastAsia="宋体" w:cs="宋体"/>
          <w:bCs/>
          <w:color w:val="auto"/>
          <w:sz w:val="24"/>
          <w:highlight w:val="none"/>
          <w:lang w:val="en-US" w:eastAsia="zh-CN"/>
        </w:rPr>
        <w:t>3</w:t>
      </w:r>
      <w:r>
        <w:rPr>
          <w:rFonts w:hint="eastAsia" w:ascii="宋体" w:hAnsi="宋体" w:eastAsia="宋体" w:cs="宋体"/>
          <w:bCs/>
          <w:color w:val="auto"/>
          <w:sz w:val="24"/>
          <w:highlight w:val="none"/>
        </w:rPr>
        <w:t>年1月1日以来）具有相应或类似的业绩，并附上相应的合同复印件，至少需提供</w:t>
      </w:r>
      <w:r>
        <w:rPr>
          <w:rFonts w:hint="eastAsia" w:ascii="宋体" w:hAnsi="宋体" w:eastAsia="宋体" w:cs="宋体"/>
          <w:bCs/>
          <w:color w:val="auto"/>
          <w:sz w:val="24"/>
          <w:highlight w:val="none"/>
          <w:lang w:val="en-US" w:eastAsia="zh-CN"/>
        </w:rPr>
        <w:t>1</w:t>
      </w:r>
      <w:r>
        <w:rPr>
          <w:rFonts w:hint="eastAsia" w:ascii="宋体" w:hAnsi="宋体" w:eastAsia="宋体" w:cs="宋体"/>
          <w:bCs/>
          <w:color w:val="auto"/>
          <w:sz w:val="24"/>
          <w:highlight w:val="none"/>
        </w:rPr>
        <w:t>个及以上相应或类似的服务业绩。</w:t>
      </w:r>
    </w:p>
    <w:p w14:paraId="099EF95B">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2</w:t>
      </w:r>
      <w:r>
        <w:rPr>
          <w:rFonts w:hint="eastAsia" w:ascii="宋体" w:hAnsi="宋体" w:eastAsia="宋体" w:cs="宋体"/>
          <w:bCs/>
          <w:color w:val="auto"/>
          <w:sz w:val="24"/>
          <w:szCs w:val="24"/>
          <w:highlight w:val="none"/>
        </w:rPr>
        <w:t>.单位负责人为同一人或者存在直接控股、管理关系的不同服务商，不得参加同一合同项下的采购活动。</w:t>
      </w:r>
    </w:p>
    <w:p w14:paraId="599B630C">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3</w:t>
      </w:r>
      <w:r>
        <w:rPr>
          <w:rFonts w:hint="eastAsia" w:ascii="宋体" w:hAnsi="宋体" w:eastAsia="宋体" w:cs="宋体"/>
          <w:bCs/>
          <w:color w:val="auto"/>
          <w:sz w:val="24"/>
          <w:szCs w:val="24"/>
          <w:highlight w:val="none"/>
        </w:rPr>
        <w:t>.参加采购活动前三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5FA2C5C2">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4</w:t>
      </w:r>
      <w:r>
        <w:rPr>
          <w:rFonts w:hint="eastAsia" w:ascii="宋体" w:hAnsi="宋体" w:eastAsia="宋体" w:cs="宋体"/>
          <w:bCs/>
          <w:color w:val="auto"/>
          <w:sz w:val="24"/>
          <w:szCs w:val="24"/>
          <w:highlight w:val="none"/>
        </w:rPr>
        <w:t>.法律、行政法规规定的其他条件。</w:t>
      </w:r>
    </w:p>
    <w:p w14:paraId="19268CA1">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5</w:t>
      </w:r>
      <w:r>
        <w:rPr>
          <w:rFonts w:hint="eastAsia" w:ascii="宋体" w:hAnsi="宋体" w:eastAsia="宋体" w:cs="宋体"/>
          <w:bCs/>
          <w:color w:val="auto"/>
          <w:sz w:val="24"/>
          <w:szCs w:val="24"/>
          <w:highlight w:val="none"/>
        </w:rPr>
        <w:t>.本项目的特定资格要求：无</w:t>
      </w:r>
    </w:p>
    <w:p w14:paraId="4EDF7C5D">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三、获取采购文件</w:t>
      </w:r>
    </w:p>
    <w:p w14:paraId="422705C9">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ascii="宋体" w:hAnsi="宋体" w:eastAsia="宋体" w:cs="Times New Roman"/>
          <w:bCs/>
          <w:color w:val="auto"/>
          <w:sz w:val="24"/>
          <w:szCs w:val="24"/>
          <w:highlight w:val="none"/>
          <w:u w:val="single"/>
        </w:rPr>
        <w:t>202</w:t>
      </w:r>
      <w:r>
        <w:rPr>
          <w:rFonts w:hint="eastAsia" w:ascii="宋体" w:hAnsi="宋体"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3</w:t>
      </w:r>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至</w:t>
      </w:r>
      <w:r>
        <w:rPr>
          <w:rFonts w:hint="eastAsia" w:ascii="宋体" w:hAnsi="宋体" w:eastAsia="宋体" w:cs="宋体"/>
          <w:bCs/>
          <w:color w:val="auto"/>
          <w:sz w:val="24"/>
          <w:szCs w:val="24"/>
          <w:highlight w:val="none"/>
          <w:u w:val="single"/>
        </w:rPr>
        <w:t xml:space="preserve"> </w:t>
      </w:r>
      <w:r>
        <w:rPr>
          <w:rFonts w:ascii="宋体" w:hAnsi="宋体" w:eastAsia="宋体" w:cs="Times New Roman"/>
          <w:bCs/>
          <w:color w:val="auto"/>
          <w:sz w:val="24"/>
          <w:szCs w:val="24"/>
          <w:highlight w:val="none"/>
          <w:u w:val="single"/>
        </w:rPr>
        <w:t>202</w:t>
      </w:r>
      <w:r>
        <w:rPr>
          <w:rFonts w:hint="eastAsia" w:ascii="宋体" w:hAnsi="宋体"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5</w:t>
      </w:r>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，每天上午</w:t>
      </w:r>
      <w:r>
        <w:rPr>
          <w:rFonts w:ascii="宋体" w:hAnsi="宋体" w:eastAsia="宋体" w:cs="Times New Roman"/>
          <w:bCs/>
          <w:color w:val="auto"/>
          <w:sz w:val="24"/>
          <w:szCs w:val="24"/>
          <w:highlight w:val="none"/>
          <w:u w:val="single"/>
        </w:rPr>
        <w:t>08</w:t>
      </w:r>
      <w:r>
        <w:rPr>
          <w:rFonts w:hint="eastAsia" w:ascii="宋体" w:hAnsi="宋体" w:eastAsia="宋体" w:cs="宋体"/>
          <w:bCs/>
          <w:color w:val="auto"/>
          <w:sz w:val="24"/>
          <w:szCs w:val="24"/>
          <w:highlight w:val="none"/>
          <w:u w:val="single"/>
        </w:rPr>
        <w:t>：</w:t>
      </w:r>
      <w:r>
        <w:rPr>
          <w:rFonts w:ascii="宋体" w:hAnsi="宋体" w:eastAsia="宋体" w:cs="Times New Roman"/>
          <w:bCs/>
          <w:color w:val="auto"/>
          <w:sz w:val="24"/>
          <w:szCs w:val="24"/>
          <w:highlight w:val="none"/>
          <w:u w:val="single"/>
        </w:rPr>
        <w:t>30</w:t>
      </w:r>
      <w:r>
        <w:rPr>
          <w:rFonts w:hint="eastAsia" w:ascii="宋体" w:hAnsi="宋体" w:eastAsia="宋体" w:cs="宋体"/>
          <w:bCs/>
          <w:color w:val="auto"/>
          <w:sz w:val="24"/>
          <w:szCs w:val="24"/>
          <w:highlight w:val="none"/>
          <w:u w:val="single"/>
        </w:rPr>
        <w:t>至</w:t>
      </w:r>
      <w:r>
        <w:rPr>
          <w:rFonts w:ascii="宋体" w:hAnsi="宋体" w:eastAsia="宋体" w:cs="Times New Roman"/>
          <w:bCs/>
          <w:color w:val="auto"/>
          <w:sz w:val="24"/>
          <w:szCs w:val="24"/>
          <w:highlight w:val="none"/>
          <w:u w:val="single"/>
        </w:rPr>
        <w:t>12</w:t>
      </w:r>
      <w:r>
        <w:rPr>
          <w:rFonts w:hint="eastAsia" w:ascii="宋体" w:hAnsi="宋体" w:eastAsia="宋体" w:cs="宋体"/>
          <w:bCs/>
          <w:color w:val="auto"/>
          <w:sz w:val="24"/>
          <w:szCs w:val="24"/>
          <w:highlight w:val="none"/>
          <w:u w:val="single"/>
        </w:rPr>
        <w:t>：</w:t>
      </w:r>
      <w:r>
        <w:rPr>
          <w:rFonts w:ascii="宋体" w:hAnsi="宋体" w:eastAsia="宋体" w:cs="Times New Roman"/>
          <w:bCs/>
          <w:color w:val="auto"/>
          <w:sz w:val="24"/>
          <w:szCs w:val="24"/>
          <w:highlight w:val="none"/>
          <w:u w:val="single"/>
        </w:rPr>
        <w:t>00</w:t>
      </w:r>
      <w:r>
        <w:rPr>
          <w:rFonts w:hint="eastAsia" w:ascii="宋体" w:hAnsi="宋体" w:eastAsia="宋体" w:cs="宋体"/>
          <w:bCs/>
          <w:color w:val="auto"/>
          <w:sz w:val="24"/>
          <w:szCs w:val="24"/>
          <w:highlight w:val="none"/>
        </w:rPr>
        <w:t>，下午</w:t>
      </w:r>
      <w:r>
        <w:rPr>
          <w:rFonts w:ascii="宋体" w:hAnsi="宋体" w:eastAsia="宋体" w:cs="Times New Roman"/>
          <w:bCs/>
          <w:color w:val="auto"/>
          <w:sz w:val="24"/>
          <w:szCs w:val="24"/>
          <w:highlight w:val="none"/>
          <w:u w:val="single"/>
        </w:rPr>
        <w:t>14</w:t>
      </w:r>
      <w:r>
        <w:rPr>
          <w:rFonts w:hint="eastAsia" w:ascii="宋体" w:hAnsi="宋体" w:eastAsia="宋体" w:cs="宋体"/>
          <w:bCs/>
          <w:color w:val="auto"/>
          <w:sz w:val="24"/>
          <w:szCs w:val="24"/>
          <w:highlight w:val="none"/>
          <w:u w:val="single"/>
        </w:rPr>
        <w:t>：</w:t>
      </w:r>
      <w:r>
        <w:rPr>
          <w:rFonts w:ascii="宋体" w:hAnsi="宋体" w:eastAsia="宋体" w:cs="Times New Roman"/>
          <w:bCs/>
          <w:color w:val="auto"/>
          <w:sz w:val="24"/>
          <w:szCs w:val="24"/>
          <w:highlight w:val="none"/>
          <w:u w:val="single"/>
        </w:rPr>
        <w:t>00</w:t>
      </w:r>
      <w:r>
        <w:rPr>
          <w:rFonts w:hint="eastAsia" w:ascii="宋体" w:hAnsi="宋体" w:eastAsia="宋体" w:cs="宋体"/>
          <w:bCs/>
          <w:color w:val="auto"/>
          <w:sz w:val="24"/>
          <w:szCs w:val="24"/>
          <w:highlight w:val="none"/>
          <w:u w:val="single"/>
        </w:rPr>
        <w:t>至</w:t>
      </w:r>
      <w:r>
        <w:rPr>
          <w:rFonts w:ascii="宋体" w:hAnsi="宋体" w:eastAsia="宋体" w:cs="Times New Roman"/>
          <w:bCs/>
          <w:color w:val="auto"/>
          <w:sz w:val="24"/>
          <w:szCs w:val="24"/>
          <w:highlight w:val="none"/>
          <w:u w:val="single"/>
        </w:rPr>
        <w:t>17</w:t>
      </w:r>
      <w:r>
        <w:rPr>
          <w:rFonts w:hint="eastAsia" w:ascii="宋体" w:hAnsi="宋体" w:eastAsia="宋体" w:cs="宋体"/>
          <w:bCs/>
          <w:color w:val="auto"/>
          <w:sz w:val="24"/>
          <w:szCs w:val="24"/>
          <w:highlight w:val="none"/>
          <w:u w:val="single"/>
        </w:rPr>
        <w:t>：</w:t>
      </w:r>
      <w:r>
        <w:rPr>
          <w:rFonts w:ascii="宋体" w:hAnsi="宋体" w:eastAsia="宋体" w:cs="Times New Roman"/>
          <w:bCs/>
          <w:color w:val="auto"/>
          <w:sz w:val="24"/>
          <w:szCs w:val="24"/>
          <w:highlight w:val="none"/>
          <w:u w:val="single"/>
        </w:rPr>
        <w:t>30</w:t>
      </w:r>
      <w:r>
        <w:rPr>
          <w:rFonts w:hint="eastAsia" w:ascii="宋体" w:hAnsi="宋体" w:eastAsia="宋体" w:cs="宋体"/>
          <w:bCs/>
          <w:color w:val="auto"/>
          <w:sz w:val="24"/>
          <w:szCs w:val="24"/>
          <w:highlight w:val="none"/>
        </w:rPr>
        <w:t>（北京时间，法定节假日除外）</w:t>
      </w:r>
    </w:p>
    <w:p w14:paraId="51921852">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地点（网址）：</w:t>
      </w:r>
      <w:r>
        <w:rPr>
          <w:rFonts w:hint="eastAsia" w:ascii="宋体" w:hAnsi="宋体" w:eastAsia="宋体" w:cs="宋体"/>
          <w:bCs/>
          <w:color w:val="auto"/>
          <w:sz w:val="24"/>
          <w:szCs w:val="24"/>
          <w:highlight w:val="none"/>
          <w:u w:val="single"/>
        </w:rPr>
        <w:t>广西自贸区钦州港片区开发投资集团有限责任公司网站</w:t>
      </w:r>
      <w:r>
        <w:rPr>
          <w:rFonts w:hint="eastAsia" w:ascii="宋体" w:hAnsi="宋体" w:eastAsia="宋体"/>
          <w:color w:val="auto"/>
          <w:highlight w:val="none"/>
        </w:rPr>
        <w:fldChar w:fldCharType="begin"/>
      </w:r>
      <w:r>
        <w:rPr>
          <w:rFonts w:ascii="宋体" w:hAnsi="宋体" w:eastAsia="宋体"/>
          <w:color w:val="auto"/>
          <w:highlight w:val="none"/>
        </w:rPr>
        <w:instrText xml:space="preserve"> HYPERLINK "http://www.qbtzjt.com" </w:instrText>
      </w:r>
      <w:r>
        <w:rPr>
          <w:rFonts w:hint="eastAsia" w:ascii="宋体" w:hAnsi="宋体" w:eastAsia="宋体"/>
          <w:color w:val="auto"/>
          <w:highlight w:val="none"/>
        </w:rPr>
        <w:fldChar w:fldCharType="separate"/>
      </w:r>
      <w:r>
        <w:rPr>
          <w:rFonts w:hint="eastAsia" w:ascii="宋体" w:hAnsi="宋体" w:eastAsia="宋体"/>
          <w:color w:val="auto"/>
          <w:highlight w:val="none"/>
        </w:rPr>
        <w:t>http:</w:t>
      </w:r>
      <w:r>
        <w:rPr>
          <w:rStyle w:val="14"/>
          <w:rFonts w:hint="eastAsia" w:ascii="宋体" w:hAnsi="宋体" w:eastAsia="宋体" w:cs="宋体"/>
          <w:bCs/>
          <w:color w:val="auto"/>
          <w:sz w:val="24"/>
          <w:szCs w:val="24"/>
          <w:highlight w:val="none"/>
        </w:rPr>
        <w:t>//www.qzmktjt.com</w:t>
      </w:r>
      <w:r>
        <w:rPr>
          <w:rStyle w:val="14"/>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p>
    <w:p w14:paraId="641D6A26">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方式：在</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5</w:t>
      </w:r>
      <w:r>
        <w:rPr>
          <w:rFonts w:hint="eastAsia" w:ascii="宋体" w:hAnsi="宋体" w:eastAsia="宋体" w:cs="宋体"/>
          <w:bCs/>
          <w:color w:val="auto"/>
          <w:sz w:val="24"/>
          <w:szCs w:val="24"/>
          <w:highlight w:val="none"/>
          <w:u w:val="single"/>
        </w:rPr>
        <w:t>日17时00分</w:t>
      </w:r>
      <w:r>
        <w:rPr>
          <w:rFonts w:hint="eastAsia" w:ascii="宋体" w:hAnsi="宋体" w:eastAsia="宋体" w:cs="宋体"/>
          <w:bCs/>
          <w:color w:val="auto"/>
          <w:sz w:val="24"/>
          <w:szCs w:val="24"/>
          <w:highlight w:val="none"/>
        </w:rPr>
        <w:t>前（北京时间）自行获取（下载）。</w:t>
      </w:r>
    </w:p>
    <w:p w14:paraId="4BC35C46">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售价：</w:t>
      </w:r>
      <w:r>
        <w:rPr>
          <w:rFonts w:ascii="宋体" w:hAnsi="宋体" w:eastAsia="宋体" w:cs="Times New Roman"/>
          <w:bCs/>
          <w:color w:val="auto"/>
          <w:sz w:val="24"/>
          <w:szCs w:val="24"/>
          <w:highlight w:val="none"/>
        </w:rPr>
        <w:t>0</w:t>
      </w:r>
      <w:r>
        <w:rPr>
          <w:rFonts w:hint="eastAsia" w:ascii="宋体" w:hAnsi="宋体" w:eastAsia="宋体" w:cs="宋体"/>
          <w:bCs/>
          <w:color w:val="auto"/>
          <w:sz w:val="24"/>
          <w:szCs w:val="24"/>
          <w:highlight w:val="none"/>
        </w:rPr>
        <w:t>元。</w:t>
      </w:r>
    </w:p>
    <w:p w14:paraId="0BFB1AF5">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四、响应文件提交</w:t>
      </w:r>
    </w:p>
    <w:p w14:paraId="22110440">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截止时间：</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5</w:t>
      </w:r>
      <w:r>
        <w:rPr>
          <w:rFonts w:hint="eastAsia" w:ascii="宋体" w:hAnsi="宋体" w:eastAsia="宋体" w:cs="宋体"/>
          <w:bCs/>
          <w:color w:val="auto"/>
          <w:sz w:val="24"/>
          <w:szCs w:val="24"/>
          <w:highlight w:val="none"/>
          <w:u w:val="single"/>
        </w:rPr>
        <w:t>日17时00分</w:t>
      </w:r>
      <w:r>
        <w:rPr>
          <w:rFonts w:hint="eastAsia" w:ascii="宋体" w:hAnsi="宋体" w:eastAsia="宋体" w:cs="宋体"/>
          <w:bCs/>
          <w:color w:val="auto"/>
          <w:sz w:val="24"/>
          <w:szCs w:val="24"/>
          <w:highlight w:val="none"/>
        </w:rPr>
        <w:t>（北京时间）</w:t>
      </w:r>
    </w:p>
    <w:p w14:paraId="4DC22A4E">
      <w:pPr>
        <w:spacing w:line="240" w:lineRule="atLeast"/>
        <w:ind w:firstLine="480" w:firstLineChars="200"/>
        <w:rPr>
          <w:rFonts w:hint="default" w:ascii="宋体" w:hAnsi="宋体" w:eastAsia="宋体" w:cs="宋体"/>
          <w:bCs/>
          <w:color w:val="auto"/>
          <w:sz w:val="24"/>
          <w:szCs w:val="24"/>
          <w:highlight w:val="none"/>
          <w:u w:val="single"/>
          <w:lang w:val="en-US" w:eastAsia="zh-CN"/>
        </w:rPr>
      </w:pPr>
      <w:r>
        <w:rPr>
          <w:rFonts w:hint="eastAsia" w:ascii="宋体" w:hAnsi="宋体" w:eastAsia="宋体" w:cs="宋体"/>
          <w:bCs/>
          <w:color w:val="auto"/>
          <w:sz w:val="24"/>
          <w:szCs w:val="24"/>
          <w:highlight w:val="none"/>
        </w:rPr>
        <w:t>提交响应文件地点：广西钦州市钦州港区友谊大道1号自贸中心23楼，联系人及电话：</w:t>
      </w:r>
      <w:r>
        <w:rPr>
          <w:rFonts w:hint="eastAsia" w:ascii="宋体" w:hAnsi="宋体" w:eastAsia="宋体" w:cs="宋体"/>
          <w:bCs/>
          <w:color w:val="auto"/>
          <w:sz w:val="24"/>
          <w:szCs w:val="24"/>
          <w:highlight w:val="none"/>
          <w:u w:val="single"/>
          <w:lang w:val="en-US" w:eastAsia="zh-CN"/>
        </w:rPr>
        <w:t>经营管理</w:t>
      </w:r>
      <w:r>
        <w:rPr>
          <w:rFonts w:hint="eastAsia" w:ascii="宋体" w:hAnsi="宋体" w:eastAsia="宋体" w:cs="宋体"/>
          <w:bCs/>
          <w:color w:val="auto"/>
          <w:sz w:val="24"/>
          <w:szCs w:val="24"/>
          <w:highlight w:val="none"/>
          <w:u w:val="single"/>
        </w:rPr>
        <w:t xml:space="preserve">部-裴炳昌 </w:t>
      </w:r>
      <w:r>
        <w:rPr>
          <w:rFonts w:ascii="Times New Roman" w:hAnsi="Times New Roman" w:eastAsia="宋体" w:cs="Times New Roman"/>
          <w:bCs/>
          <w:color w:val="auto"/>
          <w:sz w:val="24"/>
          <w:szCs w:val="24"/>
          <w:highlight w:val="none"/>
          <w:u w:val="single"/>
        </w:rPr>
        <w:t>077758813</w:t>
      </w:r>
      <w:r>
        <w:rPr>
          <w:rFonts w:hint="eastAsia" w:ascii="Times New Roman" w:hAnsi="Times New Roman" w:eastAsia="宋体" w:cs="Times New Roman"/>
          <w:bCs/>
          <w:color w:val="auto"/>
          <w:sz w:val="24"/>
          <w:szCs w:val="24"/>
          <w:highlight w:val="none"/>
          <w:u w:val="single"/>
          <w:lang w:val="en-US" w:eastAsia="zh-CN"/>
        </w:rPr>
        <w:t>05</w:t>
      </w:r>
    </w:p>
    <w:p w14:paraId="249971C8">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不按规定密封、逾期送达的或者未送达指定地点的，采购人不予受理。</w:t>
      </w:r>
    </w:p>
    <w:p w14:paraId="6AF69F89">
      <w:pPr>
        <w:spacing w:line="240" w:lineRule="atLeast"/>
        <w:ind w:firstLine="480" w:firstLineChars="200"/>
        <w:rPr>
          <w:rFonts w:ascii="宋体" w:hAnsi="宋体" w:eastAsia="宋体"/>
          <w:color w:val="auto"/>
          <w:highlight w:val="none"/>
        </w:rPr>
      </w:pPr>
      <w:r>
        <w:rPr>
          <w:rFonts w:ascii="宋体" w:hAnsi="宋体" w:eastAsia="宋体" w:cs="宋体"/>
          <w:bCs/>
          <w:color w:val="auto"/>
          <w:sz w:val="24"/>
          <w:szCs w:val="24"/>
          <w:highlight w:val="none"/>
        </w:rPr>
        <w:t>注：以邮寄方式</w:t>
      </w:r>
      <w:r>
        <w:rPr>
          <w:rFonts w:hint="eastAsia" w:ascii="宋体" w:hAnsi="宋体" w:eastAsia="宋体" w:cs="宋体"/>
          <w:bCs/>
          <w:color w:val="auto"/>
          <w:sz w:val="24"/>
          <w:szCs w:val="24"/>
          <w:highlight w:val="none"/>
        </w:rPr>
        <w:t>（建议寄顺丰）</w:t>
      </w:r>
      <w:r>
        <w:rPr>
          <w:rFonts w:ascii="宋体" w:hAnsi="宋体" w:eastAsia="宋体" w:cs="宋体"/>
          <w:bCs/>
          <w:color w:val="auto"/>
          <w:sz w:val="24"/>
          <w:szCs w:val="24"/>
          <w:highlight w:val="none"/>
        </w:rPr>
        <w:t>提交的，应在截止时间前送达指定地点并经签收，不按规定密封、逾期送达的按无效竞标处理。</w:t>
      </w:r>
    </w:p>
    <w:p w14:paraId="38615070">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五、开启</w:t>
      </w:r>
    </w:p>
    <w:p w14:paraId="0050A0DE">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8</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5</w:t>
      </w:r>
      <w:bookmarkStart w:id="9" w:name="_GoBack"/>
      <w:bookmarkEnd w:id="9"/>
      <w:r>
        <w:rPr>
          <w:rFonts w:hint="eastAsia" w:ascii="宋体" w:hAnsi="宋体" w:eastAsia="宋体" w:cs="宋体"/>
          <w:bCs/>
          <w:color w:val="auto"/>
          <w:sz w:val="24"/>
          <w:szCs w:val="24"/>
          <w:highlight w:val="none"/>
          <w:u w:val="single"/>
        </w:rPr>
        <w:t>日17时00分</w:t>
      </w:r>
      <w:r>
        <w:rPr>
          <w:rFonts w:hint="eastAsia" w:ascii="宋体" w:hAnsi="宋体" w:eastAsia="宋体" w:cs="宋体"/>
          <w:bCs/>
          <w:color w:val="auto"/>
          <w:sz w:val="24"/>
          <w:szCs w:val="24"/>
          <w:highlight w:val="none"/>
        </w:rPr>
        <w:t>（北京时间）后；</w:t>
      </w:r>
    </w:p>
    <w:p w14:paraId="12F64261">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地点：</w:t>
      </w:r>
      <w:r>
        <w:rPr>
          <w:rFonts w:hint="eastAsia" w:ascii="宋体" w:hAnsi="宋体" w:eastAsia="宋体" w:cs="宋体"/>
          <w:bCs/>
          <w:color w:val="auto"/>
          <w:sz w:val="24"/>
          <w:szCs w:val="24"/>
          <w:highlight w:val="none"/>
          <w:u w:val="single"/>
        </w:rPr>
        <w:t>广西钦州市钦州港区友谊大道1号自贸中心23楼</w:t>
      </w:r>
    </w:p>
    <w:p w14:paraId="79C31C92">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六、公告期限</w:t>
      </w:r>
    </w:p>
    <w:p w14:paraId="54C66528">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自本公告发布之日起</w:t>
      </w:r>
      <w:r>
        <w:rPr>
          <w:rFonts w:ascii="宋体" w:hAnsi="宋体" w:eastAsia="宋体" w:cs="Times New Roman"/>
          <w:bCs/>
          <w:color w:val="auto"/>
          <w:sz w:val="24"/>
          <w:szCs w:val="24"/>
          <w:highlight w:val="none"/>
        </w:rPr>
        <w:t>3</w:t>
      </w:r>
      <w:r>
        <w:rPr>
          <w:rFonts w:hint="eastAsia" w:ascii="宋体" w:hAnsi="宋体" w:eastAsia="宋体" w:cs="宋体"/>
          <w:bCs/>
          <w:color w:val="auto"/>
          <w:sz w:val="24"/>
          <w:szCs w:val="24"/>
          <w:highlight w:val="none"/>
        </w:rPr>
        <w:t>个工作日。</w:t>
      </w:r>
    </w:p>
    <w:p w14:paraId="0DC1FA43">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w:t>
      </w:r>
    </w:p>
    <w:p w14:paraId="158898EE">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1</w:t>
      </w:r>
      <w:r>
        <w:rPr>
          <w:rFonts w:ascii="宋体" w:hAnsi="宋体" w:eastAsia="宋体" w:cs="宋体"/>
          <w:bCs/>
          <w:color w:val="auto"/>
          <w:sz w:val="24"/>
          <w:szCs w:val="24"/>
          <w:highlight w:val="none"/>
        </w:rPr>
        <w:t>.响应文件应装在一个密封袋内，并进行密封，加盖密封章或单位公章。密封袋外应注明项目名称。</w:t>
      </w:r>
    </w:p>
    <w:p w14:paraId="500D6FB5">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2</w:t>
      </w:r>
      <w:r>
        <w:rPr>
          <w:rFonts w:ascii="宋体" w:hAnsi="宋体" w:eastAsia="宋体" w:cs="宋体"/>
          <w:bCs/>
          <w:color w:val="auto"/>
          <w:sz w:val="24"/>
          <w:szCs w:val="24"/>
          <w:highlight w:val="none"/>
        </w:rPr>
        <w:t>.有关招标采购事务和本项目的补充公告，敬请关注本网站发布的信息。竞标人或潜在竞标人未及时关注相关信息的，所造成的一切后果由竞标人或潜在竞标人自行承担。</w:t>
      </w:r>
    </w:p>
    <w:p w14:paraId="700E844A">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八、凡对本次采购提出询问的请按以下方式联系</w:t>
      </w:r>
    </w:p>
    <w:p w14:paraId="2EE9EE9F">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1</w:t>
      </w:r>
      <w:r>
        <w:rPr>
          <w:rFonts w:hint="eastAsia" w:ascii="宋体" w:hAnsi="宋体" w:eastAsia="宋体" w:cs="宋体"/>
          <w:bCs/>
          <w:color w:val="auto"/>
          <w:sz w:val="24"/>
          <w:szCs w:val="24"/>
          <w:highlight w:val="none"/>
        </w:rPr>
        <w:t>.采购人信息</w:t>
      </w:r>
    </w:p>
    <w:p w14:paraId="1D3EE92D">
      <w:pPr>
        <w:pStyle w:val="11"/>
        <w:widowControl/>
        <w:spacing w:beforeAutospacing="0" w:afterAutospacing="0" w:line="240" w:lineRule="atLeast"/>
        <w:ind w:firstLine="480" w:firstLineChars="200"/>
        <w:rPr>
          <w:rFonts w:hint="default" w:ascii="宋体" w:hAnsi="宋体" w:eastAsia="宋体" w:cs="宋体"/>
          <w:bCs/>
          <w:color w:val="auto"/>
          <w:kern w:val="2"/>
          <w:sz w:val="24"/>
          <w:szCs w:val="24"/>
          <w:highlight w:val="none"/>
          <w:u w:val="single"/>
          <w:lang w:val="en-US" w:eastAsia="zh-CN" w:bidi="ar-SA"/>
        </w:rPr>
      </w:pPr>
      <w:r>
        <w:rPr>
          <w:rFonts w:hint="eastAsia" w:ascii="宋体" w:hAnsi="宋体" w:eastAsia="宋体" w:cs="宋体"/>
          <w:bCs/>
          <w:color w:val="auto"/>
          <w:szCs w:val="24"/>
          <w:highlight w:val="none"/>
        </w:rPr>
        <w:t>名称：</w:t>
      </w:r>
      <w:r>
        <w:rPr>
          <w:rFonts w:hint="eastAsia" w:ascii="宋体" w:hAnsi="宋体" w:eastAsia="宋体" w:cs="宋体"/>
          <w:bCs/>
          <w:color w:val="auto"/>
          <w:kern w:val="2"/>
          <w:sz w:val="24"/>
          <w:szCs w:val="24"/>
          <w:highlight w:val="none"/>
          <w:u w:val="single"/>
          <w:lang w:val="en-US" w:eastAsia="zh-CN" w:bidi="ar-SA"/>
        </w:rPr>
        <w:t>广西自贸区产融城市运营管理有限公司</w:t>
      </w:r>
    </w:p>
    <w:p w14:paraId="7E243DC3">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广西钦州市钦州港区友谊大道1号自贸中心</w:t>
      </w:r>
      <w:r>
        <w:rPr>
          <w:rFonts w:hint="eastAsia" w:ascii="宋体" w:hAnsi="宋体" w:eastAsia="宋体" w:cs="宋体"/>
          <w:bCs/>
          <w:color w:val="auto"/>
          <w:sz w:val="24"/>
          <w:szCs w:val="24"/>
          <w:highlight w:val="none"/>
          <w:u w:val="single"/>
          <w:lang w:val="en-US" w:eastAsia="zh-CN"/>
        </w:rPr>
        <w:t>14</w:t>
      </w:r>
      <w:r>
        <w:rPr>
          <w:rFonts w:hint="eastAsia" w:ascii="宋体" w:hAnsi="宋体" w:eastAsia="宋体" w:cs="宋体"/>
          <w:bCs/>
          <w:color w:val="auto"/>
          <w:sz w:val="24"/>
          <w:szCs w:val="24"/>
          <w:highlight w:val="none"/>
          <w:u w:val="single"/>
        </w:rPr>
        <w:t>楼</w:t>
      </w:r>
    </w:p>
    <w:p w14:paraId="74DCF57E">
      <w:pPr>
        <w:pStyle w:val="11"/>
        <w:widowControl/>
        <w:spacing w:beforeAutospacing="0" w:afterAutospacing="0"/>
        <w:ind w:firstLine="480" w:firstLineChars="200"/>
        <w:rPr>
          <w:rFonts w:ascii="宋体" w:hAnsi="宋体" w:eastAsia="宋体" w:cs="宋体"/>
          <w:bCs/>
          <w:color w:val="auto"/>
          <w:szCs w:val="24"/>
          <w:highlight w:val="none"/>
          <w:u w:val="single"/>
        </w:rPr>
      </w:pPr>
      <w:r>
        <w:rPr>
          <w:rFonts w:hint="eastAsia" w:ascii="宋体" w:hAnsi="宋体" w:eastAsia="宋体" w:cs="宋体"/>
          <w:bCs/>
          <w:color w:val="auto"/>
          <w:szCs w:val="24"/>
          <w:highlight w:val="none"/>
        </w:rPr>
        <w:t>联系方式：</w:t>
      </w:r>
      <w:r>
        <w:rPr>
          <w:rFonts w:hint="eastAsia" w:ascii="宋体" w:hAnsi="宋体" w:eastAsia="宋体" w:cs="宋体"/>
          <w:bCs/>
          <w:color w:val="auto"/>
          <w:szCs w:val="24"/>
          <w:highlight w:val="none"/>
          <w:u w:val="single"/>
          <w:lang w:val="en-US" w:eastAsia="zh-CN"/>
        </w:rPr>
        <w:t>18878759782</w:t>
      </w:r>
      <w:r>
        <w:rPr>
          <w:rFonts w:hint="eastAsia" w:ascii="宋体" w:hAnsi="宋体" w:eastAsia="宋体" w:cs="宋体"/>
          <w:bCs/>
          <w:color w:val="auto"/>
          <w:szCs w:val="24"/>
          <w:highlight w:val="none"/>
          <w:u w:val="single"/>
        </w:rPr>
        <w:t>（</w:t>
      </w:r>
      <w:r>
        <w:rPr>
          <w:rFonts w:hint="eastAsia" w:ascii="宋体" w:hAnsi="宋体" w:eastAsia="宋体" w:cs="宋体"/>
          <w:bCs/>
          <w:color w:val="auto"/>
          <w:szCs w:val="24"/>
          <w:highlight w:val="none"/>
          <w:u w:val="single"/>
          <w:lang w:val="en-US" w:eastAsia="zh-CN"/>
        </w:rPr>
        <w:t>钟文洲</w:t>
      </w:r>
      <w:r>
        <w:rPr>
          <w:rFonts w:hint="eastAsia" w:ascii="宋体" w:hAnsi="宋体" w:eastAsia="宋体" w:cs="宋体"/>
          <w:bCs/>
          <w:color w:val="auto"/>
          <w:szCs w:val="24"/>
          <w:highlight w:val="none"/>
          <w:u w:val="single"/>
        </w:rPr>
        <w:t>）</w:t>
      </w:r>
    </w:p>
    <w:p w14:paraId="40C1A41A">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2</w:t>
      </w:r>
      <w:r>
        <w:rPr>
          <w:rFonts w:hint="eastAsia" w:ascii="宋体" w:hAnsi="宋体" w:eastAsia="宋体" w:cs="宋体"/>
          <w:bCs/>
          <w:color w:val="auto"/>
          <w:sz w:val="24"/>
          <w:szCs w:val="24"/>
          <w:highlight w:val="none"/>
        </w:rPr>
        <w:t>.监督部门信息</w:t>
      </w:r>
    </w:p>
    <w:p w14:paraId="0A8BC4E1">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名称：</w:t>
      </w:r>
      <w:r>
        <w:rPr>
          <w:rFonts w:hint="eastAsia" w:ascii="宋体" w:hAnsi="宋体" w:eastAsia="宋体" w:cs="宋体"/>
          <w:bCs/>
          <w:color w:val="auto"/>
          <w:sz w:val="24"/>
          <w:szCs w:val="24"/>
          <w:highlight w:val="none"/>
          <w:u w:val="single"/>
        </w:rPr>
        <w:t>广西自贸区钦州港片区开发投资集团有限责任公司风控审计部</w:t>
      </w:r>
    </w:p>
    <w:p w14:paraId="3EE7BFD3">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广西钦州市钦州港区友谊大道1号自贸中心</w:t>
      </w:r>
      <w:r>
        <w:rPr>
          <w:rFonts w:ascii="宋体" w:hAnsi="宋体" w:eastAsia="宋体" w:cs="Times New Roman"/>
          <w:bCs/>
          <w:color w:val="auto"/>
          <w:sz w:val="24"/>
          <w:szCs w:val="24"/>
          <w:highlight w:val="none"/>
          <w:u w:val="single"/>
        </w:rPr>
        <w:t>23</w:t>
      </w:r>
      <w:r>
        <w:rPr>
          <w:rFonts w:hint="eastAsia" w:ascii="宋体" w:hAnsi="宋体" w:eastAsia="宋体" w:cs="宋体"/>
          <w:bCs/>
          <w:color w:val="auto"/>
          <w:sz w:val="24"/>
          <w:szCs w:val="24"/>
          <w:highlight w:val="none"/>
          <w:u w:val="single"/>
        </w:rPr>
        <w:t>楼</w:t>
      </w:r>
    </w:p>
    <w:p w14:paraId="44F11513">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联系方式：</w:t>
      </w:r>
      <w:r>
        <w:rPr>
          <w:rFonts w:ascii="宋体" w:hAnsi="宋体" w:eastAsia="宋体" w:cs="Times New Roman"/>
          <w:bCs/>
          <w:color w:val="auto"/>
          <w:sz w:val="24"/>
          <w:szCs w:val="24"/>
          <w:highlight w:val="none"/>
          <w:u w:val="single"/>
        </w:rPr>
        <w:t>0777</w:t>
      </w:r>
      <w:r>
        <w:rPr>
          <w:rFonts w:hint="eastAsia" w:ascii="宋体" w:hAnsi="宋体" w:eastAsia="宋体" w:cs="Times New Roman"/>
          <w:bCs/>
          <w:color w:val="auto"/>
          <w:sz w:val="24"/>
          <w:szCs w:val="24"/>
          <w:highlight w:val="none"/>
          <w:u w:val="single"/>
        </w:rPr>
        <w:t>-</w:t>
      </w:r>
      <w:r>
        <w:rPr>
          <w:rFonts w:ascii="宋体" w:hAnsi="宋体" w:eastAsia="宋体" w:cs="Times New Roman"/>
          <w:bCs/>
          <w:color w:val="auto"/>
          <w:sz w:val="24"/>
          <w:szCs w:val="24"/>
          <w:highlight w:val="none"/>
          <w:u w:val="single"/>
        </w:rPr>
        <w:t>5881380</w:t>
      </w:r>
      <w:r>
        <w:rPr>
          <w:rFonts w:hint="eastAsia" w:ascii="宋体" w:hAnsi="宋体" w:eastAsia="宋体" w:cs="宋体"/>
          <w:bCs/>
          <w:color w:val="auto"/>
          <w:sz w:val="24"/>
          <w:szCs w:val="24"/>
          <w:highlight w:val="none"/>
          <w:u w:val="single"/>
        </w:rPr>
        <w:t>（陈哲）</w:t>
      </w:r>
    </w:p>
    <w:p w14:paraId="177AB6AE">
      <w:pPr>
        <w:jc w:val="left"/>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3167794A">
      <w:pPr>
        <w:numPr>
          <w:ilvl w:val="255"/>
          <w:numId w:val="0"/>
        </w:numPr>
        <w:adjustRightInd w:val="0"/>
        <w:snapToGrid w:val="0"/>
        <w:ind w:firstLine="482" w:firstLineChars="200"/>
        <w:jc w:val="left"/>
        <w:rPr>
          <w:rFonts w:ascii="宋体" w:hAnsi="宋体" w:eastAsia="宋体" w:cs="宋体"/>
          <w:b/>
          <w:bCs/>
          <w:color w:val="auto"/>
          <w:sz w:val="24"/>
          <w:szCs w:val="24"/>
          <w:highlight w:val="none"/>
          <w:lang w:bidi="zh-CN"/>
        </w:rPr>
      </w:pPr>
      <w:r>
        <w:rPr>
          <w:rFonts w:hint="eastAsia" w:ascii="宋体" w:hAnsi="宋体" w:eastAsia="宋体" w:cs="宋体"/>
          <w:b/>
          <w:bCs/>
          <w:color w:val="auto"/>
          <w:sz w:val="24"/>
          <w:szCs w:val="24"/>
          <w:highlight w:val="none"/>
          <w:lang w:bidi="zh-CN"/>
        </w:rPr>
        <w:t>说明：</w:t>
      </w:r>
    </w:p>
    <w:p w14:paraId="4107177B">
      <w:pPr>
        <w:numPr>
          <w:ilvl w:val="0"/>
          <w:numId w:val="1"/>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本项目采购需求表中标注★号的内容为实质性要求和条件。</w:t>
      </w:r>
    </w:p>
    <w:p w14:paraId="6A7EC630">
      <w:pPr>
        <w:numPr>
          <w:ilvl w:val="0"/>
          <w:numId w:val="1"/>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未标注★号的内容负偏离达到</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项以上（含</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项）则被认为是实质性要求和条件不响应，作竞标无效处理。</w:t>
      </w:r>
    </w:p>
    <w:p w14:paraId="2A47D0D5">
      <w:pPr>
        <w:numPr>
          <w:ilvl w:val="255"/>
          <w:numId w:val="0"/>
        </w:numPr>
        <w:adjustRightInd w:val="0"/>
        <w:snapToGrid w:val="0"/>
        <w:spacing w:before="156" w:beforeLines="50"/>
        <w:jc w:val="center"/>
        <w:rPr>
          <w:rFonts w:hint="eastAsia" w:ascii="宋体" w:hAnsi="宋体" w:eastAsia="宋体" w:cs="宋体"/>
          <w:b/>
          <w:bCs/>
          <w:color w:val="auto"/>
          <w:sz w:val="28"/>
          <w:szCs w:val="28"/>
          <w:highlight w:val="none"/>
          <w:lang w:bidi="zh-CN"/>
        </w:rPr>
      </w:pPr>
      <w:r>
        <w:rPr>
          <w:rFonts w:hint="eastAsia" w:ascii="宋体" w:hAnsi="宋体" w:eastAsia="宋体" w:cs="宋体"/>
          <w:b/>
          <w:bCs/>
          <w:color w:val="auto"/>
          <w:sz w:val="28"/>
          <w:szCs w:val="28"/>
          <w:highlight w:val="none"/>
          <w:lang w:bidi="zh-CN"/>
        </w:rPr>
        <w:t>采购需求</w:t>
      </w:r>
    </w:p>
    <w:p w14:paraId="040AF3DB">
      <w:pPr>
        <w:numPr>
          <w:ilvl w:val="-1"/>
          <w:numId w:val="0"/>
        </w:numPr>
        <w:adjustRightInd/>
        <w:snapToGrid/>
        <w:spacing w:before="0" w:beforeLines="-2147483648"/>
        <w:jc w:val="left"/>
        <w:rPr>
          <w:rFonts w:hint="eastAsia" w:ascii="宋体" w:hAnsi="宋体" w:eastAsia="宋体" w:cs="宋体"/>
          <w:b w:val="0"/>
          <w:bCs w:val="0"/>
          <w:color w:val="auto"/>
          <w:sz w:val="24"/>
          <w:szCs w:val="24"/>
          <w:highlight w:val="none"/>
          <w:lang w:val="en-US" w:bidi="zh-CN"/>
        </w:rPr>
      </w:pPr>
      <w:r>
        <w:rPr>
          <w:rFonts w:hint="eastAsia" w:ascii="宋体" w:hAnsi="宋体" w:eastAsia="宋体" w:cs="宋体"/>
          <w:b w:val="0"/>
          <w:bCs w:val="0"/>
          <w:color w:val="auto"/>
          <w:sz w:val="24"/>
          <w:szCs w:val="24"/>
          <w:highlight w:val="none"/>
          <w:lang w:val="en-US" w:bidi="zh-CN"/>
        </w:rPr>
        <w:t>一、商务需求</w:t>
      </w:r>
    </w:p>
    <w:tbl>
      <w:tblPr>
        <w:tblStyle w:val="12"/>
        <w:tblpPr w:leftFromText="180" w:rightFromText="180" w:vertAnchor="text" w:horzAnchor="page" w:tblpX="1560" w:tblpY="250"/>
        <w:tblOverlap w:val="never"/>
        <w:tblW w:w="9020" w:type="dxa"/>
        <w:tblInd w:w="0" w:type="dxa"/>
        <w:tblLayout w:type="fixed"/>
        <w:tblCellMar>
          <w:top w:w="0" w:type="dxa"/>
          <w:left w:w="108" w:type="dxa"/>
          <w:bottom w:w="0" w:type="dxa"/>
          <w:right w:w="108" w:type="dxa"/>
        </w:tblCellMar>
      </w:tblPr>
      <w:tblGrid>
        <w:gridCol w:w="1430"/>
        <w:gridCol w:w="7590"/>
      </w:tblGrid>
      <w:tr w14:paraId="5D07400E">
        <w:tblPrEx>
          <w:tblCellMar>
            <w:top w:w="0" w:type="dxa"/>
            <w:left w:w="108" w:type="dxa"/>
            <w:bottom w:w="0" w:type="dxa"/>
            <w:right w:w="108" w:type="dxa"/>
          </w:tblCellMar>
        </w:tblPrEx>
        <w:trPr>
          <w:trHeight w:val="612" w:hRule="atLeast"/>
        </w:trPr>
        <w:tc>
          <w:tcPr>
            <w:tcW w:w="90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651E2">
            <w:pPr>
              <w:widowControl/>
              <w:jc w:val="center"/>
              <w:textAlignment w:val="center"/>
              <w:rPr>
                <w:rFonts w:hint="eastAsia" w:ascii="宋体" w:hAnsi="宋体" w:eastAsia="宋体" w:cs="宋体"/>
                <w:color w:val="auto"/>
                <w:kern w:val="0"/>
                <w:sz w:val="22"/>
                <w:highlight w:val="none"/>
                <w:lang w:eastAsia="zh-CN"/>
              </w:rPr>
            </w:pPr>
            <w:r>
              <w:rPr>
                <w:rFonts w:hint="eastAsia" w:ascii="宋体" w:hAnsi="宋体" w:eastAsia="宋体" w:cs="宋体"/>
                <w:color w:val="auto"/>
                <w:sz w:val="24"/>
                <w:szCs w:val="24"/>
                <w:highlight w:val="none"/>
                <w:lang w:bidi="zh-CN"/>
              </w:rPr>
              <w:t>★</w:t>
            </w:r>
            <w:r>
              <w:rPr>
                <w:rFonts w:hint="eastAsia" w:ascii="宋体" w:hAnsi="宋体" w:eastAsia="宋体" w:cs="宋体"/>
                <w:b/>
                <w:bCs/>
                <w:color w:val="auto"/>
                <w:kern w:val="0"/>
                <w:szCs w:val="21"/>
                <w:highlight w:val="none"/>
              </w:rPr>
              <w:t>商务</w:t>
            </w:r>
            <w:r>
              <w:rPr>
                <w:rFonts w:hint="eastAsia" w:ascii="宋体" w:hAnsi="宋体" w:eastAsia="宋体" w:cs="宋体"/>
                <w:b/>
                <w:bCs/>
                <w:color w:val="auto"/>
                <w:kern w:val="0"/>
                <w:szCs w:val="21"/>
                <w:highlight w:val="none"/>
                <w:lang w:val="en-US" w:eastAsia="zh-CN"/>
              </w:rPr>
              <w:t>需求</w:t>
            </w:r>
          </w:p>
        </w:tc>
      </w:tr>
      <w:tr w14:paraId="6E8198D7">
        <w:tblPrEx>
          <w:tblCellMar>
            <w:top w:w="0" w:type="dxa"/>
            <w:left w:w="108" w:type="dxa"/>
            <w:bottom w:w="0" w:type="dxa"/>
            <w:right w:w="108" w:type="dxa"/>
          </w:tblCellMar>
        </w:tblPrEx>
        <w:trPr>
          <w:trHeight w:val="632"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A0338">
            <w:pPr>
              <w:widowControl/>
              <w:adjustRightInd w:val="0"/>
              <w:snapToGrid w:val="0"/>
              <w:jc w:val="center"/>
              <w:textAlignment w:val="center"/>
              <w:rPr>
                <w:rFonts w:ascii="宋体" w:hAnsi="宋体" w:eastAsia="宋体" w:cs="宋体"/>
                <w:color w:val="auto"/>
                <w:kern w:val="0"/>
                <w:sz w:val="22"/>
                <w:highlight w:val="none"/>
              </w:rPr>
            </w:pPr>
            <w:r>
              <w:rPr>
                <w:rFonts w:hint="eastAsia" w:ascii="宋体" w:hAnsi="宋体" w:eastAsia="宋体" w:cs="宋体"/>
                <w:color w:val="auto"/>
                <w:sz w:val="24"/>
                <w:szCs w:val="24"/>
                <w:highlight w:val="none"/>
                <w:lang w:bidi="zh-CN"/>
              </w:rPr>
              <w:t>★</w:t>
            </w:r>
            <w:r>
              <w:rPr>
                <w:rFonts w:hint="eastAsia" w:ascii="宋体" w:hAnsi="宋体" w:eastAsia="宋体" w:cs="宋体"/>
                <w:b/>
                <w:color w:val="auto"/>
                <w:szCs w:val="21"/>
                <w:highlight w:val="none"/>
              </w:rPr>
              <w:t>服务期限</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BE0E9">
            <w:pPr>
              <w:pStyle w:val="4"/>
              <w:rPr>
                <w:rFonts w:ascii="宋体" w:hAnsi="宋体" w:eastAsia="宋体" w:cs="宋体"/>
                <w:color w:val="auto"/>
                <w:kern w:val="0"/>
                <w:sz w:val="22"/>
                <w:highlight w:val="none"/>
              </w:rPr>
            </w:pPr>
            <w:r>
              <w:rPr>
                <w:rFonts w:hint="eastAsia" w:ascii="宋体" w:hAnsi="宋体" w:eastAsia="宋体" w:cs="宋体"/>
                <w:bCs/>
                <w:color w:val="auto"/>
                <w:szCs w:val="21"/>
                <w:highlight w:val="none"/>
              </w:rPr>
              <w:t>合同签订后</w:t>
            </w:r>
            <w:r>
              <w:rPr>
                <w:rFonts w:hint="eastAsia" w:ascii="宋体" w:hAnsi="宋体" w:eastAsia="宋体" w:cs="宋体"/>
                <w:bCs/>
                <w:color w:val="auto"/>
                <w:szCs w:val="21"/>
                <w:highlight w:val="none"/>
                <w:lang w:val="en-US" w:eastAsia="zh-CN"/>
              </w:rPr>
              <w:t>12个月</w:t>
            </w:r>
            <w:r>
              <w:rPr>
                <w:rFonts w:hint="eastAsia" w:ascii="宋体" w:hAnsi="宋体" w:eastAsia="宋体" w:cs="宋体"/>
                <w:bCs/>
                <w:color w:val="auto"/>
                <w:szCs w:val="21"/>
                <w:highlight w:val="none"/>
              </w:rPr>
              <w:t>。</w:t>
            </w:r>
          </w:p>
        </w:tc>
      </w:tr>
      <w:tr w14:paraId="0841E128">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D99F9">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color w:val="auto"/>
                <w:sz w:val="24"/>
                <w:szCs w:val="24"/>
                <w:highlight w:val="none"/>
                <w:lang w:bidi="zh-CN"/>
              </w:rPr>
              <w:t>★</w:t>
            </w:r>
            <w:r>
              <w:rPr>
                <w:rFonts w:hint="eastAsia" w:ascii="宋体" w:hAnsi="宋体" w:eastAsia="宋体" w:cs="宋体"/>
                <w:b/>
                <w:bCs/>
                <w:color w:val="auto"/>
                <w:kern w:val="0"/>
                <w:sz w:val="22"/>
                <w:highlight w:val="none"/>
              </w:rPr>
              <w:t>质量要求</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F6E32">
            <w:pPr>
              <w:widowControl/>
              <w:adjustRightInd w:val="0"/>
              <w:snapToGrid w:val="0"/>
              <w:jc w:val="left"/>
              <w:textAlignment w:val="center"/>
              <w:rPr>
                <w:rFonts w:ascii="宋体" w:hAnsi="宋体" w:eastAsia="宋体" w:cs="宋体"/>
                <w:color w:val="auto"/>
                <w:kern w:val="0"/>
                <w:sz w:val="22"/>
                <w:highlight w:val="none"/>
              </w:rPr>
            </w:pPr>
            <w:r>
              <w:rPr>
                <w:rFonts w:hint="eastAsia" w:ascii="宋体" w:hAnsi="宋体" w:eastAsia="宋体"/>
                <w:color w:val="auto"/>
                <w:highlight w:val="none"/>
              </w:rPr>
              <w:t>符合国家现行标准、技术规范及本项目的特定要求。</w:t>
            </w:r>
          </w:p>
        </w:tc>
      </w:tr>
      <w:tr w14:paraId="7DC8AFAB">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4F4F5">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color w:val="auto"/>
                <w:sz w:val="24"/>
                <w:szCs w:val="24"/>
                <w:highlight w:val="none"/>
                <w:lang w:bidi="zh-CN"/>
              </w:rPr>
              <w:t>★</w:t>
            </w:r>
            <w:r>
              <w:rPr>
                <w:rFonts w:hint="eastAsia" w:ascii="宋体" w:hAnsi="宋体" w:eastAsia="宋体" w:cs="宋体"/>
                <w:b/>
                <w:bCs/>
                <w:color w:val="auto"/>
                <w:kern w:val="0"/>
                <w:sz w:val="22"/>
                <w:highlight w:val="none"/>
              </w:rPr>
              <w:t>付款方式</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BCCAF">
            <w:pPr>
              <w:widowControl/>
              <w:adjustRightInd w:val="0"/>
              <w:snapToGrid w:val="0"/>
              <w:textAlignment w:val="center"/>
              <w:rPr>
                <w:rFonts w:hint="eastAsia" w:ascii="宋体" w:hAnsi="宋体" w:eastAsia="宋体" w:cstheme="minorBidi"/>
                <w:color w:val="auto"/>
                <w:kern w:val="2"/>
                <w:sz w:val="21"/>
                <w:highlight w:val="none"/>
              </w:rPr>
            </w:pPr>
            <w:r>
              <w:rPr>
                <w:rFonts w:hint="eastAsia" w:ascii="宋体" w:hAnsi="宋体" w:eastAsia="宋体" w:cstheme="minorBidi"/>
                <w:color w:val="auto"/>
                <w:szCs w:val="22"/>
                <w:highlight w:val="none"/>
              </w:rPr>
              <w:t>合同签订生效后采购人按月平均支付，中标人提供下列资料申请付款:（1）合同复印件；（2）等额正式发票；（3）采购人与中标人认可的《消防维护保养服务月质量考评表》，中标人完成当月服务后，采购人对中标人进行一次服务综合评分考核（详见《消防维护保养服务月质量考评表》），经采购人审核合格后，30天内向中标人支付当月的服务费用。</w:t>
            </w:r>
          </w:p>
        </w:tc>
      </w:tr>
      <w:tr w14:paraId="0A19AF24">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64ECF">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其他要求</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6D4D0">
            <w:pPr>
              <w:widowControl/>
              <w:adjustRightInd w:val="0"/>
              <w:snapToGrid w:val="0"/>
              <w:jc w:val="left"/>
              <w:textAlignment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无</w:t>
            </w:r>
          </w:p>
        </w:tc>
      </w:tr>
    </w:tbl>
    <w:p w14:paraId="7373903F">
      <w:pPr>
        <w:ind w:firstLine="420"/>
        <w:rPr>
          <w:rFonts w:ascii="宋体" w:hAnsi="宋体" w:eastAsia="宋体" w:cs="宋体"/>
          <w:color w:val="auto"/>
          <w:kern w:val="0"/>
          <w:szCs w:val="21"/>
          <w:highlight w:val="none"/>
          <w:lang w:bidi="zh-CN"/>
        </w:rPr>
      </w:pPr>
    </w:p>
    <w:p w14:paraId="5BC7BA66">
      <w:pPr>
        <w:numPr>
          <w:ilvl w:val="0"/>
          <w:numId w:val="0"/>
        </w:numPr>
        <w:rPr>
          <w:rFonts w:hint="eastAsia" w:ascii="宋体" w:hAnsi="宋体" w:eastAsia="宋体" w:cs="宋体"/>
          <w:color w:val="auto"/>
          <w:sz w:val="24"/>
          <w:szCs w:val="24"/>
          <w:highlight w:val="none"/>
          <w:lang w:val="en-US" w:bidi="zh-CN"/>
        </w:rPr>
      </w:pPr>
      <w:r>
        <w:rPr>
          <w:rFonts w:hint="eastAsia" w:ascii="宋体" w:hAnsi="宋体" w:eastAsia="宋体" w:cs="宋体"/>
          <w:color w:val="auto"/>
          <w:kern w:val="2"/>
          <w:sz w:val="24"/>
          <w:szCs w:val="24"/>
          <w:lang w:val="en-US" w:eastAsia="zh-CN" w:bidi="zh-CN"/>
        </w:rPr>
        <w:t>二、</w:t>
      </w:r>
      <w:r>
        <w:rPr>
          <w:rFonts w:hint="eastAsia" w:ascii="宋体" w:hAnsi="宋体" w:eastAsia="宋体" w:cs="宋体"/>
          <w:color w:val="auto"/>
          <w:sz w:val="24"/>
          <w:szCs w:val="24"/>
          <w:highlight w:val="none"/>
          <w:lang w:val="en-US" w:bidi="zh-CN"/>
        </w:rPr>
        <w:t>技术需求</w:t>
      </w:r>
    </w:p>
    <w:p w14:paraId="7BE64030">
      <w:pPr>
        <w:numPr>
          <w:ilvl w:val="0"/>
          <w:numId w:val="0"/>
        </w:numPr>
        <w:rPr>
          <w:rFonts w:hint="eastAsia" w:ascii="宋体" w:hAnsi="宋体" w:eastAsia="宋体" w:cs="宋体"/>
          <w:color w:val="auto"/>
          <w:sz w:val="24"/>
          <w:szCs w:val="24"/>
          <w:highlight w:val="none"/>
          <w:lang w:bidi="zh-CN"/>
        </w:rPr>
      </w:pPr>
    </w:p>
    <w:p w14:paraId="308CE30D">
      <w:pPr>
        <w:numPr>
          <w:ilvl w:val="0"/>
          <w:numId w:val="0"/>
        </w:numPr>
        <w:rPr>
          <w:rFonts w:hint="eastAsia" w:ascii="宋体" w:hAnsi="宋体" w:eastAsia="宋体" w:cs="宋体"/>
          <w:color w:val="auto"/>
          <w:sz w:val="24"/>
          <w:szCs w:val="24"/>
          <w:highlight w:val="none"/>
          <w:lang w:bidi="zh-CN"/>
        </w:rPr>
      </w:pPr>
    </w:p>
    <w:p w14:paraId="455DE86A">
      <w:pPr>
        <w:numPr>
          <w:ilvl w:val="0"/>
          <w:numId w:val="0"/>
        </w:numPr>
        <w:rPr>
          <w:rFonts w:hint="default" w:ascii="宋体" w:hAnsi="宋体" w:eastAsia="宋体" w:cs="宋体"/>
          <w:color w:val="auto"/>
          <w:sz w:val="24"/>
          <w:szCs w:val="24"/>
          <w:highlight w:val="none"/>
          <w:lang w:val="en-US" w:bidi="zh-CN"/>
        </w:rPr>
      </w:pP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4"/>
          <w:szCs w:val="24"/>
          <w:highlight w:val="none"/>
          <w:lang w:val="en-US" w:bidi="zh-CN"/>
        </w:rPr>
        <w:t>三）</w:t>
      </w:r>
      <w:r>
        <w:rPr>
          <w:rFonts w:hint="eastAsia" w:ascii="宋体" w:hAnsi="宋体" w:eastAsia="宋体" w:cs="宋体"/>
          <w:color w:val="auto"/>
          <w:sz w:val="24"/>
          <w:szCs w:val="24"/>
          <w:highlight w:val="none"/>
          <w:lang w:bidi="zh-CN"/>
        </w:rPr>
        <w:t>★</w:t>
      </w:r>
      <w:r>
        <w:rPr>
          <w:rFonts w:hint="eastAsia" w:ascii="宋体" w:hAnsi="宋体" w:eastAsia="宋体" w:cs="宋体"/>
          <w:b w:val="0"/>
          <w:bCs w:val="0"/>
          <w:color w:val="auto"/>
          <w:sz w:val="24"/>
          <w:szCs w:val="24"/>
          <w:highlight w:val="none"/>
          <w:lang w:bidi="zh-CN"/>
        </w:rPr>
        <w:t>维保方式和服务要求</w:t>
      </w:r>
      <w:r>
        <w:rPr>
          <w:rFonts w:hint="eastAsia" w:ascii="宋体" w:hAnsi="宋体" w:eastAsia="宋体" w:cs="宋体"/>
          <w:color w:val="auto"/>
          <w:sz w:val="24"/>
          <w:szCs w:val="24"/>
          <w:highlight w:val="none"/>
          <w:lang w:val="en-US" w:bidi="zh-CN"/>
        </w:rPr>
        <w:t>：</w:t>
      </w:r>
    </w:p>
    <w:p w14:paraId="46784D76">
      <w:pPr>
        <w:widowControl/>
        <w:ind w:firstLine="420" w:firstLineChars="200"/>
        <w:rPr>
          <w:rFonts w:hAnsi="宋体" w:cs="等线"/>
          <w:color w:val="auto"/>
          <w:szCs w:val="21"/>
        </w:rPr>
      </w:pPr>
      <w:r>
        <w:rPr>
          <w:rFonts w:hint="eastAsia" w:hAnsi="宋体" w:cs="等线"/>
          <w:szCs w:val="21"/>
        </w:rPr>
        <w:t>1、本项目</w:t>
      </w:r>
      <w:r>
        <w:rPr>
          <w:rFonts w:hint="eastAsia" w:asciiTheme="minorEastAsia" w:hAnsiTheme="minorEastAsia" w:eastAsiaTheme="minorEastAsia" w:cstheme="minorEastAsia"/>
          <w:sz w:val="24"/>
          <w:szCs w:val="32"/>
          <w:lang w:val="en-US" w:eastAsia="zh-CN"/>
        </w:rPr>
        <w:t>维保包价范围内的设备更换或维修而产生的人工费用由乙方承担，包价</w:t>
      </w:r>
      <w:r>
        <w:rPr>
          <w:rFonts w:hint="eastAsia" w:asciiTheme="minorEastAsia" w:hAnsiTheme="minorEastAsia" w:eastAsiaTheme="minorEastAsia" w:cstheme="minorEastAsia"/>
          <w:color w:val="auto"/>
          <w:sz w:val="24"/>
          <w:szCs w:val="32"/>
          <w:lang w:val="en-US" w:eastAsia="zh-CN"/>
        </w:rPr>
        <w:t>范围外的设备更换或维修而产生的人工费用，由甲方承担</w:t>
      </w:r>
      <w:r>
        <w:rPr>
          <w:rFonts w:hint="eastAsia" w:hAnsi="宋体" w:cs="等线"/>
          <w:color w:val="auto"/>
          <w:szCs w:val="21"/>
        </w:rPr>
        <w:t>。</w:t>
      </w:r>
    </w:p>
    <w:p w14:paraId="297E04FD">
      <w:pPr>
        <w:pStyle w:val="15"/>
        <w:rPr>
          <w:color w:val="auto"/>
        </w:rPr>
      </w:pPr>
    </w:p>
    <w:p w14:paraId="18439155">
      <w:pPr>
        <w:widowControl/>
        <w:ind w:firstLine="420" w:firstLineChars="200"/>
        <w:rPr>
          <w:rFonts w:hAnsi="宋体" w:cs="等线"/>
          <w:color w:val="auto"/>
          <w:szCs w:val="21"/>
        </w:rPr>
      </w:pPr>
      <w:r>
        <w:rPr>
          <w:rFonts w:hint="eastAsia" w:hAnsi="宋体" w:cs="等线"/>
          <w:color w:val="auto"/>
          <w:szCs w:val="21"/>
          <w:lang w:val="en-US" w:eastAsia="zh-CN"/>
        </w:rPr>
        <w:t>2</w:t>
      </w:r>
      <w:r>
        <w:rPr>
          <w:rFonts w:hint="eastAsia" w:hAnsi="宋体" w:cs="等线"/>
          <w:color w:val="auto"/>
          <w:szCs w:val="21"/>
        </w:rPr>
        <w:t>、实施维保服务过程中使用的仪器、设备应当靠边摆放整齐。在维保或维修期间，所需使用的工具（万用表、梯子、螺丝刀等）由中标人自行配备。造成、产生的垃圾，须完成当天现场工作前完成清理，及时恢复现场环境整洁。</w:t>
      </w:r>
    </w:p>
    <w:p w14:paraId="732B1662">
      <w:pPr>
        <w:widowControl/>
        <w:ind w:firstLine="420" w:firstLineChars="200"/>
        <w:rPr>
          <w:rFonts w:hAnsi="宋体" w:cs="等线"/>
          <w:color w:val="auto"/>
          <w:szCs w:val="21"/>
        </w:rPr>
      </w:pPr>
      <w:r>
        <w:rPr>
          <w:rFonts w:hint="eastAsia" w:hAnsi="宋体" w:cs="等线"/>
          <w:color w:val="auto"/>
          <w:szCs w:val="21"/>
          <w:lang w:val="en-US" w:eastAsia="zh-CN"/>
        </w:rPr>
        <w:t>3</w:t>
      </w:r>
      <w:r>
        <w:rPr>
          <w:rFonts w:hint="eastAsia" w:hAnsi="宋体" w:cs="等线"/>
          <w:color w:val="auto"/>
          <w:szCs w:val="21"/>
        </w:rPr>
        <w:t>、中标人完成每月维保检查后，应该在</w:t>
      </w:r>
      <w:r>
        <w:rPr>
          <w:rFonts w:hint="eastAsia" w:hAnsi="宋体" w:cs="等线"/>
          <w:color w:val="auto"/>
          <w:szCs w:val="21"/>
          <w:lang w:val="en-US" w:eastAsia="zh-CN"/>
        </w:rPr>
        <w:t>5</w:t>
      </w:r>
      <w:r>
        <w:rPr>
          <w:rFonts w:hint="eastAsia" w:hAnsi="宋体" w:cs="等线"/>
          <w:color w:val="auto"/>
          <w:szCs w:val="21"/>
        </w:rPr>
        <w:t>个工作日内出具《建筑消防设施维修保养报告书》的书面检查报告等材料，至少包含当次检查人员安排、检查范围、设备数量以及存在问题和解决措施、建议等。每月结合维保检查情况更新消防设备、设施台账，并递交我院相关部门备案存档。</w:t>
      </w:r>
    </w:p>
    <w:p w14:paraId="35AB5091">
      <w:pPr>
        <w:widowControl/>
        <w:ind w:firstLine="420" w:firstLineChars="200"/>
        <w:rPr>
          <w:rFonts w:hAnsi="宋体" w:cs="等线"/>
          <w:szCs w:val="21"/>
        </w:rPr>
      </w:pPr>
      <w:r>
        <w:rPr>
          <w:rFonts w:hint="eastAsia" w:hAnsi="宋体" w:cs="等线"/>
          <w:szCs w:val="21"/>
          <w:lang w:val="en-US" w:eastAsia="zh-CN"/>
        </w:rPr>
        <w:t>4</w:t>
      </w:r>
      <w:r>
        <w:rPr>
          <w:rFonts w:hint="eastAsia" w:hAnsi="宋体" w:cs="等线"/>
          <w:szCs w:val="21"/>
        </w:rPr>
        <w:t>、应急维修</w:t>
      </w:r>
    </w:p>
    <w:p w14:paraId="5F399697">
      <w:pPr>
        <w:widowControl/>
        <w:ind w:firstLine="420" w:firstLineChars="200"/>
        <w:rPr>
          <w:rFonts w:hAnsi="宋体" w:cs="等线"/>
          <w:szCs w:val="21"/>
        </w:rPr>
      </w:pPr>
      <w:r>
        <w:rPr>
          <w:rFonts w:hint="eastAsia" w:hAnsi="宋体" w:cs="等线"/>
          <w:szCs w:val="21"/>
          <w:lang w:val="en-US" w:eastAsia="zh-CN"/>
        </w:rPr>
        <w:t>乙方相关维修保养工作人员保持24小时开机联系状态，接到甲方维修要求后，乙方技术人员必须在6小时内到场，夜间则8小时内到场，对系统进行紧急维修，发生紧急情况下，乙方必须在4小时内到场并及时排除故障，乙方无法及时到场时可提供远程不间断通话、视频操作</w:t>
      </w:r>
      <w:r>
        <w:rPr>
          <w:rFonts w:hint="eastAsia" w:hAnsi="宋体" w:cs="等线"/>
          <w:szCs w:val="21"/>
        </w:rPr>
        <w:t>。</w:t>
      </w:r>
    </w:p>
    <w:p w14:paraId="3F52FBD8">
      <w:pPr>
        <w:ind w:firstLine="420" w:firstLineChars="200"/>
        <w:rPr>
          <w:rFonts w:hAnsi="宋体" w:cs="宋体"/>
          <w:szCs w:val="21"/>
        </w:rPr>
      </w:pPr>
      <w:r>
        <w:rPr>
          <w:rFonts w:hint="eastAsia" w:hAnsi="宋体" w:cs="宋体"/>
          <w:szCs w:val="21"/>
          <w:lang w:val="en-US" w:eastAsia="zh-CN"/>
        </w:rPr>
        <w:t>5</w:t>
      </w:r>
      <w:r>
        <w:rPr>
          <w:rFonts w:hint="eastAsia" w:hAnsi="宋体" w:cs="宋体"/>
          <w:szCs w:val="21"/>
        </w:rPr>
        <w:t>、日常培训和宣传</w:t>
      </w:r>
    </w:p>
    <w:p w14:paraId="6AC72B76">
      <w:pPr>
        <w:widowControl/>
        <w:ind w:firstLine="420" w:firstLineChars="200"/>
        <w:rPr>
          <w:rFonts w:hint="eastAsia" w:hAnsi="宋体" w:cs="等线"/>
          <w:szCs w:val="21"/>
          <w:lang w:val="en-US" w:eastAsia="zh-CN"/>
        </w:rPr>
      </w:pPr>
      <w:r>
        <w:rPr>
          <w:rFonts w:hint="eastAsia" w:hAnsi="宋体" w:cs="等线"/>
          <w:szCs w:val="21"/>
          <w:lang w:val="en-US" w:eastAsia="zh-CN"/>
        </w:rPr>
        <w:t>乙方每年给甲方物业消防值班人员提供1-2次消防设备基础操作和培训，培训时间每次不得少于2小时，培训时间、地点由甲方确定，并提前7-15天通知乙方，乙方制定培训事宜及准备培训资料。</w:t>
      </w:r>
    </w:p>
    <w:p w14:paraId="75DB2D9F">
      <w:pPr>
        <w:ind w:firstLine="420" w:firstLineChars="200"/>
        <w:rPr>
          <w:rFonts w:hAnsi="宋体" w:cs="宋体"/>
          <w:szCs w:val="21"/>
        </w:rPr>
      </w:pPr>
      <w:r>
        <w:rPr>
          <w:rFonts w:hint="eastAsia" w:hAnsi="宋体" w:cs="宋体"/>
          <w:szCs w:val="21"/>
          <w:lang w:val="en-US" w:eastAsia="zh-CN"/>
        </w:rPr>
        <w:t>6</w:t>
      </w:r>
      <w:r>
        <w:rPr>
          <w:rFonts w:hint="eastAsia" w:hAnsi="宋体" w:cs="宋体"/>
          <w:szCs w:val="21"/>
        </w:rPr>
        <w:t>、其他服务要求：</w:t>
      </w:r>
    </w:p>
    <w:p w14:paraId="7472325B">
      <w:pPr>
        <w:ind w:firstLine="420" w:firstLineChars="200"/>
        <w:rPr>
          <w:rFonts w:hAnsi="宋体" w:cs="宋体"/>
          <w:szCs w:val="21"/>
        </w:rPr>
      </w:pPr>
      <w:r>
        <w:rPr>
          <w:rFonts w:hint="eastAsia" w:hAnsi="宋体" w:cs="宋体"/>
          <w:szCs w:val="21"/>
        </w:rPr>
        <w:t>（1）基于设备实际运行状态、采购人或政策标准、上级相关部门督查等情况，中标人须按采购人要求增加日常维保服务外的其他安全检查，不另收取服务费；</w:t>
      </w:r>
    </w:p>
    <w:p w14:paraId="5C02C82A">
      <w:pPr>
        <w:ind w:firstLine="420" w:firstLineChars="200"/>
        <w:rPr>
          <w:rFonts w:hAnsi="宋体" w:cs="宋体"/>
          <w:szCs w:val="21"/>
        </w:rPr>
      </w:pPr>
      <w:r>
        <w:rPr>
          <w:rFonts w:hint="eastAsia" w:hAnsi="宋体" w:cs="宋体"/>
          <w:szCs w:val="21"/>
        </w:rPr>
        <w:t>（2）按照国家相关法律法规要求，协助采购人办理（整理）相关消防调研、建立高层建筑档案等工作。</w:t>
      </w:r>
    </w:p>
    <w:p w14:paraId="71C5DDE1">
      <w:pPr>
        <w:ind w:firstLine="420" w:firstLineChars="200"/>
        <w:rPr>
          <w:rFonts w:hAnsi="宋体" w:cs="宋体"/>
          <w:szCs w:val="21"/>
        </w:rPr>
      </w:pPr>
      <w:r>
        <w:rPr>
          <w:rFonts w:hint="eastAsia" w:hAnsi="宋体" w:cs="宋体"/>
          <w:szCs w:val="21"/>
          <w:lang w:val="en-US" w:eastAsia="zh-CN"/>
        </w:rPr>
        <w:t>7</w:t>
      </w:r>
      <w:r>
        <w:rPr>
          <w:rFonts w:hint="eastAsia" w:hAnsi="宋体" w:cs="宋体"/>
          <w:szCs w:val="21"/>
        </w:rPr>
        <w:t>、中标人在投标时应提供消防设施辅材及零配件材料的清单并报价，该报价在维保方案执行期间生效。在维保方案执行期间，应始终使用优质维护材料及部件，并做到价格合理；不在清单所列范围的，不能不高于市场价。（报价清单）</w:t>
      </w:r>
    </w:p>
    <w:p w14:paraId="4EDDECC9">
      <w:pPr>
        <w:ind w:firstLine="420" w:firstLineChars="200"/>
        <w:rPr>
          <w:rFonts w:hAnsi="宋体" w:cs="宋体"/>
          <w:szCs w:val="21"/>
        </w:rPr>
      </w:pPr>
      <w:r>
        <w:rPr>
          <w:rFonts w:hint="eastAsia" w:hAnsi="宋体" w:cs="宋体"/>
          <w:szCs w:val="21"/>
          <w:lang w:val="en-US" w:eastAsia="zh-CN"/>
        </w:rPr>
        <w:t>8</w:t>
      </w:r>
      <w:r>
        <w:rPr>
          <w:rFonts w:hint="eastAsia" w:hAnsi="宋体" w:cs="宋体"/>
          <w:szCs w:val="21"/>
        </w:rPr>
        <w:t>、维保合同即将到期时，无论续签与否，中标人应配采购人做好消防系统检查工作，保障设备完好及正常运行，确保移交工作顺利进行。</w:t>
      </w:r>
    </w:p>
    <w:p w14:paraId="32D1B22A">
      <w:pPr>
        <w:ind w:firstLine="420" w:firstLineChars="200"/>
        <w:rPr>
          <w:rFonts w:hAnsi="宋体" w:cs="宋体"/>
          <w:szCs w:val="21"/>
        </w:rPr>
      </w:pPr>
      <w:r>
        <w:rPr>
          <w:rFonts w:hint="eastAsia" w:hAnsi="宋体" w:cs="宋体"/>
          <w:szCs w:val="21"/>
          <w:lang w:val="en-US" w:eastAsia="zh-CN"/>
        </w:rPr>
        <w:t>9</w:t>
      </w:r>
      <w:r>
        <w:rPr>
          <w:rFonts w:hint="eastAsia" w:hAnsi="宋体" w:cs="宋体"/>
          <w:szCs w:val="21"/>
        </w:rPr>
        <w:t>、中标人每月定期按照《建筑消防设施的维护管理》的要求，对相关消防设施设备的功能性测试及检</w:t>
      </w:r>
      <w:r>
        <w:rPr>
          <w:rFonts w:hint="eastAsia" w:hAnsi="宋体" w:cs="宋体"/>
          <w:color w:val="auto"/>
          <w:szCs w:val="21"/>
          <w:highlight w:val="none"/>
        </w:rPr>
        <w:t>查。每月100%完成防火门、常开（常闭）式闭门器、应急灯、疏散指示标志、灭火器、消火栓、消火栓（喷淋）泵组、湿式报警系统（喷淋末端水压）等消防设施设备点检，现场必须有检查记录；每月</w:t>
      </w:r>
      <w:r>
        <w:rPr>
          <w:rFonts w:hint="eastAsia" w:hAnsi="宋体" w:cs="宋体"/>
          <w:szCs w:val="21"/>
        </w:rPr>
        <w:t>按计划完成10%的消防主机联动设施设备的循环测试检查，年度内执行完成100%消防主机联动设施设备所有测试检查，并做好相关记录。为采购人达到减少设备故障率，提升设备的使用年限。（须供应商单独提供书面承诺函）</w:t>
      </w:r>
    </w:p>
    <w:p w14:paraId="493F158B">
      <w:pPr>
        <w:ind w:firstLine="420" w:firstLineChars="200"/>
        <w:rPr>
          <w:rFonts w:hAnsi="宋体" w:cs="宋体"/>
          <w:szCs w:val="21"/>
        </w:rPr>
      </w:pPr>
      <w:r>
        <w:rPr>
          <w:rFonts w:hint="eastAsia" w:hAnsi="宋体" w:cs="宋体"/>
          <w:szCs w:val="21"/>
        </w:rPr>
        <w:t>1</w:t>
      </w:r>
      <w:r>
        <w:rPr>
          <w:rFonts w:hint="eastAsia" w:hAnsi="宋体" w:cs="宋体"/>
          <w:szCs w:val="21"/>
          <w:lang w:val="en-US" w:eastAsia="zh-CN"/>
        </w:rPr>
        <w:t>0</w:t>
      </w:r>
      <w:r>
        <w:rPr>
          <w:rFonts w:hint="eastAsia" w:hAnsi="宋体" w:cs="宋体"/>
          <w:szCs w:val="21"/>
        </w:rPr>
        <w:t>、</w:t>
      </w:r>
      <w:r>
        <w:rPr>
          <w:rFonts w:hint="eastAsia" w:asciiTheme="minorEastAsia" w:hAnsiTheme="minorEastAsia" w:eastAsiaTheme="minorEastAsia" w:cstheme="minorEastAsia"/>
          <w:sz w:val="24"/>
          <w:szCs w:val="32"/>
          <w:lang w:val="en-US" w:eastAsia="zh-CN"/>
        </w:rPr>
        <w:t>本消防维保项目，不派遣驻场技术人员，如甲方需要，费用另计，不在本项目报价合同范围内</w:t>
      </w:r>
      <w:r>
        <w:rPr>
          <w:rFonts w:hint="eastAsia" w:asciiTheme="minorEastAsia" w:hAnsiTheme="minorEastAsia" w:cstheme="minorEastAsia"/>
          <w:sz w:val="24"/>
          <w:szCs w:val="32"/>
          <w:lang w:val="en-US" w:eastAsia="zh-CN"/>
        </w:rPr>
        <w:t>。</w:t>
      </w:r>
    </w:p>
    <w:p w14:paraId="66BAC8FF">
      <w:pPr>
        <w:ind w:firstLine="424" w:firstLineChars="202"/>
        <w:rPr>
          <w:rFonts w:hAnsi="宋体" w:cs="宋体"/>
          <w:szCs w:val="21"/>
        </w:rPr>
      </w:pPr>
      <w:r>
        <w:rPr>
          <w:rFonts w:hint="eastAsia" w:hAnsi="宋体" w:cs="宋体"/>
          <w:szCs w:val="21"/>
        </w:rPr>
        <w:t>1</w:t>
      </w:r>
      <w:r>
        <w:rPr>
          <w:rFonts w:hint="eastAsia" w:hAnsi="宋体" w:cs="宋体"/>
          <w:szCs w:val="21"/>
          <w:lang w:val="en-US" w:eastAsia="zh-CN"/>
        </w:rPr>
        <w:t>1</w:t>
      </w:r>
      <w:r>
        <w:rPr>
          <w:rFonts w:hint="eastAsia" w:hAnsi="宋体" w:cs="宋体"/>
          <w:szCs w:val="21"/>
        </w:rPr>
        <w:t>、在维保期间，中标人负责对所有发生故障的消防设备、器件修理，如不能修复，须出具相应的检修报告说明原因。</w:t>
      </w:r>
      <w:r>
        <w:rPr>
          <w:rFonts w:hint="eastAsia" w:hAnsi="宋体" w:cs="宋体"/>
          <w:szCs w:val="21"/>
          <w:lang w:val="en-US" w:eastAsia="zh-CN"/>
        </w:rPr>
        <w:t>故障需要进行设备更换维修的，其材料费用在￥：100元以内（含￥：100元）的乙方承担，总费用超过￥：100元的由甲方承担（由双方确认价格）</w:t>
      </w:r>
      <w:r>
        <w:rPr>
          <w:rFonts w:hint="eastAsia" w:hAnsi="宋体" w:cs="宋体"/>
          <w:szCs w:val="21"/>
        </w:rPr>
        <w:t>。</w:t>
      </w:r>
    </w:p>
    <w:p w14:paraId="5C995598">
      <w:pPr>
        <w:ind w:firstLine="283" w:firstLineChars="135"/>
        <w:rPr>
          <w:rFonts w:hAnsi="宋体" w:cs="宋体"/>
          <w:szCs w:val="21"/>
        </w:rPr>
      </w:pPr>
      <w:r>
        <w:rPr>
          <w:rFonts w:hint="eastAsia" w:hAnsi="宋体" w:cs="宋体"/>
          <w:szCs w:val="21"/>
        </w:rPr>
        <w:t>1</w:t>
      </w:r>
      <w:r>
        <w:rPr>
          <w:rFonts w:hint="eastAsia" w:hAnsi="宋体" w:cs="宋体"/>
          <w:szCs w:val="21"/>
          <w:lang w:val="en-US" w:eastAsia="zh-CN"/>
        </w:rPr>
        <w:t>2</w:t>
      </w:r>
      <w:r>
        <w:rPr>
          <w:rFonts w:hint="eastAsia" w:hAnsi="宋体" w:cs="宋体"/>
          <w:szCs w:val="21"/>
        </w:rPr>
        <w:t>、在维保过程中，若发现采购人的消防系统存在不完善或隐患，将主动向采购人提出并全力协助采购人进行整改。</w:t>
      </w:r>
    </w:p>
    <w:p w14:paraId="0175A19B">
      <w:pPr>
        <w:ind w:firstLine="420" w:firstLineChars="200"/>
        <w:rPr>
          <w:rFonts w:hAnsi="宋体" w:cs="宋体"/>
          <w:szCs w:val="21"/>
        </w:rPr>
      </w:pPr>
      <w:r>
        <w:rPr>
          <w:rFonts w:hint="eastAsia" w:hAnsi="宋体" w:cs="宋体"/>
          <w:szCs w:val="21"/>
        </w:rPr>
        <w:t>1</w:t>
      </w:r>
      <w:r>
        <w:rPr>
          <w:rFonts w:hint="eastAsia" w:hAnsi="宋体" w:cs="宋体"/>
          <w:szCs w:val="21"/>
          <w:lang w:val="en-US" w:eastAsia="zh-CN"/>
        </w:rPr>
        <w:t>3</w:t>
      </w:r>
      <w:r>
        <w:rPr>
          <w:rFonts w:hint="eastAsia" w:hAnsi="宋体" w:cs="宋体"/>
          <w:szCs w:val="21"/>
        </w:rPr>
        <w:t>、采购人在对建筑内部进行装修时，中标人和驻点人员应配合对现场消防设备进行维护和管理，对于有关消防方面以及增加的消防设备提供专业的意见。</w:t>
      </w:r>
    </w:p>
    <w:p w14:paraId="18C574AD">
      <w:pPr>
        <w:ind w:firstLine="283" w:firstLineChars="135"/>
      </w:pPr>
      <w:r>
        <w:rPr>
          <w:rFonts w:hint="eastAsia"/>
        </w:rPr>
        <w:t>1</w:t>
      </w:r>
      <w:r>
        <w:rPr>
          <w:rFonts w:hint="eastAsia"/>
          <w:lang w:val="en-US" w:eastAsia="zh-CN"/>
        </w:rPr>
        <w:t>4</w:t>
      </w:r>
      <w:r>
        <w:rPr>
          <w:rFonts w:hint="eastAsia"/>
        </w:rPr>
        <w:t>、中标人每年对采购人的消防设施设备进行一次全面的检测，检测标准必须符合国家相关要求，并出具消防检测报告(检测报告须得到相关政府部门认可)，上传至社会消防技术服务信息平台，所有</w:t>
      </w:r>
      <w:r>
        <w:rPr>
          <w:rFonts w:hint="eastAsia" w:hAnsi="宋体" w:cs="宋体"/>
          <w:szCs w:val="21"/>
        </w:rPr>
        <w:t>费用</w:t>
      </w:r>
      <w:r>
        <w:rPr>
          <w:rFonts w:hint="eastAsia"/>
        </w:rPr>
        <w:t>由中标人负责（如政府部门有要求进行检测，则中标人需配合完成，不占用年度检测次数）。</w:t>
      </w:r>
    </w:p>
    <w:p w14:paraId="6A19E19F">
      <w:pPr>
        <w:ind w:firstLine="283" w:firstLineChars="135"/>
        <w:rPr>
          <w:rFonts w:hAnsi="宋体" w:cs="宋体"/>
          <w:szCs w:val="21"/>
        </w:rPr>
      </w:pPr>
      <w:r>
        <w:rPr>
          <w:rFonts w:hint="eastAsia"/>
          <w:szCs w:val="21"/>
        </w:rPr>
        <w:t>1</w:t>
      </w:r>
      <w:r>
        <w:rPr>
          <w:rFonts w:hint="eastAsia"/>
          <w:szCs w:val="21"/>
          <w:lang w:val="en-US" w:eastAsia="zh-CN"/>
        </w:rPr>
        <w:t>5</w:t>
      </w:r>
      <w:r>
        <w:rPr>
          <w:rFonts w:hint="eastAsia"/>
          <w:szCs w:val="21"/>
        </w:rPr>
        <w:t>、</w:t>
      </w:r>
      <w:r>
        <w:rPr>
          <w:rFonts w:hint="eastAsia" w:hAnsi="宋体" w:cs="宋体"/>
          <w:szCs w:val="21"/>
        </w:rPr>
        <w:t>中标人每年需对消防联动主机中的联动设备地址码，以及中文注释进行现场复核、检测和更新，工作中产生的人工费、厂家服务费等费用，由中标人负责。</w:t>
      </w:r>
    </w:p>
    <w:p w14:paraId="674056A7">
      <w:pPr>
        <w:ind w:firstLine="283" w:firstLineChars="135"/>
        <w:rPr>
          <w:rFonts w:hint="eastAsia" w:hAnsi="宋体" w:eastAsia="宋体" w:cs="宋体"/>
          <w:szCs w:val="21"/>
          <w:lang w:val="en-US" w:eastAsia="zh-CN"/>
        </w:rPr>
      </w:pPr>
      <w:r>
        <w:rPr>
          <w:rFonts w:hint="eastAsia" w:hAnsi="宋体" w:cs="宋体"/>
          <w:szCs w:val="21"/>
          <w:lang w:val="en-US" w:eastAsia="zh-CN"/>
        </w:rPr>
        <w:t>16</w:t>
      </w:r>
      <w:r>
        <w:rPr>
          <w:rFonts w:hint="eastAsia" w:hAnsi="宋体" w:cs="宋体"/>
          <w:szCs w:val="21"/>
        </w:rPr>
        <w:t>、中标人结合日常工作，有使用关于消防的智能化巡检监控系统，采购人可通过系统内容，可监管、详细查看中标人针对采购人的所在场所开展的服务工作，至少包括消防设备设施使用情况、维保情况和维修情况等。</w:t>
      </w:r>
      <w:r>
        <w:rPr>
          <w:rFonts w:hint="eastAsia" w:hAnsi="宋体" w:cs="宋体"/>
          <w:szCs w:val="21"/>
          <w:lang w:val="en-US" w:eastAsia="zh-CN"/>
        </w:rPr>
        <w:t xml:space="preserve"> </w:t>
      </w:r>
    </w:p>
    <w:p w14:paraId="36ECFEC4">
      <w:pPr>
        <w:numPr>
          <w:ilvl w:val="0"/>
          <w:numId w:val="0"/>
        </w:numPr>
        <w:rPr>
          <w:rFonts w:hint="eastAsia" w:ascii="宋体" w:hAnsi="宋体" w:eastAsia="宋体"/>
          <w:color w:val="auto"/>
          <w:highlight w:val="none"/>
        </w:rPr>
      </w:pPr>
      <w:r>
        <w:rPr>
          <w:rFonts w:hint="eastAsia" w:ascii="宋体" w:hAnsi="宋体" w:eastAsia="宋体" w:cs="宋体"/>
          <w:color w:val="auto"/>
          <w:kern w:val="2"/>
          <w:sz w:val="24"/>
          <w:szCs w:val="24"/>
          <w:lang w:val="en-US" w:eastAsia="zh-CN" w:bidi="zh-CN"/>
        </w:rPr>
        <w:t>三、</w:t>
      </w:r>
      <w:r>
        <w:rPr>
          <w:rFonts w:hint="eastAsia" w:ascii="宋体" w:hAnsi="宋体" w:eastAsia="宋体" w:cs="宋体"/>
          <w:color w:val="auto"/>
          <w:sz w:val="24"/>
          <w:szCs w:val="24"/>
          <w:highlight w:val="none"/>
          <w:lang w:val="en-US" w:bidi="zh-CN"/>
        </w:rPr>
        <w:t>采购清单</w:t>
      </w:r>
      <w:r>
        <w:rPr>
          <w:rFonts w:hint="eastAsia" w:ascii="宋体" w:hAnsi="宋体" w:eastAsia="宋体" w:cs="宋体"/>
          <w:color w:val="auto"/>
          <w:sz w:val="24"/>
          <w:szCs w:val="24"/>
          <w:highlight w:val="none"/>
          <w:lang w:val="en-US" w:bidi="zh-CN"/>
        </w:rPr>
        <w:br w:type="textWrapping"/>
      </w:r>
    </w:p>
    <w:tbl>
      <w:tblPr>
        <w:tblStyle w:val="12"/>
        <w:tblW w:w="8435" w:type="dxa"/>
        <w:tblInd w:w="-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4396"/>
        <w:gridCol w:w="1105"/>
        <w:gridCol w:w="859"/>
        <w:gridCol w:w="1244"/>
      </w:tblGrid>
      <w:tr w14:paraId="1433B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831" w:type="dxa"/>
            <w:noWrap/>
            <w:vAlign w:val="center"/>
          </w:tcPr>
          <w:p w14:paraId="1D812917">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类别</w:t>
            </w:r>
          </w:p>
        </w:tc>
        <w:tc>
          <w:tcPr>
            <w:tcW w:w="4396" w:type="dxa"/>
            <w:noWrap/>
            <w:vAlign w:val="center"/>
          </w:tcPr>
          <w:p w14:paraId="52682227">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项目名称</w:t>
            </w:r>
          </w:p>
        </w:tc>
        <w:tc>
          <w:tcPr>
            <w:tcW w:w="1105" w:type="dxa"/>
            <w:noWrap/>
            <w:vAlign w:val="center"/>
          </w:tcPr>
          <w:p w14:paraId="50D211A2">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单价</w:t>
            </w:r>
          </w:p>
        </w:tc>
        <w:tc>
          <w:tcPr>
            <w:tcW w:w="859" w:type="dxa"/>
            <w:noWrap w:val="0"/>
            <w:vAlign w:val="center"/>
          </w:tcPr>
          <w:p w14:paraId="23E3C6D8">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检测</w:t>
            </w:r>
          </w:p>
          <w:p w14:paraId="43099EFF">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 次数）</w:t>
            </w:r>
          </w:p>
        </w:tc>
        <w:tc>
          <w:tcPr>
            <w:tcW w:w="1244" w:type="dxa"/>
            <w:noWrap/>
            <w:vAlign w:val="center"/>
          </w:tcPr>
          <w:p w14:paraId="4DC3DB50">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费用(元)</w:t>
            </w:r>
          </w:p>
        </w:tc>
      </w:tr>
      <w:tr w14:paraId="568F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8" w:hRule="atLeast"/>
        </w:trPr>
        <w:tc>
          <w:tcPr>
            <w:tcW w:w="831" w:type="dxa"/>
            <w:noWrap w:val="0"/>
            <w:textDirection w:val="tbRlV"/>
            <w:vAlign w:val="center"/>
          </w:tcPr>
          <w:p w14:paraId="046EFF84">
            <w:pPr>
              <w:widowControl/>
              <w:jc w:val="center"/>
              <w:rPr>
                <w:rFonts w:hint="eastAsia" w:ascii="宋体" w:hAnsi="宋体" w:eastAsia="宋体" w:cs="宋体"/>
                <w:bCs/>
                <w:color w:val="auto"/>
                <w:kern w:val="0"/>
                <w:sz w:val="24"/>
                <w:szCs w:val="24"/>
                <w:lang w:val="en-US" w:eastAsia="zh-CN"/>
              </w:rPr>
            </w:pPr>
            <w:r>
              <w:rPr>
                <w:rFonts w:hint="eastAsia" w:ascii="宋体" w:hAnsi="宋体" w:eastAsia="宋体" w:cs="宋体"/>
                <w:b w:val="0"/>
                <w:bCs w:val="0"/>
                <w:i w:val="0"/>
                <w:iCs w:val="0"/>
                <w:caps w:val="0"/>
                <w:color w:val="auto"/>
                <w:spacing w:val="0"/>
                <w:kern w:val="0"/>
                <w:sz w:val="24"/>
                <w:szCs w:val="24"/>
                <w:lang w:val="en-US" w:eastAsia="zh-CN" w:bidi="ar"/>
              </w:rPr>
              <w:t>消防供配电设施</w:t>
            </w:r>
          </w:p>
        </w:tc>
        <w:tc>
          <w:tcPr>
            <w:tcW w:w="4396" w:type="dxa"/>
            <w:noWrap/>
            <w:vAlign w:val="center"/>
          </w:tcPr>
          <w:p w14:paraId="535F301A">
            <w:pPr>
              <w:pStyle w:val="20"/>
              <w:spacing w:before="62" w:line="235" w:lineRule="auto"/>
              <w:jc w:val="left"/>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5"/>
                <w:sz w:val="24"/>
                <w:szCs w:val="24"/>
                <w:lang w:val="en-US" w:eastAsia="zh-CN"/>
              </w:rPr>
              <w:t>1、</w:t>
            </w:r>
            <w:r>
              <w:rPr>
                <w:rFonts w:hint="eastAsia" w:ascii="宋体" w:hAnsi="宋体" w:eastAsia="宋体" w:cs="宋体"/>
                <w:b w:val="0"/>
                <w:bCs w:val="0"/>
                <w:color w:val="auto"/>
                <w:spacing w:val="-6"/>
                <w:sz w:val="24"/>
                <w:szCs w:val="24"/>
              </w:rPr>
              <w:t>检查消防配电柜(箱)盘面的仪表、指示灯及控制按钮、消防配电设备标志等。</w:t>
            </w:r>
          </w:p>
          <w:p w14:paraId="3C3861AB">
            <w:pPr>
              <w:pStyle w:val="20"/>
              <w:spacing w:before="62" w:line="235" w:lineRule="auto"/>
              <w:jc w:val="left"/>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2、</w:t>
            </w:r>
            <w:r>
              <w:rPr>
                <w:rFonts w:hint="eastAsia" w:ascii="宋体" w:hAnsi="宋体" w:eastAsia="宋体" w:cs="宋体"/>
                <w:b w:val="0"/>
                <w:bCs w:val="0"/>
                <w:color w:val="auto"/>
                <w:spacing w:val="-6"/>
                <w:sz w:val="24"/>
                <w:szCs w:val="24"/>
              </w:rPr>
              <w:t>进行主备电切换功能</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主备电源供电能力检查测试。</w:t>
            </w:r>
          </w:p>
          <w:p w14:paraId="7429E29B">
            <w:pPr>
              <w:pStyle w:val="20"/>
              <w:spacing w:before="62" w:line="235" w:lineRule="auto"/>
              <w:jc w:val="left"/>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3、</w:t>
            </w:r>
            <w:r>
              <w:rPr>
                <w:rFonts w:hint="eastAsia" w:ascii="宋体" w:hAnsi="宋体" w:eastAsia="宋体" w:cs="宋体"/>
                <w:b w:val="0"/>
                <w:bCs w:val="0"/>
                <w:color w:val="auto"/>
                <w:spacing w:val="-6"/>
                <w:sz w:val="24"/>
                <w:szCs w:val="24"/>
              </w:rPr>
              <w:t>对箱(柜)内各配件、端子进行温度测试及牢固检查。</w:t>
            </w:r>
          </w:p>
          <w:p w14:paraId="13337B1D">
            <w:pPr>
              <w:pStyle w:val="20"/>
              <w:spacing w:before="62" w:line="235" w:lineRule="auto"/>
              <w:jc w:val="left"/>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4、</w:t>
            </w:r>
            <w:r>
              <w:rPr>
                <w:rFonts w:hint="eastAsia" w:ascii="宋体" w:hAnsi="宋体" w:eastAsia="宋体" w:cs="宋体"/>
                <w:b w:val="0"/>
                <w:bCs w:val="0"/>
                <w:color w:val="auto"/>
                <w:spacing w:val="-6"/>
                <w:sz w:val="24"/>
                <w:szCs w:val="24"/>
              </w:rPr>
              <w:t>检查应急电源的工作状态，仪表、开关和控制按钮。</w:t>
            </w:r>
          </w:p>
          <w:p w14:paraId="48D5FCE8">
            <w:pPr>
              <w:pStyle w:val="20"/>
              <w:spacing w:before="62" w:line="235" w:lineRule="auto"/>
              <w:jc w:val="left"/>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5、</w:t>
            </w:r>
            <w:r>
              <w:rPr>
                <w:rFonts w:hint="eastAsia" w:ascii="宋体" w:hAnsi="宋体" w:eastAsia="宋体" w:cs="宋体"/>
                <w:b w:val="0"/>
                <w:bCs w:val="0"/>
                <w:color w:val="auto"/>
                <w:spacing w:val="-6"/>
                <w:sz w:val="24"/>
                <w:szCs w:val="24"/>
              </w:rPr>
              <w:t>对主电源和备用电源进行自动、手动切换实验并对电池进行充放电测试。</w:t>
            </w:r>
          </w:p>
          <w:p w14:paraId="08426428">
            <w:pPr>
              <w:pStyle w:val="20"/>
              <w:spacing w:before="62" w:line="235" w:lineRule="auto"/>
              <w:jc w:val="left"/>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6、</w:t>
            </w:r>
            <w:r>
              <w:rPr>
                <w:rFonts w:hint="eastAsia" w:ascii="宋体" w:hAnsi="宋体" w:eastAsia="宋体" w:cs="宋体"/>
                <w:b w:val="0"/>
                <w:bCs w:val="0"/>
                <w:color w:val="auto"/>
                <w:spacing w:val="-6"/>
                <w:sz w:val="24"/>
                <w:szCs w:val="24"/>
              </w:rPr>
              <w:t>对箱(柜)内清洁并对各接线端子进行牢固检查。</w:t>
            </w:r>
          </w:p>
          <w:p w14:paraId="373EED8A">
            <w:pPr>
              <w:pStyle w:val="20"/>
              <w:spacing w:before="62" w:line="235" w:lineRule="auto"/>
              <w:jc w:val="left"/>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7、</w:t>
            </w:r>
            <w:r>
              <w:rPr>
                <w:rFonts w:hint="eastAsia" w:ascii="宋体" w:hAnsi="宋体" w:eastAsia="宋体" w:cs="宋体"/>
                <w:b w:val="0"/>
                <w:bCs w:val="0"/>
                <w:color w:val="auto"/>
                <w:spacing w:val="-6"/>
                <w:sz w:val="24"/>
                <w:szCs w:val="24"/>
              </w:rPr>
              <w:t>检查备用发电机组的工作状态，发电机组的铭牌、仪表、指示灯及控制按钮等。</w:t>
            </w:r>
          </w:p>
          <w:p w14:paraId="39EBDD8A">
            <w:pPr>
              <w:pStyle w:val="20"/>
              <w:spacing w:before="62" w:line="235" w:lineRule="auto"/>
              <w:jc w:val="left"/>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8、</w:t>
            </w:r>
            <w:r>
              <w:rPr>
                <w:rFonts w:hint="eastAsia" w:ascii="宋体" w:hAnsi="宋体" w:eastAsia="宋体" w:cs="宋体"/>
                <w:b w:val="0"/>
                <w:bCs w:val="0"/>
                <w:color w:val="auto"/>
                <w:spacing w:val="-6"/>
                <w:sz w:val="24"/>
                <w:szCs w:val="24"/>
              </w:rPr>
              <w:t>对发电机组启动电池进行充放电测试，对油箱的储油量进行核对。</w:t>
            </w:r>
          </w:p>
          <w:p w14:paraId="382BF66D">
            <w:pPr>
              <w:pStyle w:val="20"/>
              <w:spacing w:before="62" w:line="235" w:lineRule="auto"/>
              <w:jc w:val="left"/>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9、</w:t>
            </w:r>
            <w:r>
              <w:rPr>
                <w:rFonts w:hint="eastAsia" w:ascii="宋体" w:hAnsi="宋体" w:eastAsia="宋体" w:cs="宋体"/>
                <w:b w:val="0"/>
                <w:bCs w:val="0"/>
                <w:color w:val="auto"/>
                <w:spacing w:val="-6"/>
                <w:sz w:val="24"/>
                <w:szCs w:val="24"/>
              </w:rPr>
              <w:t>测试发电机组手动</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自动启动功能。</w:t>
            </w:r>
          </w:p>
          <w:p w14:paraId="5B473467">
            <w:pPr>
              <w:pStyle w:val="20"/>
              <w:spacing w:before="62" w:line="235" w:lineRule="auto"/>
              <w:jc w:val="left"/>
              <w:rPr>
                <w:rFonts w:hint="eastAsia" w:ascii="宋体" w:hAnsi="宋体" w:eastAsia="宋体" w:cs="宋体"/>
                <w:b w:val="0"/>
                <w:bCs w:val="0"/>
                <w:color w:val="auto"/>
                <w:spacing w:val="-6"/>
                <w:sz w:val="24"/>
                <w:szCs w:val="24"/>
                <w:lang w:eastAsia="zh-CN"/>
              </w:rPr>
            </w:pPr>
            <w:r>
              <w:rPr>
                <w:rFonts w:hint="eastAsia" w:ascii="宋体" w:hAnsi="宋体" w:eastAsia="宋体" w:cs="宋体"/>
                <w:b w:val="0"/>
                <w:bCs w:val="0"/>
                <w:color w:val="auto"/>
                <w:spacing w:val="-6"/>
                <w:sz w:val="24"/>
                <w:szCs w:val="24"/>
                <w:lang w:val="en-US" w:eastAsia="zh-CN"/>
              </w:rPr>
              <w:t>10、</w:t>
            </w:r>
            <w:r>
              <w:rPr>
                <w:rFonts w:hint="eastAsia" w:ascii="宋体" w:hAnsi="宋体" w:eastAsia="宋体" w:cs="宋体"/>
                <w:b w:val="0"/>
                <w:bCs w:val="0"/>
                <w:color w:val="auto"/>
                <w:spacing w:val="-6"/>
                <w:sz w:val="24"/>
                <w:szCs w:val="24"/>
              </w:rPr>
              <w:t>对进、出配电线路进行绝缘测试、接地测试</w:t>
            </w:r>
            <w:r>
              <w:rPr>
                <w:rFonts w:hint="eastAsia" w:ascii="宋体" w:hAnsi="宋体" w:eastAsia="宋体" w:cs="宋体"/>
                <w:b w:val="0"/>
                <w:bCs w:val="0"/>
                <w:color w:val="auto"/>
                <w:spacing w:val="-6"/>
                <w:sz w:val="24"/>
                <w:szCs w:val="24"/>
                <w:lang w:eastAsia="zh-CN"/>
              </w:rPr>
              <w:t>。</w:t>
            </w:r>
          </w:p>
          <w:p w14:paraId="52EB107A">
            <w:pPr>
              <w:pStyle w:val="20"/>
              <w:spacing w:before="62" w:line="235" w:lineRule="auto"/>
              <w:jc w:val="left"/>
              <w:rPr>
                <w:rFonts w:hint="eastAsia" w:ascii="宋体" w:hAnsi="宋体" w:eastAsia="宋体" w:cs="宋体"/>
                <w:color w:val="auto"/>
                <w:kern w:val="0"/>
                <w:sz w:val="24"/>
                <w:szCs w:val="24"/>
                <w:lang w:val="en-US" w:eastAsia="zh-CN"/>
              </w:rPr>
            </w:pPr>
            <w:r>
              <w:rPr>
                <w:rFonts w:hint="eastAsia" w:ascii="宋体" w:hAnsi="宋体" w:eastAsia="宋体" w:cs="宋体"/>
                <w:b w:val="0"/>
                <w:bCs w:val="0"/>
                <w:color w:val="auto"/>
                <w:spacing w:val="-6"/>
                <w:sz w:val="24"/>
                <w:szCs w:val="24"/>
                <w:lang w:val="en-US" w:eastAsia="zh-CN"/>
              </w:rPr>
              <w:t>11、</w:t>
            </w:r>
            <w:r>
              <w:rPr>
                <w:rFonts w:hint="eastAsia" w:ascii="宋体" w:hAnsi="宋体" w:eastAsia="宋体" w:cs="宋体"/>
                <w:b w:val="0"/>
                <w:bCs w:val="0"/>
                <w:color w:val="auto"/>
                <w:spacing w:val="-6"/>
                <w:sz w:val="24"/>
                <w:szCs w:val="24"/>
              </w:rPr>
              <w:t>对配电线路防护进行检查，穿金属导管或封闭式金属槽 盒的防火保护措施应有效。</w:t>
            </w:r>
          </w:p>
        </w:tc>
        <w:tc>
          <w:tcPr>
            <w:tcW w:w="1105" w:type="dxa"/>
            <w:shd w:val="clear" w:color="auto" w:fill="auto"/>
            <w:noWrap/>
            <w:vAlign w:val="center"/>
          </w:tcPr>
          <w:p w14:paraId="20568BC3">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859" w:type="dxa"/>
            <w:shd w:val="clear" w:color="auto" w:fill="auto"/>
            <w:noWrap/>
            <w:vAlign w:val="center"/>
          </w:tcPr>
          <w:p w14:paraId="7AB42791">
            <w:pPr>
              <w:widowControl/>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12</w:t>
            </w:r>
          </w:p>
        </w:tc>
        <w:tc>
          <w:tcPr>
            <w:tcW w:w="1244" w:type="dxa"/>
            <w:shd w:val="clear" w:color="auto" w:fill="auto"/>
            <w:noWrap/>
            <w:vAlign w:val="center"/>
          </w:tcPr>
          <w:p w14:paraId="5E9ABE9B">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bidi="ar-SA"/>
              </w:rPr>
            </w:pPr>
          </w:p>
        </w:tc>
      </w:tr>
      <w:tr w14:paraId="709E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831" w:type="dxa"/>
            <w:noWrap w:val="0"/>
            <w:textDirection w:val="tbRlV"/>
            <w:vAlign w:val="center"/>
          </w:tcPr>
          <w:p w14:paraId="30EBC144">
            <w:pPr>
              <w:widowControl/>
              <w:jc w:val="center"/>
              <w:rPr>
                <w:rFonts w:hint="eastAsia" w:ascii="宋体" w:hAnsi="宋体" w:eastAsia="宋体" w:cs="宋体"/>
                <w:bCs/>
                <w:color w:val="auto"/>
                <w:kern w:val="0"/>
                <w:sz w:val="24"/>
                <w:szCs w:val="24"/>
                <w:lang w:val="en-US" w:eastAsia="zh-CN" w:bidi="ar-SA"/>
              </w:rPr>
            </w:pPr>
            <w:r>
              <w:rPr>
                <w:rFonts w:hint="eastAsia" w:ascii="宋体" w:hAnsi="宋体" w:eastAsia="宋体" w:cs="宋体"/>
                <w:bCs/>
                <w:color w:val="auto"/>
                <w:kern w:val="0"/>
                <w:sz w:val="24"/>
                <w:szCs w:val="24"/>
                <w:lang w:val="en-US" w:eastAsia="zh-CN"/>
              </w:rPr>
              <w:t>消防水源、消防供水设施</w:t>
            </w:r>
          </w:p>
        </w:tc>
        <w:tc>
          <w:tcPr>
            <w:tcW w:w="4396" w:type="dxa"/>
            <w:noWrap/>
            <w:vAlign w:val="center"/>
          </w:tcPr>
          <w:p w14:paraId="2541E2ED">
            <w:pPr>
              <w:pStyle w:val="20"/>
              <w:spacing w:before="62" w:line="235" w:lineRule="auto"/>
              <w:jc w:val="left"/>
              <w:rPr>
                <w:rFonts w:hint="eastAsia" w:ascii="宋体" w:hAnsi="宋体" w:eastAsia="宋体" w:cs="宋体"/>
                <w:b w:val="0"/>
                <w:bCs w:val="0"/>
                <w:color w:val="auto"/>
                <w:spacing w:val="-6"/>
                <w:sz w:val="24"/>
                <w:szCs w:val="24"/>
                <w:lang w:eastAsia="zh-CN"/>
              </w:rPr>
            </w:pPr>
            <w:r>
              <w:rPr>
                <w:rFonts w:hint="eastAsia" w:ascii="宋体" w:hAnsi="宋体" w:eastAsia="宋体" w:cs="宋体"/>
                <w:b w:val="0"/>
                <w:bCs w:val="0"/>
                <w:color w:val="auto"/>
                <w:spacing w:val="-6"/>
                <w:sz w:val="24"/>
                <w:szCs w:val="24"/>
              </w:rPr>
              <w:t>1、消防水池</w:t>
            </w:r>
            <w:r>
              <w:rPr>
                <w:rFonts w:hint="eastAsia" w:ascii="宋体" w:hAnsi="宋体" w:eastAsia="宋体" w:cs="宋体"/>
                <w:b w:val="0"/>
                <w:bCs w:val="0"/>
                <w:color w:val="auto"/>
                <w:spacing w:val="-6"/>
                <w:sz w:val="24"/>
                <w:szCs w:val="24"/>
                <w:lang w:val="en-US" w:eastAsia="zh-CN"/>
              </w:rPr>
              <w:t>外观</w:t>
            </w:r>
            <w:r>
              <w:rPr>
                <w:rFonts w:hint="eastAsia" w:ascii="宋体" w:hAnsi="宋体" w:eastAsia="宋体" w:cs="宋体"/>
                <w:b w:val="0"/>
                <w:bCs w:val="0"/>
                <w:color w:val="auto"/>
                <w:spacing w:val="-6"/>
                <w:sz w:val="24"/>
                <w:szCs w:val="24"/>
              </w:rPr>
              <w:t>检查</w:t>
            </w:r>
            <w:r>
              <w:rPr>
                <w:rFonts w:hint="eastAsia" w:ascii="宋体" w:hAnsi="宋体" w:eastAsia="宋体" w:cs="宋体"/>
                <w:b w:val="0"/>
                <w:bCs w:val="0"/>
                <w:color w:val="auto"/>
                <w:spacing w:val="-6"/>
                <w:sz w:val="24"/>
                <w:szCs w:val="24"/>
                <w:lang w:eastAsia="zh-CN"/>
              </w:rPr>
              <w:t>。</w:t>
            </w:r>
          </w:p>
          <w:p w14:paraId="4872428A">
            <w:pPr>
              <w:pStyle w:val="20"/>
              <w:spacing w:before="62" w:line="235" w:lineRule="auto"/>
              <w:jc w:val="left"/>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2、消防水箱水位及浮球阀/电磁阀动作检查。</w:t>
            </w:r>
          </w:p>
          <w:p w14:paraId="13A00C97">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3、消防水池水位及自动补水功能测试。</w:t>
            </w:r>
          </w:p>
          <w:p w14:paraId="10FCD4A2">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4、消防水泵手动/自动启动及运行平稳性测试。</w:t>
            </w:r>
          </w:p>
          <w:p w14:paraId="20003B02">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5、水泵控制柜手自动转换、指示灯、故障报警功能。</w:t>
            </w:r>
          </w:p>
          <w:p w14:paraId="42BE60C1">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6、水泵接合器外观、密封性及单向阀功能检查。</w:t>
            </w:r>
          </w:p>
          <w:p w14:paraId="7725343C">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7、管网最不利点静压/动压测试。</w:t>
            </w:r>
          </w:p>
          <w:p w14:paraId="635C8C3B">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8、稳压泵启停压力值及运行频率检测。</w:t>
            </w:r>
          </w:p>
          <w:p w14:paraId="3D9143D7">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9、水泵出口压力表、流量计读数校核。</w:t>
            </w:r>
          </w:p>
          <w:p w14:paraId="07562CDD">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10</w:t>
            </w:r>
            <w:r>
              <w:rPr>
                <w:rFonts w:hint="eastAsia" w:ascii="宋体" w:hAnsi="宋体" w:eastAsia="宋体" w:cs="宋体"/>
                <w:b w:val="0"/>
                <w:bCs w:val="0"/>
                <w:color w:val="auto"/>
                <w:spacing w:val="-6"/>
                <w:sz w:val="24"/>
                <w:szCs w:val="24"/>
              </w:rPr>
              <w:t>、消防水池补水装置维护</w:t>
            </w:r>
            <w:r>
              <w:rPr>
                <w:rFonts w:hint="eastAsia" w:ascii="宋体" w:hAnsi="宋体" w:eastAsia="宋体" w:cs="宋体"/>
                <w:b w:val="0"/>
                <w:bCs w:val="0"/>
                <w:color w:val="auto"/>
                <w:spacing w:val="-6"/>
                <w:sz w:val="24"/>
                <w:szCs w:val="24"/>
                <w:lang w:eastAsia="zh-CN"/>
              </w:rPr>
              <w:t>。</w:t>
            </w:r>
          </w:p>
          <w:p w14:paraId="4B02435D">
            <w:pPr>
              <w:pStyle w:val="20"/>
              <w:spacing w:before="62" w:line="235" w:lineRule="auto"/>
              <w:jc w:val="left"/>
              <w:rPr>
                <w:rFonts w:hint="eastAsia" w:ascii="宋体" w:hAnsi="宋体" w:eastAsia="宋体" w:cs="宋体"/>
                <w:color w:val="auto"/>
                <w:kern w:val="0"/>
                <w:sz w:val="24"/>
                <w:szCs w:val="24"/>
                <w:lang w:val="en-US" w:eastAsia="zh-CN" w:bidi="ar-SA"/>
              </w:rPr>
            </w:pPr>
            <w:r>
              <w:rPr>
                <w:rFonts w:hint="eastAsia" w:ascii="宋体" w:hAnsi="宋体" w:eastAsia="宋体" w:cs="宋体"/>
                <w:b w:val="0"/>
                <w:bCs w:val="0"/>
                <w:color w:val="auto"/>
                <w:spacing w:val="-6"/>
                <w:sz w:val="24"/>
                <w:szCs w:val="24"/>
                <w:lang w:val="en-US" w:eastAsia="zh-CN"/>
              </w:rPr>
              <w:t>11、消防供水设施</w:t>
            </w:r>
            <w:r>
              <w:rPr>
                <w:rFonts w:hint="eastAsia" w:ascii="宋体" w:hAnsi="宋体" w:eastAsia="宋体" w:cs="宋体"/>
                <w:b w:val="0"/>
                <w:bCs w:val="0"/>
                <w:color w:val="auto"/>
                <w:spacing w:val="-6"/>
                <w:sz w:val="24"/>
                <w:szCs w:val="24"/>
              </w:rPr>
              <w:t>维护</w:t>
            </w:r>
            <w:r>
              <w:rPr>
                <w:rFonts w:hint="eastAsia" w:ascii="宋体" w:hAnsi="宋体" w:eastAsia="宋体" w:cs="宋体"/>
                <w:b w:val="0"/>
                <w:bCs w:val="0"/>
                <w:color w:val="auto"/>
                <w:spacing w:val="-6"/>
                <w:sz w:val="24"/>
                <w:szCs w:val="24"/>
                <w:lang w:eastAsia="zh-CN"/>
              </w:rPr>
              <w:t>。</w:t>
            </w:r>
          </w:p>
        </w:tc>
        <w:tc>
          <w:tcPr>
            <w:tcW w:w="1105" w:type="dxa"/>
            <w:noWrap/>
            <w:vAlign w:val="center"/>
          </w:tcPr>
          <w:p w14:paraId="23E1543E">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c>
          <w:tcPr>
            <w:tcW w:w="859" w:type="dxa"/>
            <w:noWrap/>
            <w:vAlign w:val="center"/>
          </w:tcPr>
          <w:p w14:paraId="0E567DCC">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12</w:t>
            </w:r>
          </w:p>
        </w:tc>
        <w:tc>
          <w:tcPr>
            <w:tcW w:w="1244" w:type="dxa"/>
            <w:noWrap/>
            <w:vAlign w:val="center"/>
          </w:tcPr>
          <w:p w14:paraId="146B7E7B">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r>
      <w:tr w14:paraId="21154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0" w:hRule="atLeast"/>
        </w:trPr>
        <w:tc>
          <w:tcPr>
            <w:tcW w:w="831" w:type="dxa"/>
            <w:noWrap w:val="0"/>
            <w:textDirection w:val="tbRlV"/>
            <w:vAlign w:val="center"/>
          </w:tcPr>
          <w:p w14:paraId="7AFA3E14">
            <w:pPr>
              <w:widowControl/>
              <w:jc w:val="center"/>
              <w:rPr>
                <w:rFonts w:hint="eastAsia" w:ascii="宋体" w:hAnsi="宋体" w:eastAsia="宋体" w:cs="宋体"/>
                <w:color w:val="auto"/>
                <w:kern w:val="0"/>
                <w:sz w:val="24"/>
                <w:szCs w:val="24"/>
              </w:rPr>
            </w:pPr>
            <w:r>
              <w:rPr>
                <w:rFonts w:hint="eastAsia" w:ascii="宋体" w:hAnsi="宋体" w:eastAsia="宋体" w:cs="宋体"/>
                <w:bCs/>
                <w:color w:val="auto"/>
                <w:kern w:val="0"/>
                <w:sz w:val="24"/>
                <w:szCs w:val="24"/>
              </w:rPr>
              <w:t>火灾自动报警系统</w:t>
            </w:r>
          </w:p>
        </w:tc>
        <w:tc>
          <w:tcPr>
            <w:tcW w:w="4396" w:type="dxa"/>
            <w:noWrap/>
            <w:vAlign w:val="center"/>
          </w:tcPr>
          <w:p w14:paraId="6BCD18F3">
            <w:pPr>
              <w:pStyle w:val="20"/>
              <w:numPr>
                <w:ilvl w:val="0"/>
                <w:numId w:val="2"/>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火灾报警控制器自检、报警、打印、故障诊断功能。</w:t>
            </w:r>
          </w:p>
          <w:p w14:paraId="2904ACDC">
            <w:pPr>
              <w:pStyle w:val="20"/>
              <w:numPr>
                <w:ilvl w:val="0"/>
                <w:numId w:val="2"/>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报警控制器配电及其消防电源。</w:t>
            </w:r>
          </w:p>
          <w:p w14:paraId="65761269">
            <w:pPr>
              <w:pStyle w:val="20"/>
              <w:numPr>
                <w:ilvl w:val="0"/>
                <w:numId w:val="2"/>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消防广播强切至应急广播功能测试。</w:t>
            </w:r>
          </w:p>
          <w:p w14:paraId="505F6753">
            <w:pPr>
              <w:pStyle w:val="20"/>
              <w:numPr>
                <w:ilvl w:val="0"/>
                <w:numId w:val="2"/>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广播分区音量及清晰度检测。</w:t>
            </w:r>
          </w:p>
          <w:p w14:paraId="352CD0A3">
            <w:pPr>
              <w:pStyle w:val="20"/>
              <w:numPr>
                <w:ilvl w:val="0"/>
                <w:numId w:val="2"/>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烟感探测器加烟/加温报警测试。</w:t>
            </w:r>
          </w:p>
          <w:p w14:paraId="3400C4F4">
            <w:pPr>
              <w:pStyle w:val="20"/>
              <w:numPr>
                <w:ilvl w:val="0"/>
                <w:numId w:val="2"/>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温感探测器报警响应时间测试。</w:t>
            </w:r>
          </w:p>
          <w:p w14:paraId="4C8E77FA">
            <w:pPr>
              <w:pStyle w:val="20"/>
              <w:numPr>
                <w:ilvl w:val="0"/>
                <w:numId w:val="2"/>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手动报警按钮报警及复位功能。</w:t>
            </w:r>
          </w:p>
          <w:p w14:paraId="656EDE5C">
            <w:pPr>
              <w:pStyle w:val="20"/>
              <w:numPr>
                <w:ilvl w:val="0"/>
                <w:numId w:val="2"/>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楼层显示器信号显示及报警同步功能。</w:t>
            </w:r>
          </w:p>
          <w:p w14:paraId="06698841">
            <w:pPr>
              <w:pStyle w:val="20"/>
              <w:numPr>
                <w:ilvl w:val="0"/>
                <w:numId w:val="2"/>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消防电话分机与主机通话质量及插孔通话测试。</w:t>
            </w:r>
          </w:p>
          <w:p w14:paraId="52762542">
            <w:pPr>
              <w:pStyle w:val="20"/>
              <w:numPr>
                <w:ilvl w:val="0"/>
                <w:numId w:val="2"/>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主机联动逻辑编程验证（烟感→广播→卷帘→风机等）。</w:t>
            </w:r>
          </w:p>
          <w:p w14:paraId="7B1D4283">
            <w:pPr>
              <w:pStyle w:val="20"/>
              <w:numPr>
                <w:ilvl w:val="0"/>
                <w:numId w:val="2"/>
              </w:numPr>
              <w:spacing w:before="62" w:line="235" w:lineRule="auto"/>
              <w:jc w:val="left"/>
              <w:rPr>
                <w:rFonts w:hint="eastAsia" w:ascii="宋体" w:hAnsi="宋体" w:eastAsia="宋体" w:cs="宋体"/>
                <w:color w:val="auto"/>
                <w:kern w:val="0"/>
                <w:sz w:val="24"/>
                <w:szCs w:val="24"/>
                <w:lang w:val="en-US" w:eastAsia="zh-CN" w:bidi="ar-SA"/>
              </w:rPr>
            </w:pPr>
            <w:r>
              <w:rPr>
                <w:rFonts w:hint="eastAsia" w:ascii="宋体" w:hAnsi="宋体" w:eastAsia="宋体" w:cs="宋体"/>
                <w:b w:val="0"/>
                <w:bCs w:val="0"/>
                <w:color w:val="auto"/>
                <w:spacing w:val="-6"/>
                <w:sz w:val="24"/>
                <w:szCs w:val="24"/>
                <w:lang w:val="en-US" w:eastAsia="zh-CN"/>
              </w:rPr>
              <w:t>备用电源电池容量及自动切换测试。</w:t>
            </w:r>
          </w:p>
          <w:p w14:paraId="210C5A67">
            <w:pPr>
              <w:pStyle w:val="20"/>
              <w:numPr>
                <w:ilvl w:val="0"/>
                <w:numId w:val="2"/>
              </w:numPr>
              <w:spacing w:before="62" w:line="235" w:lineRule="auto"/>
              <w:jc w:val="left"/>
              <w:rPr>
                <w:rFonts w:hint="eastAsia" w:ascii="宋体" w:hAnsi="宋体" w:eastAsia="宋体" w:cs="宋体"/>
                <w:color w:val="auto"/>
                <w:kern w:val="0"/>
                <w:sz w:val="24"/>
                <w:szCs w:val="24"/>
                <w:lang w:val="en-US" w:eastAsia="zh-CN" w:bidi="ar-SA"/>
              </w:rPr>
            </w:pPr>
            <w:r>
              <w:rPr>
                <w:rFonts w:hint="eastAsia" w:ascii="宋体" w:hAnsi="宋体" w:eastAsia="宋体" w:cs="宋体"/>
                <w:b w:val="0"/>
                <w:bCs w:val="0"/>
                <w:color w:val="auto"/>
                <w:spacing w:val="-6"/>
                <w:sz w:val="24"/>
                <w:szCs w:val="24"/>
                <w:lang w:val="en-US" w:eastAsia="zh-CN"/>
              </w:rPr>
              <w:t>消防声光警报装置功能。</w:t>
            </w:r>
          </w:p>
        </w:tc>
        <w:tc>
          <w:tcPr>
            <w:tcW w:w="1105" w:type="dxa"/>
            <w:noWrap/>
            <w:vAlign w:val="center"/>
          </w:tcPr>
          <w:p w14:paraId="2C7BDF9C">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c>
          <w:tcPr>
            <w:tcW w:w="859" w:type="dxa"/>
            <w:noWrap/>
            <w:vAlign w:val="center"/>
          </w:tcPr>
          <w:p w14:paraId="46D796DF">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12</w:t>
            </w:r>
          </w:p>
        </w:tc>
        <w:tc>
          <w:tcPr>
            <w:tcW w:w="1244" w:type="dxa"/>
            <w:shd w:val="clear" w:color="auto" w:fill="auto"/>
            <w:noWrap/>
            <w:vAlign w:val="center"/>
          </w:tcPr>
          <w:p w14:paraId="6B29931E">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p>
        </w:tc>
      </w:tr>
      <w:tr w14:paraId="6EEF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8" w:hRule="atLeast"/>
        </w:trPr>
        <w:tc>
          <w:tcPr>
            <w:tcW w:w="831" w:type="dxa"/>
            <w:noWrap w:val="0"/>
            <w:textDirection w:val="tbRlV"/>
            <w:vAlign w:val="center"/>
          </w:tcPr>
          <w:p w14:paraId="4AB19C09">
            <w:pPr>
              <w:widowControl/>
              <w:jc w:val="center"/>
              <w:rPr>
                <w:rFonts w:hint="eastAsia" w:ascii="宋体" w:hAnsi="宋体" w:eastAsia="宋体" w:cs="宋体"/>
                <w:color w:val="auto"/>
                <w:kern w:val="0"/>
                <w:sz w:val="24"/>
                <w:szCs w:val="24"/>
              </w:rPr>
            </w:pPr>
            <w:r>
              <w:rPr>
                <w:rFonts w:hint="eastAsia" w:ascii="宋体" w:hAnsi="宋体" w:eastAsia="宋体" w:cs="宋体"/>
                <w:bCs/>
                <w:color w:val="auto"/>
                <w:kern w:val="0"/>
                <w:sz w:val="24"/>
                <w:szCs w:val="24"/>
              </w:rPr>
              <w:t>消火栓给水系统</w:t>
            </w:r>
          </w:p>
        </w:tc>
        <w:tc>
          <w:tcPr>
            <w:tcW w:w="4396" w:type="dxa"/>
            <w:noWrap/>
            <w:vAlign w:val="center"/>
          </w:tcPr>
          <w:p w14:paraId="05A09A16">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1、消防泵启动功能测试。</w:t>
            </w:r>
          </w:p>
          <w:p w14:paraId="1A61FC06">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2、消防泵电控柜功能测试。</w:t>
            </w:r>
          </w:p>
          <w:p w14:paraId="0E032A57">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3、气压罐外观检查，压力测试。</w:t>
            </w:r>
          </w:p>
          <w:p w14:paraId="6F4BA070">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4、系统管网工作压力测试。</w:t>
            </w:r>
          </w:p>
          <w:p w14:paraId="1DDC1299">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5、消火栓系统联动功能检查。</w:t>
            </w:r>
          </w:p>
          <w:p w14:paraId="183A4602">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6、消火栓按钮报警信号及联动启泵功能。</w:t>
            </w:r>
          </w:p>
          <w:p w14:paraId="4D9B9FFB">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7、减压、节流装置性能。</w:t>
            </w:r>
          </w:p>
          <w:p w14:paraId="341D929D">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9、室外消火栓压力测试及开关灵活性。</w:t>
            </w:r>
          </w:p>
          <w:p w14:paraId="01DC3203">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10、水泵接合器进水试验。</w:t>
            </w:r>
          </w:p>
          <w:p w14:paraId="334F51BC">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11、电动阀（电磁阀）功能维保。</w:t>
            </w:r>
          </w:p>
          <w:p w14:paraId="0D0ECA50">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12、室内消火栓静压测试（最不利点）。</w:t>
            </w:r>
          </w:p>
          <w:p w14:paraId="3EA9B1A0">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13、室内消火栓动压及充实水柱测试（需放水）。</w:t>
            </w:r>
          </w:p>
          <w:p w14:paraId="11C03FC5">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14、水枪、水带完整性及接口密封性。</w:t>
            </w:r>
          </w:p>
          <w:p w14:paraId="7B448942">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15、消火栓箱门开启灵活性及内部配件齐全性。</w:t>
            </w:r>
          </w:p>
          <w:p w14:paraId="12659934">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16、管网压力开关动作及信号反馈。</w:t>
            </w:r>
          </w:p>
          <w:p w14:paraId="4E3978C3">
            <w:pPr>
              <w:pStyle w:val="20"/>
              <w:spacing w:before="62" w:line="235" w:lineRule="auto"/>
              <w:jc w:val="left"/>
              <w:rPr>
                <w:rFonts w:hint="eastAsia" w:ascii="宋体" w:hAnsi="宋体" w:eastAsia="宋体" w:cs="宋体"/>
                <w:color w:val="auto"/>
                <w:kern w:val="0"/>
                <w:sz w:val="24"/>
                <w:szCs w:val="24"/>
                <w:lang w:val="en-US" w:eastAsia="zh-CN" w:bidi="ar-SA"/>
              </w:rPr>
            </w:pPr>
            <w:r>
              <w:rPr>
                <w:rFonts w:hint="eastAsia" w:ascii="宋体" w:hAnsi="宋体" w:eastAsia="宋体" w:cs="宋体"/>
                <w:b w:val="0"/>
                <w:bCs w:val="0"/>
                <w:color w:val="auto"/>
                <w:spacing w:val="-6"/>
                <w:sz w:val="24"/>
                <w:szCs w:val="24"/>
                <w:lang w:val="en-US" w:eastAsia="zh-CN"/>
              </w:rPr>
              <w:t>17、消防软管卷盘出水测试。</w:t>
            </w:r>
          </w:p>
        </w:tc>
        <w:tc>
          <w:tcPr>
            <w:tcW w:w="1105" w:type="dxa"/>
            <w:noWrap/>
            <w:vAlign w:val="center"/>
          </w:tcPr>
          <w:p w14:paraId="6A341FB3">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c>
          <w:tcPr>
            <w:tcW w:w="859" w:type="dxa"/>
            <w:noWrap/>
            <w:vAlign w:val="center"/>
          </w:tcPr>
          <w:p w14:paraId="6BACB702">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12</w:t>
            </w:r>
          </w:p>
        </w:tc>
        <w:tc>
          <w:tcPr>
            <w:tcW w:w="1244" w:type="dxa"/>
            <w:noWrap/>
            <w:vAlign w:val="center"/>
          </w:tcPr>
          <w:p w14:paraId="4E98D5DE">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r>
      <w:tr w14:paraId="6893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1" w:hRule="atLeast"/>
        </w:trPr>
        <w:tc>
          <w:tcPr>
            <w:tcW w:w="831" w:type="dxa"/>
            <w:noWrap w:val="0"/>
            <w:vAlign w:val="center"/>
          </w:tcPr>
          <w:p w14:paraId="4B655649">
            <w:pPr>
              <w:widowControl/>
              <w:jc w:val="center"/>
              <w:rPr>
                <w:rFonts w:hint="eastAsia" w:ascii="宋体" w:hAnsi="宋体" w:eastAsia="宋体" w:cs="宋体"/>
                <w:bCs/>
                <w:color w:val="auto"/>
                <w:kern w:val="0"/>
                <w:sz w:val="24"/>
                <w:szCs w:val="24"/>
                <w:lang w:val="en-US" w:eastAsia="zh-CN"/>
              </w:rPr>
            </w:pPr>
            <w:r>
              <w:rPr>
                <w:rFonts w:hint="eastAsia" w:ascii="宋体" w:hAnsi="宋体" w:eastAsia="宋体" w:cs="宋体"/>
                <w:bCs/>
                <w:color w:val="auto"/>
                <w:kern w:val="0"/>
                <w:sz w:val="24"/>
                <w:szCs w:val="24"/>
                <w:lang w:val="en-US" w:eastAsia="zh-CN"/>
              </w:rPr>
              <w:t>自动喷水灭火系统</w:t>
            </w:r>
          </w:p>
        </w:tc>
        <w:tc>
          <w:tcPr>
            <w:tcW w:w="4396" w:type="dxa"/>
            <w:shd w:val="clear" w:color="auto" w:fill="auto"/>
            <w:noWrap w:val="0"/>
            <w:vAlign w:val="center"/>
          </w:tcPr>
          <w:p w14:paraId="0303C81D">
            <w:pPr>
              <w:pStyle w:val="20"/>
              <w:numPr>
                <w:ilvl w:val="0"/>
                <w:numId w:val="3"/>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检查消防泵房工作环境及消防泵、稳压设备、电源控制柜、湿式报警阀、管网阀门、喷头、水泵接合器、储水 设施等是否处于正常完好状态。</w:t>
            </w:r>
          </w:p>
          <w:p w14:paraId="3D503890">
            <w:pPr>
              <w:pStyle w:val="20"/>
              <w:numPr>
                <w:ilvl w:val="0"/>
                <w:numId w:val="3"/>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试验内燃机驱动的消防泵能否正常工作。</w:t>
            </w:r>
          </w:p>
          <w:p w14:paraId="7ABC1BC7">
            <w:pPr>
              <w:pStyle w:val="20"/>
              <w:numPr>
                <w:ilvl w:val="0"/>
                <w:numId w:val="3"/>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启动消防泵，当消防泵为自动控制启动时，应模拟自动控制的条件进行启动。</w:t>
            </w:r>
          </w:p>
          <w:p w14:paraId="52ADB230">
            <w:pPr>
              <w:pStyle w:val="20"/>
              <w:numPr>
                <w:ilvl w:val="0"/>
                <w:numId w:val="3"/>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设备用泵时，应同时试验主、备 泵的切换功能。</w:t>
            </w:r>
          </w:p>
          <w:p w14:paraId="3FFE0561">
            <w:pPr>
              <w:pStyle w:val="20"/>
              <w:numPr>
                <w:ilvl w:val="0"/>
                <w:numId w:val="3"/>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水力警铃声响强度及停止功能。</w:t>
            </w:r>
          </w:p>
          <w:p w14:paraId="4023FD42">
            <w:pPr>
              <w:pStyle w:val="20"/>
              <w:numPr>
                <w:ilvl w:val="0"/>
                <w:numId w:val="3"/>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水流指示器动作后报警信号及复位功能。</w:t>
            </w:r>
          </w:p>
          <w:p w14:paraId="031E11B2">
            <w:pPr>
              <w:pStyle w:val="20"/>
              <w:numPr>
                <w:ilvl w:val="0"/>
                <w:numId w:val="3"/>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末端试水装置压力表读数及放水联动测试。</w:t>
            </w:r>
          </w:p>
          <w:p w14:paraId="142F35B0">
            <w:pPr>
              <w:pStyle w:val="20"/>
              <w:numPr>
                <w:ilvl w:val="0"/>
                <w:numId w:val="3"/>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喷头外观污染、锈蚀、玻璃泡色标检查。</w:t>
            </w:r>
          </w:p>
          <w:p w14:paraId="40E8B9EA">
            <w:pPr>
              <w:pStyle w:val="20"/>
              <w:numPr>
                <w:ilvl w:val="0"/>
                <w:numId w:val="3"/>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压力开关动作后联动喷淋泵启动。</w:t>
            </w:r>
          </w:p>
          <w:p w14:paraId="7B4C1F51">
            <w:pPr>
              <w:pStyle w:val="20"/>
              <w:numPr>
                <w:ilvl w:val="0"/>
                <w:numId w:val="3"/>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喷淋泵启动后信号反馈至主机。</w:t>
            </w:r>
          </w:p>
          <w:p w14:paraId="0C64FA12">
            <w:pPr>
              <w:pStyle w:val="20"/>
              <w:numPr>
                <w:ilvl w:val="0"/>
                <w:numId w:val="3"/>
              </w:numPr>
              <w:spacing w:before="62" w:line="235" w:lineRule="auto"/>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color w:val="auto"/>
                <w:spacing w:val="-6"/>
                <w:sz w:val="24"/>
                <w:szCs w:val="24"/>
                <w:lang w:val="en-US" w:eastAsia="zh-CN"/>
              </w:rPr>
              <w:t>报警阀组排水设施及压力开关复位。</w:t>
            </w:r>
          </w:p>
          <w:p w14:paraId="7B12B03A">
            <w:pPr>
              <w:pStyle w:val="20"/>
              <w:numPr>
                <w:ilvl w:val="0"/>
                <w:numId w:val="3"/>
              </w:numPr>
              <w:spacing w:before="62" w:line="235" w:lineRule="auto"/>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color w:val="auto"/>
                <w:spacing w:val="-6"/>
                <w:sz w:val="24"/>
                <w:szCs w:val="24"/>
                <w:lang w:val="en-US" w:eastAsia="zh-CN"/>
              </w:rPr>
              <w:t>湿式报警阀阀瓣开启及延时器动作测试。</w:t>
            </w:r>
          </w:p>
        </w:tc>
        <w:tc>
          <w:tcPr>
            <w:tcW w:w="1105" w:type="dxa"/>
            <w:shd w:val="clear" w:color="auto" w:fill="auto"/>
            <w:noWrap/>
            <w:vAlign w:val="center"/>
          </w:tcPr>
          <w:p w14:paraId="6DE0A8C4">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859" w:type="dxa"/>
            <w:shd w:val="clear" w:color="auto" w:fill="auto"/>
            <w:noWrap/>
            <w:vAlign w:val="center"/>
          </w:tcPr>
          <w:p w14:paraId="535FC5E4">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12</w:t>
            </w:r>
          </w:p>
        </w:tc>
        <w:tc>
          <w:tcPr>
            <w:tcW w:w="1244" w:type="dxa"/>
            <w:shd w:val="clear" w:color="auto" w:fill="auto"/>
            <w:noWrap/>
            <w:vAlign w:val="center"/>
          </w:tcPr>
          <w:p w14:paraId="5B914AE2">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r>
      <w:tr w14:paraId="2024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6" w:hRule="atLeast"/>
        </w:trPr>
        <w:tc>
          <w:tcPr>
            <w:tcW w:w="831" w:type="dxa"/>
            <w:noWrap w:val="0"/>
            <w:vAlign w:val="center"/>
          </w:tcPr>
          <w:p w14:paraId="47776EEB">
            <w:pPr>
              <w:keepNext w:val="0"/>
              <w:keepLines w:val="0"/>
              <w:widowControl/>
              <w:suppressLineNumbers w:val="0"/>
              <w:jc w:val="center"/>
              <w:textAlignment w:val="center"/>
              <w:rPr>
                <w:rFonts w:hint="eastAsia" w:ascii="宋体" w:hAnsi="宋体" w:eastAsia="宋体" w:cs="宋体"/>
                <w:bCs/>
                <w:color w:val="auto"/>
                <w:kern w:val="0"/>
                <w:sz w:val="24"/>
                <w:szCs w:val="24"/>
                <w:lang w:val="en-US" w:eastAsia="zh-CN"/>
              </w:rPr>
            </w:pPr>
            <w:r>
              <w:rPr>
                <w:rFonts w:hint="eastAsia" w:ascii="宋体" w:hAnsi="宋体" w:eastAsia="宋体" w:cs="宋体"/>
                <w:i w:val="0"/>
                <w:iCs w:val="0"/>
                <w:color w:val="auto"/>
                <w:kern w:val="0"/>
                <w:sz w:val="24"/>
                <w:szCs w:val="24"/>
                <w:u w:val="none"/>
                <w:lang w:val="en-US" w:eastAsia="zh-CN" w:bidi="ar"/>
              </w:rPr>
              <w:t>气体灭火系统</w:t>
            </w:r>
          </w:p>
        </w:tc>
        <w:tc>
          <w:tcPr>
            <w:tcW w:w="4396" w:type="dxa"/>
            <w:shd w:val="clear" w:color="auto" w:fill="auto"/>
            <w:noWrap w:val="0"/>
            <w:vAlign w:val="center"/>
          </w:tcPr>
          <w:p w14:paraId="75072DE3">
            <w:pPr>
              <w:widowControl/>
              <w:numPr>
                <w:ilvl w:val="0"/>
                <w:numId w:val="4"/>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检查贮瓶间及防护区的工作环境以及贮气瓶、选择阀、液体单向阀、高压软管、集流管、阀驱动装置、管网、喷嘴、紧急启动按钮、声光报警装置等是否处于正常完好状态。</w:t>
            </w:r>
          </w:p>
          <w:p w14:paraId="0433813D">
            <w:pPr>
              <w:widowControl/>
              <w:numPr>
                <w:ilvl w:val="0"/>
                <w:numId w:val="4"/>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气瓶压力表读数（绿区/红区判定）。</w:t>
            </w:r>
          </w:p>
          <w:p w14:paraId="309946C6">
            <w:pPr>
              <w:widowControl/>
              <w:numPr>
                <w:ilvl w:val="0"/>
                <w:numId w:val="4"/>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储瓶间环境温度、湿度及瓶体固定情况。</w:t>
            </w:r>
          </w:p>
          <w:p w14:paraId="6E695670">
            <w:pPr>
              <w:widowControl/>
              <w:numPr>
                <w:ilvl w:val="0"/>
                <w:numId w:val="4"/>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选择阀、电磁阀手动/电动动作测试。</w:t>
            </w:r>
          </w:p>
          <w:p w14:paraId="7590EC2F">
            <w:pPr>
              <w:widowControl/>
              <w:numPr>
                <w:ilvl w:val="0"/>
                <w:numId w:val="4"/>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控制主机延时启动逻辑（0-30秒可调）。</w:t>
            </w:r>
          </w:p>
          <w:p w14:paraId="34007924">
            <w:pPr>
              <w:widowControl/>
              <w:numPr>
                <w:ilvl w:val="0"/>
                <w:numId w:val="4"/>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气体释放指示灯点亮及联动信号。</w:t>
            </w:r>
          </w:p>
          <w:p w14:paraId="27C07E1C">
            <w:pPr>
              <w:widowControl/>
              <w:numPr>
                <w:ilvl w:val="0"/>
                <w:numId w:val="4"/>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紧急启停按钮功能（紧急停止优先级）。</w:t>
            </w:r>
          </w:p>
          <w:p w14:paraId="7DB597EE">
            <w:pPr>
              <w:widowControl/>
              <w:numPr>
                <w:ilvl w:val="0"/>
                <w:numId w:val="4"/>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喷嘴外观无堵塞、无机械损伤。</w:t>
            </w:r>
          </w:p>
          <w:p w14:paraId="23AE2A59">
            <w:pPr>
              <w:widowControl/>
              <w:numPr>
                <w:ilvl w:val="0"/>
                <w:numId w:val="4"/>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防护区密闭性及泄压口状态检查。</w:t>
            </w:r>
          </w:p>
          <w:p w14:paraId="3DCD16BA">
            <w:pPr>
              <w:widowControl/>
              <w:numPr>
                <w:ilvl w:val="0"/>
                <w:numId w:val="4"/>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手自动转换开关状态及报警功能。</w:t>
            </w:r>
          </w:p>
        </w:tc>
        <w:tc>
          <w:tcPr>
            <w:tcW w:w="1105" w:type="dxa"/>
            <w:shd w:val="clear" w:color="auto" w:fill="auto"/>
            <w:noWrap/>
            <w:vAlign w:val="center"/>
          </w:tcPr>
          <w:p w14:paraId="5B3C9486">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859" w:type="dxa"/>
            <w:shd w:val="clear" w:color="auto" w:fill="auto"/>
            <w:noWrap/>
            <w:vAlign w:val="center"/>
          </w:tcPr>
          <w:p w14:paraId="703ECF47">
            <w:pPr>
              <w:widowControl/>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12</w:t>
            </w:r>
          </w:p>
        </w:tc>
        <w:tc>
          <w:tcPr>
            <w:tcW w:w="1244" w:type="dxa"/>
            <w:shd w:val="clear" w:color="auto" w:fill="auto"/>
            <w:noWrap/>
            <w:vAlign w:val="center"/>
          </w:tcPr>
          <w:p w14:paraId="36AC55E6">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bidi="ar-SA"/>
              </w:rPr>
            </w:pPr>
          </w:p>
        </w:tc>
      </w:tr>
      <w:tr w14:paraId="5CEA6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0" w:hRule="atLeast"/>
        </w:trPr>
        <w:tc>
          <w:tcPr>
            <w:tcW w:w="831" w:type="dxa"/>
            <w:noWrap w:val="0"/>
            <w:vAlign w:val="center"/>
          </w:tcPr>
          <w:p w14:paraId="3B335980">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电气火灾监控系统</w:t>
            </w:r>
          </w:p>
        </w:tc>
        <w:tc>
          <w:tcPr>
            <w:tcW w:w="4396" w:type="dxa"/>
            <w:shd w:val="clear" w:color="auto" w:fill="auto"/>
            <w:noWrap w:val="0"/>
            <w:vAlign w:val="center"/>
          </w:tcPr>
          <w:p w14:paraId="18FAAE7F">
            <w:pPr>
              <w:widowControl/>
              <w:numPr>
                <w:ilvl w:val="0"/>
                <w:numId w:val="5"/>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电气火灾监控探测器报警功能测试（模拟剩余电流）。</w:t>
            </w:r>
          </w:p>
          <w:p w14:paraId="2C398D17">
            <w:pPr>
              <w:widowControl/>
              <w:numPr>
                <w:ilvl w:val="0"/>
                <w:numId w:val="5"/>
              </w:numPr>
              <w:jc w:val="left"/>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各回路剩余电流实时值读取及比对。</w:t>
            </w:r>
          </w:p>
          <w:p w14:paraId="79C99BD2">
            <w:pPr>
              <w:widowControl/>
              <w:numPr>
                <w:ilvl w:val="0"/>
                <w:numId w:val="5"/>
              </w:numPr>
              <w:jc w:val="left"/>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测温式探测器温度报警功能测试。</w:t>
            </w:r>
          </w:p>
          <w:p w14:paraId="7688AF82">
            <w:pPr>
              <w:widowControl/>
              <w:numPr>
                <w:ilvl w:val="0"/>
                <w:numId w:val="5"/>
              </w:numPr>
              <w:jc w:val="left"/>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监控主机自检、报警、存储、打印功能。</w:t>
            </w:r>
          </w:p>
          <w:p w14:paraId="1BAD6684">
            <w:pPr>
              <w:widowControl/>
              <w:numPr>
                <w:ilvl w:val="0"/>
                <w:numId w:val="5"/>
              </w:numPr>
              <w:jc w:val="left"/>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消防电源监控器主/备电电压、电流显示准确性。</w:t>
            </w:r>
          </w:p>
          <w:p w14:paraId="47DCD70C">
            <w:pPr>
              <w:widowControl/>
              <w:numPr>
                <w:ilvl w:val="0"/>
                <w:numId w:val="5"/>
              </w:numPr>
              <w:jc w:val="left"/>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消防电源开关状态及故障报警功能。</w:t>
            </w:r>
          </w:p>
          <w:p w14:paraId="4542271C">
            <w:pPr>
              <w:widowControl/>
              <w:numPr>
                <w:ilvl w:val="0"/>
                <w:numId w:val="5"/>
              </w:numPr>
              <w:jc w:val="left"/>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监控器与上位机通讯状态检查。</w:t>
            </w:r>
          </w:p>
        </w:tc>
        <w:tc>
          <w:tcPr>
            <w:tcW w:w="1105" w:type="dxa"/>
            <w:shd w:val="clear" w:color="auto" w:fill="auto"/>
            <w:noWrap/>
            <w:vAlign w:val="center"/>
          </w:tcPr>
          <w:p w14:paraId="3EDB8230">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859" w:type="dxa"/>
            <w:shd w:val="clear" w:color="auto" w:fill="auto"/>
            <w:noWrap/>
            <w:vAlign w:val="center"/>
          </w:tcPr>
          <w:p w14:paraId="58A5F44F">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12</w:t>
            </w:r>
          </w:p>
        </w:tc>
        <w:tc>
          <w:tcPr>
            <w:tcW w:w="1244" w:type="dxa"/>
            <w:shd w:val="clear" w:color="auto" w:fill="auto"/>
            <w:noWrap/>
            <w:vAlign w:val="center"/>
          </w:tcPr>
          <w:p w14:paraId="506E47FB">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bidi="ar-SA"/>
              </w:rPr>
            </w:pPr>
          </w:p>
        </w:tc>
      </w:tr>
      <w:tr w14:paraId="384E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8" w:hRule="atLeast"/>
        </w:trPr>
        <w:tc>
          <w:tcPr>
            <w:tcW w:w="831" w:type="dxa"/>
            <w:noWrap w:val="0"/>
            <w:vAlign w:val="center"/>
          </w:tcPr>
          <w:p w14:paraId="36B58885">
            <w:pPr>
              <w:widowControl/>
              <w:jc w:val="center"/>
              <w:rPr>
                <w:rFonts w:hint="eastAsia" w:ascii="宋体" w:hAnsi="宋体" w:eastAsia="宋体" w:cs="宋体"/>
                <w:bCs/>
                <w:color w:val="auto"/>
                <w:kern w:val="0"/>
                <w:sz w:val="24"/>
                <w:szCs w:val="24"/>
                <w:lang w:val="en-US" w:eastAsia="zh-CN"/>
              </w:rPr>
            </w:pPr>
            <w:r>
              <w:rPr>
                <w:rFonts w:hint="eastAsia" w:ascii="宋体" w:hAnsi="宋体" w:eastAsia="宋体" w:cs="宋体"/>
                <w:bCs/>
                <w:color w:val="auto"/>
                <w:kern w:val="0"/>
                <w:sz w:val="24"/>
                <w:szCs w:val="24"/>
                <w:lang w:val="en-US" w:eastAsia="zh-CN"/>
              </w:rPr>
              <w:t>防火分隔设施</w:t>
            </w:r>
          </w:p>
        </w:tc>
        <w:tc>
          <w:tcPr>
            <w:tcW w:w="4396" w:type="dxa"/>
            <w:shd w:val="clear" w:color="auto" w:fill="auto"/>
            <w:noWrap w:val="0"/>
            <w:vAlign w:val="center"/>
          </w:tcPr>
          <w:p w14:paraId="223D3BBE">
            <w:pPr>
              <w:widowControl/>
              <w:numPr>
                <w:ilvl w:val="0"/>
                <w:numId w:val="6"/>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防火卷帘现场手动升降及限位开关准确性。</w:t>
            </w:r>
          </w:p>
          <w:p w14:paraId="7601A406">
            <w:pPr>
              <w:widowControl/>
              <w:numPr>
                <w:ilvl w:val="0"/>
                <w:numId w:val="6"/>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防火卷帘联动下降（半降/全降）及信号反馈。</w:t>
            </w:r>
          </w:p>
          <w:p w14:paraId="76CA87FA">
            <w:pPr>
              <w:widowControl/>
              <w:numPr>
                <w:ilvl w:val="0"/>
                <w:numId w:val="6"/>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卷帘导轨清理及下方无障碍物检查。</w:t>
            </w:r>
          </w:p>
          <w:p w14:paraId="251A62E5">
            <w:pPr>
              <w:widowControl/>
              <w:numPr>
                <w:ilvl w:val="0"/>
                <w:numId w:val="6"/>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检查防火卷帘的完整性和整体封隔。</w:t>
            </w:r>
          </w:p>
          <w:p w14:paraId="6381FD0A">
            <w:pPr>
              <w:widowControl/>
              <w:numPr>
                <w:ilvl w:val="0"/>
                <w:numId w:val="6"/>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防火卷帘上部、周围的缝隙应采用相同耐火极限的不燃材料填充、封隔。</w:t>
            </w:r>
          </w:p>
          <w:p w14:paraId="28EBA23E">
            <w:pPr>
              <w:widowControl/>
              <w:numPr>
                <w:ilvl w:val="0"/>
                <w:numId w:val="6"/>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防火门开启/关闭灵活性及自闭功能。</w:t>
            </w:r>
          </w:p>
          <w:p w14:paraId="1F7FB63E">
            <w:pPr>
              <w:widowControl/>
              <w:numPr>
                <w:ilvl w:val="0"/>
                <w:numId w:val="6"/>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闭门器、顺序器调速及无撞击关闭。</w:t>
            </w:r>
          </w:p>
          <w:p w14:paraId="3435F7FF">
            <w:pPr>
              <w:widowControl/>
              <w:numPr>
                <w:ilvl w:val="0"/>
                <w:numId w:val="6"/>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电动防火门火灾联动关闭测试。</w:t>
            </w:r>
          </w:p>
          <w:p w14:paraId="59190C2E">
            <w:pPr>
              <w:widowControl/>
              <w:numPr>
                <w:ilvl w:val="0"/>
                <w:numId w:val="6"/>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门框与门扇间隙、密封条完整性。</w:t>
            </w:r>
          </w:p>
          <w:p w14:paraId="682F7F64">
            <w:pPr>
              <w:widowControl/>
              <w:numPr>
                <w:ilvl w:val="0"/>
                <w:numId w:val="6"/>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防火窗自闭功能检查。</w:t>
            </w:r>
          </w:p>
          <w:p w14:paraId="49E43D8A">
            <w:pPr>
              <w:widowControl/>
              <w:numPr>
                <w:ilvl w:val="0"/>
                <w:numId w:val="6"/>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定期检查“常闭式防火门，请保持关闭”等警示类标识的齐全。</w:t>
            </w:r>
          </w:p>
        </w:tc>
        <w:tc>
          <w:tcPr>
            <w:tcW w:w="1105" w:type="dxa"/>
            <w:shd w:val="clear" w:color="auto" w:fill="auto"/>
            <w:noWrap/>
            <w:vAlign w:val="center"/>
          </w:tcPr>
          <w:p w14:paraId="45138C6B">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859" w:type="dxa"/>
            <w:shd w:val="clear" w:color="auto" w:fill="auto"/>
            <w:noWrap/>
            <w:vAlign w:val="center"/>
          </w:tcPr>
          <w:p w14:paraId="79FC7C8D">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12</w:t>
            </w:r>
          </w:p>
        </w:tc>
        <w:tc>
          <w:tcPr>
            <w:tcW w:w="1244" w:type="dxa"/>
            <w:shd w:val="clear" w:color="auto" w:fill="auto"/>
            <w:noWrap/>
            <w:vAlign w:val="center"/>
          </w:tcPr>
          <w:p w14:paraId="4C6AC798">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bidi="ar-SA"/>
              </w:rPr>
            </w:pPr>
          </w:p>
        </w:tc>
      </w:tr>
      <w:tr w14:paraId="7CADE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6" w:hRule="atLeast"/>
        </w:trPr>
        <w:tc>
          <w:tcPr>
            <w:tcW w:w="831" w:type="dxa"/>
            <w:noWrap w:val="0"/>
            <w:vAlign w:val="center"/>
          </w:tcPr>
          <w:p w14:paraId="26B612A2">
            <w:pPr>
              <w:widowControl/>
              <w:jc w:val="center"/>
              <w:rPr>
                <w:rFonts w:hint="eastAsia" w:ascii="宋体" w:hAnsi="宋体" w:eastAsia="宋体" w:cs="宋体"/>
                <w:bCs/>
                <w:color w:val="auto"/>
                <w:kern w:val="0"/>
                <w:sz w:val="24"/>
                <w:szCs w:val="24"/>
                <w:lang w:val="en-US" w:eastAsia="zh-CN"/>
              </w:rPr>
            </w:pPr>
            <w:r>
              <w:rPr>
                <w:rFonts w:hint="eastAsia" w:ascii="宋体" w:hAnsi="宋体" w:eastAsia="宋体" w:cs="宋体"/>
                <w:bCs/>
                <w:color w:val="auto"/>
                <w:kern w:val="0"/>
                <w:sz w:val="24"/>
                <w:szCs w:val="24"/>
                <w:lang w:val="en-US" w:eastAsia="zh-CN"/>
              </w:rPr>
              <w:t>防排烟系统</w:t>
            </w:r>
          </w:p>
        </w:tc>
        <w:tc>
          <w:tcPr>
            <w:tcW w:w="4396" w:type="dxa"/>
            <w:shd w:val="clear" w:color="auto" w:fill="auto"/>
            <w:noWrap w:val="0"/>
            <w:vAlign w:val="center"/>
          </w:tcPr>
          <w:p w14:paraId="5EA2B2EE">
            <w:pPr>
              <w:widowControl/>
              <w:numPr>
                <w:ilvl w:val="0"/>
                <w:numId w:val="7"/>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检查送风、排烟机房工作环境以及送风机、排烟机、电源 控制柜、送风口、排烟口、防火阀等是否处于正常完好状态。</w:t>
            </w:r>
          </w:p>
          <w:p w14:paraId="50456282">
            <w:pPr>
              <w:widowControl/>
              <w:numPr>
                <w:ilvl w:val="0"/>
                <w:numId w:val="7"/>
              </w:numPr>
              <w:jc w:val="left"/>
              <w:rPr>
                <w:rFonts w:hint="eastAsia" w:ascii="宋体" w:hAnsi="宋体" w:eastAsia="宋体" w:cs="宋体"/>
                <w:color w:val="auto"/>
                <w:kern w:val="0"/>
                <w:sz w:val="24"/>
                <w:szCs w:val="24"/>
                <w:lang w:val="en-US"/>
              </w:rPr>
            </w:pPr>
            <w:r>
              <w:rPr>
                <w:rFonts w:hint="eastAsia" w:ascii="宋体" w:hAnsi="宋体" w:eastAsia="宋体" w:cs="宋体"/>
                <w:b w:val="0"/>
                <w:bCs w:val="0"/>
                <w:i w:val="0"/>
                <w:iCs w:val="0"/>
                <w:caps w:val="0"/>
                <w:color w:val="auto"/>
                <w:spacing w:val="0"/>
                <w:kern w:val="0"/>
                <w:sz w:val="24"/>
                <w:szCs w:val="24"/>
                <w:lang w:val="en-US" w:eastAsia="zh-CN" w:bidi="ar"/>
              </w:rPr>
              <w:t>排烟阀/送风阀远程开启及手动复位功能。</w:t>
            </w:r>
          </w:p>
          <w:p w14:paraId="36ADD16D">
            <w:pPr>
              <w:widowControl/>
              <w:numPr>
                <w:ilvl w:val="0"/>
                <w:numId w:val="7"/>
              </w:numPr>
              <w:jc w:val="left"/>
              <w:rPr>
                <w:rFonts w:hint="eastAsia" w:ascii="宋体" w:hAnsi="宋体" w:eastAsia="宋体" w:cs="宋体"/>
                <w:color w:val="auto"/>
                <w:kern w:val="0"/>
                <w:sz w:val="24"/>
                <w:szCs w:val="24"/>
                <w:lang w:val="en-US"/>
              </w:rPr>
            </w:pPr>
            <w:r>
              <w:rPr>
                <w:rFonts w:hint="eastAsia" w:ascii="宋体" w:hAnsi="宋体" w:eastAsia="宋体" w:cs="宋体"/>
                <w:b w:val="0"/>
                <w:bCs w:val="0"/>
                <w:i w:val="0"/>
                <w:iCs w:val="0"/>
                <w:caps w:val="0"/>
                <w:color w:val="auto"/>
                <w:spacing w:val="0"/>
                <w:kern w:val="0"/>
                <w:sz w:val="24"/>
                <w:szCs w:val="24"/>
                <w:lang w:val="en-US" w:eastAsia="zh-CN" w:bidi="ar"/>
              </w:rPr>
              <w:t>排烟风机手动/自动启动及运行电流/转速检测。</w:t>
            </w:r>
          </w:p>
          <w:p w14:paraId="68630A85">
            <w:pPr>
              <w:widowControl/>
              <w:numPr>
                <w:ilvl w:val="0"/>
                <w:numId w:val="7"/>
              </w:numPr>
              <w:jc w:val="left"/>
              <w:rPr>
                <w:rFonts w:hint="eastAsia" w:ascii="宋体" w:hAnsi="宋体" w:eastAsia="宋体" w:cs="宋体"/>
                <w:color w:val="auto"/>
                <w:kern w:val="0"/>
                <w:sz w:val="24"/>
                <w:szCs w:val="24"/>
                <w:lang w:val="en-US"/>
              </w:rPr>
            </w:pPr>
            <w:r>
              <w:rPr>
                <w:rFonts w:hint="eastAsia" w:ascii="宋体" w:hAnsi="宋体" w:eastAsia="宋体" w:cs="宋体"/>
                <w:b w:val="0"/>
                <w:bCs w:val="0"/>
                <w:i w:val="0"/>
                <w:iCs w:val="0"/>
                <w:caps w:val="0"/>
                <w:color w:val="auto"/>
                <w:spacing w:val="0"/>
                <w:kern w:val="0"/>
                <w:sz w:val="24"/>
                <w:szCs w:val="24"/>
                <w:lang w:val="en-US" w:eastAsia="zh-CN" w:bidi="ar"/>
              </w:rPr>
              <w:t>送风机联动启动及风管风阀同步性。</w:t>
            </w:r>
          </w:p>
          <w:p w14:paraId="02BD29E6">
            <w:pPr>
              <w:widowControl/>
              <w:numPr>
                <w:ilvl w:val="0"/>
                <w:numId w:val="7"/>
              </w:numPr>
              <w:jc w:val="left"/>
              <w:rPr>
                <w:rFonts w:hint="eastAsia" w:ascii="宋体" w:hAnsi="宋体" w:eastAsia="宋体" w:cs="宋体"/>
                <w:color w:val="auto"/>
                <w:kern w:val="0"/>
                <w:sz w:val="24"/>
                <w:szCs w:val="24"/>
                <w:lang w:val="en-US"/>
              </w:rPr>
            </w:pPr>
            <w:r>
              <w:rPr>
                <w:rFonts w:hint="eastAsia" w:ascii="宋体" w:hAnsi="宋体" w:eastAsia="宋体" w:cs="宋体"/>
                <w:b w:val="0"/>
                <w:bCs w:val="0"/>
                <w:i w:val="0"/>
                <w:iCs w:val="0"/>
                <w:caps w:val="0"/>
                <w:color w:val="auto"/>
                <w:spacing w:val="0"/>
                <w:kern w:val="0"/>
                <w:sz w:val="24"/>
                <w:szCs w:val="24"/>
                <w:lang w:val="en-US" w:eastAsia="zh-CN" w:bidi="ar"/>
              </w:rPr>
              <w:t>风机风口风速及风量测试（风量罩）。</w:t>
            </w:r>
          </w:p>
          <w:p w14:paraId="137A603A">
            <w:pPr>
              <w:widowControl/>
              <w:numPr>
                <w:ilvl w:val="0"/>
                <w:numId w:val="7"/>
              </w:numPr>
              <w:jc w:val="left"/>
              <w:rPr>
                <w:rFonts w:hint="eastAsia" w:ascii="宋体" w:hAnsi="宋体" w:eastAsia="宋体" w:cs="宋体"/>
                <w:color w:val="auto"/>
                <w:kern w:val="0"/>
                <w:sz w:val="24"/>
                <w:szCs w:val="24"/>
                <w:lang w:val="en-US"/>
              </w:rPr>
            </w:pPr>
            <w:r>
              <w:rPr>
                <w:rFonts w:hint="eastAsia" w:ascii="宋体" w:hAnsi="宋体" w:eastAsia="宋体" w:cs="宋体"/>
                <w:b w:val="0"/>
                <w:bCs w:val="0"/>
                <w:i w:val="0"/>
                <w:iCs w:val="0"/>
                <w:caps w:val="0"/>
                <w:color w:val="auto"/>
                <w:spacing w:val="0"/>
                <w:kern w:val="0"/>
                <w:sz w:val="24"/>
                <w:szCs w:val="24"/>
                <w:lang w:val="en-US" w:eastAsia="zh-CN" w:bidi="ar"/>
              </w:rPr>
              <w:t>排烟口/送风口实际开启数量及位置对应。</w:t>
            </w:r>
          </w:p>
          <w:p w14:paraId="35B0ED86">
            <w:pPr>
              <w:widowControl/>
              <w:numPr>
                <w:ilvl w:val="0"/>
                <w:numId w:val="7"/>
              </w:numPr>
              <w:jc w:val="left"/>
              <w:rPr>
                <w:rFonts w:hint="eastAsia" w:ascii="宋体" w:hAnsi="宋体" w:eastAsia="宋体" w:cs="宋体"/>
                <w:color w:val="auto"/>
                <w:kern w:val="0"/>
                <w:sz w:val="24"/>
                <w:szCs w:val="24"/>
                <w:lang w:val="en-US"/>
              </w:rPr>
            </w:pPr>
            <w:r>
              <w:rPr>
                <w:rFonts w:hint="eastAsia" w:ascii="宋体" w:hAnsi="宋体" w:eastAsia="宋体" w:cs="宋体"/>
                <w:b w:val="0"/>
                <w:bCs w:val="0"/>
                <w:i w:val="0"/>
                <w:iCs w:val="0"/>
                <w:caps w:val="0"/>
                <w:color w:val="auto"/>
                <w:spacing w:val="0"/>
                <w:kern w:val="0"/>
                <w:sz w:val="24"/>
                <w:szCs w:val="24"/>
                <w:lang w:val="en-US" w:eastAsia="zh-CN" w:bidi="ar"/>
              </w:rPr>
              <w:t>防火阀70℃/280℃熔断关闭测试（模拟）。</w:t>
            </w:r>
          </w:p>
          <w:p w14:paraId="7F2A8264">
            <w:pPr>
              <w:widowControl/>
              <w:numPr>
                <w:ilvl w:val="0"/>
                <w:numId w:val="7"/>
              </w:numPr>
              <w:jc w:val="left"/>
              <w:rPr>
                <w:rFonts w:hint="eastAsia" w:ascii="宋体" w:hAnsi="宋体" w:eastAsia="宋体" w:cs="宋体"/>
                <w:color w:val="auto"/>
                <w:kern w:val="0"/>
                <w:sz w:val="24"/>
                <w:szCs w:val="24"/>
                <w:lang w:val="en-US"/>
              </w:rPr>
            </w:pPr>
            <w:r>
              <w:rPr>
                <w:rFonts w:hint="eastAsia" w:ascii="宋体" w:hAnsi="宋体" w:eastAsia="宋体" w:cs="宋体"/>
                <w:b w:val="0"/>
                <w:bCs w:val="0"/>
                <w:i w:val="0"/>
                <w:iCs w:val="0"/>
                <w:caps w:val="0"/>
                <w:color w:val="auto"/>
                <w:spacing w:val="0"/>
                <w:kern w:val="0"/>
                <w:sz w:val="24"/>
                <w:szCs w:val="24"/>
                <w:lang w:val="en-US" w:eastAsia="zh-CN" w:bidi="ar"/>
              </w:rPr>
              <w:t>风机控制柜手自动切换、信号反馈至主机。</w:t>
            </w:r>
          </w:p>
          <w:p w14:paraId="749BC502">
            <w:pPr>
              <w:widowControl/>
              <w:numPr>
                <w:ilvl w:val="0"/>
                <w:numId w:val="7"/>
              </w:numPr>
              <w:jc w:val="left"/>
              <w:rPr>
                <w:rFonts w:hint="eastAsia" w:ascii="宋体" w:hAnsi="宋体" w:eastAsia="宋体" w:cs="宋体"/>
                <w:color w:val="auto"/>
                <w:kern w:val="0"/>
                <w:sz w:val="24"/>
                <w:szCs w:val="24"/>
                <w:lang w:val="en-US"/>
              </w:rPr>
            </w:pPr>
            <w:r>
              <w:rPr>
                <w:rFonts w:hint="eastAsia" w:ascii="宋体" w:hAnsi="宋体" w:eastAsia="宋体" w:cs="宋体"/>
                <w:b w:val="0"/>
                <w:bCs w:val="0"/>
                <w:i w:val="0"/>
                <w:iCs w:val="0"/>
                <w:caps w:val="0"/>
                <w:color w:val="auto"/>
                <w:spacing w:val="0"/>
                <w:kern w:val="0"/>
                <w:sz w:val="24"/>
                <w:szCs w:val="24"/>
                <w:lang w:val="en-US" w:eastAsia="zh-CN" w:bidi="ar"/>
              </w:rPr>
              <w:t>风机运行噪声及振动异常检查。</w:t>
            </w:r>
          </w:p>
        </w:tc>
        <w:tc>
          <w:tcPr>
            <w:tcW w:w="1105" w:type="dxa"/>
            <w:shd w:val="clear" w:color="auto" w:fill="auto"/>
            <w:noWrap/>
            <w:vAlign w:val="center"/>
          </w:tcPr>
          <w:p w14:paraId="2C8CD7D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859" w:type="dxa"/>
            <w:shd w:val="clear" w:color="auto" w:fill="auto"/>
            <w:noWrap/>
            <w:vAlign w:val="center"/>
          </w:tcPr>
          <w:p w14:paraId="154D044F">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12</w:t>
            </w:r>
          </w:p>
        </w:tc>
        <w:tc>
          <w:tcPr>
            <w:tcW w:w="1244" w:type="dxa"/>
            <w:shd w:val="clear" w:color="auto" w:fill="auto"/>
            <w:noWrap/>
            <w:vAlign w:val="center"/>
          </w:tcPr>
          <w:p w14:paraId="4DF6DDBA">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bidi="ar-SA"/>
              </w:rPr>
            </w:pPr>
          </w:p>
        </w:tc>
      </w:tr>
      <w:tr w14:paraId="71A15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5" w:hRule="atLeast"/>
        </w:trPr>
        <w:tc>
          <w:tcPr>
            <w:tcW w:w="831" w:type="dxa"/>
            <w:noWrap w:val="0"/>
            <w:vAlign w:val="center"/>
          </w:tcPr>
          <w:p w14:paraId="056581E8">
            <w:pPr>
              <w:widowControl/>
              <w:jc w:val="center"/>
              <w:rPr>
                <w:rFonts w:hint="eastAsia" w:ascii="宋体" w:hAnsi="宋体" w:eastAsia="宋体" w:cs="宋体"/>
                <w:color w:val="auto"/>
                <w:kern w:val="0"/>
                <w:sz w:val="24"/>
                <w:szCs w:val="24"/>
              </w:rPr>
            </w:pPr>
            <w:r>
              <w:rPr>
                <w:rFonts w:hint="eastAsia" w:ascii="宋体" w:hAnsi="宋体" w:eastAsia="宋体" w:cs="宋体"/>
                <w:bCs/>
                <w:color w:val="auto"/>
                <w:kern w:val="0"/>
                <w:sz w:val="24"/>
                <w:szCs w:val="24"/>
                <w:lang w:val="en-US" w:eastAsia="zh-CN"/>
              </w:rPr>
              <w:t>应急照明和</w:t>
            </w:r>
            <w:r>
              <w:rPr>
                <w:rFonts w:hint="eastAsia" w:ascii="宋体" w:hAnsi="宋体" w:eastAsia="宋体" w:cs="宋体"/>
                <w:bCs/>
                <w:color w:val="auto"/>
                <w:kern w:val="0"/>
                <w:sz w:val="24"/>
                <w:szCs w:val="24"/>
              </w:rPr>
              <w:t>疏散</w:t>
            </w:r>
            <w:r>
              <w:rPr>
                <w:rFonts w:hint="eastAsia" w:ascii="宋体" w:hAnsi="宋体" w:eastAsia="宋体" w:cs="宋体"/>
                <w:bCs/>
                <w:color w:val="auto"/>
                <w:kern w:val="0"/>
                <w:sz w:val="24"/>
                <w:szCs w:val="24"/>
                <w:lang w:val="en-US" w:eastAsia="zh-CN"/>
              </w:rPr>
              <w:t>指示</w:t>
            </w:r>
            <w:r>
              <w:rPr>
                <w:rFonts w:hint="eastAsia" w:ascii="宋体" w:hAnsi="宋体" w:eastAsia="宋体" w:cs="宋体"/>
                <w:bCs/>
                <w:color w:val="auto"/>
                <w:kern w:val="0"/>
                <w:sz w:val="24"/>
                <w:szCs w:val="24"/>
              </w:rPr>
              <w:t>系统</w:t>
            </w:r>
          </w:p>
        </w:tc>
        <w:tc>
          <w:tcPr>
            <w:tcW w:w="4396" w:type="dxa"/>
            <w:shd w:val="clear" w:color="auto" w:fill="auto"/>
            <w:noWrap w:val="0"/>
            <w:vAlign w:val="center"/>
          </w:tcPr>
          <w:p w14:paraId="756A4414">
            <w:pPr>
              <w:widowControl/>
              <w:numPr>
                <w:ilvl w:val="0"/>
                <w:numId w:val="8"/>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检查安全出口、疏散通道、重要场所的应急照明和疏散指示标志是否处于正常完好状态。</w:t>
            </w:r>
          </w:p>
          <w:p w14:paraId="5E407FE8">
            <w:pPr>
              <w:widowControl/>
              <w:numPr>
                <w:ilvl w:val="0"/>
                <w:numId w:val="8"/>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应急灯主电切断后5秒内自动点亮测试。</w:t>
            </w:r>
          </w:p>
          <w:p w14:paraId="23001EF9">
            <w:pPr>
              <w:widowControl/>
              <w:numPr>
                <w:ilvl w:val="0"/>
                <w:numId w:val="8"/>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试验应急照明和疏散指示灯的工作照度和疏散照度。</w:t>
            </w:r>
          </w:p>
          <w:p w14:paraId="0F1088FE">
            <w:pPr>
              <w:widowControl/>
              <w:numPr>
                <w:ilvl w:val="0"/>
                <w:numId w:val="8"/>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疏散指示标志方向正确性及亮度检查。</w:t>
            </w:r>
          </w:p>
          <w:p w14:paraId="7DC8D898">
            <w:pPr>
              <w:widowControl/>
              <w:numPr>
                <w:ilvl w:val="0"/>
                <w:numId w:val="8"/>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集中电源型应急灯备用电源放电时间≥90分钟。</w:t>
            </w:r>
          </w:p>
          <w:p w14:paraId="3F90032D">
            <w:pPr>
              <w:widowControl/>
              <w:numPr>
                <w:ilvl w:val="0"/>
                <w:numId w:val="8"/>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应急灯外观、固定牢固度及防护罩完好性。</w:t>
            </w:r>
          </w:p>
          <w:p w14:paraId="0D6E2BB0">
            <w:pPr>
              <w:widowControl/>
              <w:numPr>
                <w:ilvl w:val="0"/>
                <w:numId w:val="8"/>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疏散指示灯玻璃面板无破损、标识清晰。7. 持续型/非持续型应急灯工作模式切换。8. 每季度一次全面放电测试。</w:t>
            </w:r>
          </w:p>
          <w:p w14:paraId="1493A6F2">
            <w:pPr>
              <w:widowControl/>
              <w:numPr>
                <w:ilvl w:val="0"/>
                <w:numId w:val="8"/>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定期检查应急照明控制器、应急照明配电箱、应急照明分配电装置的指示灯及控制按钮等的外观状态指示、标识及各接线端子。</w:t>
            </w:r>
          </w:p>
        </w:tc>
        <w:tc>
          <w:tcPr>
            <w:tcW w:w="1105" w:type="dxa"/>
            <w:shd w:val="clear" w:color="auto" w:fill="auto"/>
            <w:noWrap/>
            <w:vAlign w:val="center"/>
          </w:tcPr>
          <w:p w14:paraId="591F746C">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c>
          <w:tcPr>
            <w:tcW w:w="859" w:type="dxa"/>
            <w:shd w:val="clear" w:color="auto" w:fill="auto"/>
            <w:noWrap/>
            <w:vAlign w:val="center"/>
          </w:tcPr>
          <w:p w14:paraId="49DA7BFC">
            <w:pPr>
              <w:widowControl/>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12</w:t>
            </w:r>
          </w:p>
        </w:tc>
        <w:tc>
          <w:tcPr>
            <w:tcW w:w="1244" w:type="dxa"/>
            <w:shd w:val="clear" w:color="auto" w:fill="auto"/>
            <w:noWrap/>
            <w:vAlign w:val="center"/>
          </w:tcPr>
          <w:p w14:paraId="3132595E">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bidi="ar-SA"/>
              </w:rPr>
            </w:pPr>
          </w:p>
        </w:tc>
      </w:tr>
      <w:tr w14:paraId="220C1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6" w:hRule="exact"/>
        </w:trPr>
        <w:tc>
          <w:tcPr>
            <w:tcW w:w="831" w:type="dxa"/>
            <w:noWrap w:val="0"/>
            <w:vAlign w:val="center"/>
          </w:tcPr>
          <w:p w14:paraId="796159A2">
            <w:pPr>
              <w:widowControl/>
              <w:jc w:val="center"/>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灭火器</w:t>
            </w:r>
          </w:p>
        </w:tc>
        <w:tc>
          <w:tcPr>
            <w:tcW w:w="4396" w:type="dxa"/>
            <w:noWrap w:val="0"/>
            <w:vAlign w:val="center"/>
          </w:tcPr>
          <w:p w14:paraId="6C69E96A">
            <w:pPr>
              <w:widowControl/>
              <w:numPr>
                <w:ilvl w:val="0"/>
                <w:numId w:val="9"/>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压力表指针是否在绿区（绿/红/黄判定）。</w:t>
            </w:r>
          </w:p>
          <w:p w14:paraId="1308FC76">
            <w:pPr>
              <w:widowControl/>
              <w:numPr>
                <w:ilvl w:val="0"/>
                <w:numId w:val="9"/>
              </w:numPr>
              <w:jc w:val="left"/>
              <w:rPr>
                <w:rFonts w:hint="eastAsia" w:ascii="宋体" w:hAnsi="宋体" w:eastAsia="宋体" w:cs="宋体"/>
                <w:color w:val="auto"/>
                <w:kern w:val="0"/>
                <w:sz w:val="24"/>
                <w:szCs w:val="24"/>
                <w:lang w:val="en-US" w:eastAsia="zh-CN"/>
              </w:rPr>
            </w:pPr>
            <w:r>
              <w:rPr>
                <w:rFonts w:hint="eastAsia" w:ascii="宋体" w:hAnsi="宋体" w:eastAsia="宋体" w:cs="宋体"/>
                <w:b w:val="0"/>
                <w:bCs w:val="0"/>
                <w:i w:val="0"/>
                <w:iCs w:val="0"/>
                <w:caps w:val="0"/>
                <w:color w:val="auto"/>
                <w:spacing w:val="0"/>
                <w:kern w:val="0"/>
                <w:sz w:val="24"/>
                <w:szCs w:val="24"/>
                <w:lang w:val="en-US" w:eastAsia="zh-CN" w:bidi="ar"/>
              </w:rPr>
              <w:t>瓶体无严重锈蚀、变形或机械损伤。</w:t>
            </w:r>
          </w:p>
          <w:p w14:paraId="20469505">
            <w:pPr>
              <w:widowControl/>
              <w:numPr>
                <w:ilvl w:val="0"/>
                <w:numId w:val="9"/>
              </w:numPr>
              <w:jc w:val="left"/>
              <w:rPr>
                <w:rFonts w:hint="eastAsia" w:ascii="宋体" w:hAnsi="宋体" w:eastAsia="宋体" w:cs="宋体"/>
                <w:color w:val="auto"/>
                <w:kern w:val="0"/>
                <w:sz w:val="24"/>
                <w:szCs w:val="24"/>
                <w:lang w:val="en-US" w:eastAsia="zh-CN"/>
              </w:rPr>
            </w:pPr>
            <w:r>
              <w:rPr>
                <w:rFonts w:hint="eastAsia" w:ascii="宋体" w:hAnsi="宋体" w:eastAsia="宋体" w:cs="宋体"/>
                <w:b w:val="0"/>
                <w:bCs w:val="0"/>
                <w:i w:val="0"/>
                <w:iCs w:val="0"/>
                <w:caps w:val="0"/>
                <w:color w:val="auto"/>
                <w:spacing w:val="0"/>
                <w:kern w:val="0"/>
                <w:sz w:val="24"/>
                <w:szCs w:val="24"/>
                <w:lang w:val="en-US" w:eastAsia="zh-CN" w:bidi="ar"/>
              </w:rPr>
              <w:t>保险销及铅封完好未松动。</w:t>
            </w:r>
          </w:p>
          <w:p w14:paraId="4F045B5B">
            <w:pPr>
              <w:widowControl/>
              <w:numPr>
                <w:ilvl w:val="0"/>
                <w:numId w:val="9"/>
              </w:numPr>
              <w:jc w:val="left"/>
              <w:rPr>
                <w:rFonts w:hint="eastAsia" w:ascii="宋体" w:hAnsi="宋体" w:eastAsia="宋体" w:cs="宋体"/>
                <w:color w:val="auto"/>
                <w:kern w:val="0"/>
                <w:sz w:val="24"/>
                <w:szCs w:val="24"/>
                <w:lang w:val="en-US" w:eastAsia="zh-CN"/>
              </w:rPr>
            </w:pPr>
            <w:r>
              <w:rPr>
                <w:rFonts w:hint="eastAsia" w:ascii="宋体" w:hAnsi="宋体" w:eastAsia="宋体" w:cs="宋体"/>
                <w:b w:val="0"/>
                <w:bCs w:val="0"/>
                <w:i w:val="0"/>
                <w:iCs w:val="0"/>
                <w:caps w:val="0"/>
                <w:color w:val="auto"/>
                <w:spacing w:val="0"/>
                <w:kern w:val="0"/>
                <w:sz w:val="24"/>
                <w:szCs w:val="24"/>
                <w:lang w:val="en-US" w:eastAsia="zh-CN" w:bidi="ar"/>
              </w:rPr>
              <w:t>干粉/二氧化碳/水基灭火器有效期及维修日期。</w:t>
            </w:r>
          </w:p>
          <w:p w14:paraId="4ACBD046">
            <w:pPr>
              <w:widowControl/>
              <w:numPr>
                <w:ilvl w:val="0"/>
                <w:numId w:val="9"/>
              </w:numPr>
              <w:jc w:val="left"/>
              <w:rPr>
                <w:rFonts w:hint="eastAsia" w:ascii="宋体" w:hAnsi="宋体" w:eastAsia="宋体" w:cs="宋体"/>
                <w:color w:val="auto"/>
                <w:kern w:val="0"/>
                <w:sz w:val="24"/>
                <w:szCs w:val="24"/>
                <w:lang w:val="en-US" w:eastAsia="zh-CN"/>
              </w:rPr>
            </w:pPr>
            <w:r>
              <w:rPr>
                <w:rFonts w:hint="eastAsia" w:ascii="宋体" w:hAnsi="宋体" w:eastAsia="宋体" w:cs="宋体"/>
                <w:b w:val="0"/>
                <w:bCs w:val="0"/>
                <w:i w:val="0"/>
                <w:iCs w:val="0"/>
                <w:caps w:val="0"/>
                <w:color w:val="auto"/>
                <w:spacing w:val="0"/>
                <w:kern w:val="0"/>
                <w:sz w:val="24"/>
                <w:szCs w:val="24"/>
                <w:lang w:val="en-US" w:eastAsia="zh-CN" w:bidi="ar"/>
              </w:rPr>
              <w:t>喷射软管无老化、喷嘴无堵塞。</w:t>
            </w:r>
          </w:p>
          <w:p w14:paraId="778E54A5">
            <w:pPr>
              <w:widowControl/>
              <w:numPr>
                <w:ilvl w:val="0"/>
                <w:numId w:val="9"/>
              </w:numPr>
              <w:jc w:val="left"/>
              <w:rPr>
                <w:rFonts w:hint="eastAsia" w:ascii="宋体" w:hAnsi="宋体" w:eastAsia="宋体" w:cs="宋体"/>
                <w:color w:val="auto"/>
                <w:kern w:val="0"/>
                <w:sz w:val="24"/>
                <w:szCs w:val="24"/>
                <w:lang w:val="en-US" w:eastAsia="zh-CN"/>
              </w:rPr>
            </w:pPr>
            <w:r>
              <w:rPr>
                <w:rFonts w:hint="eastAsia" w:ascii="宋体" w:hAnsi="宋体" w:eastAsia="宋体" w:cs="宋体"/>
                <w:b w:val="0"/>
                <w:bCs w:val="0"/>
                <w:i w:val="0"/>
                <w:iCs w:val="0"/>
                <w:caps w:val="0"/>
                <w:color w:val="auto"/>
                <w:spacing w:val="0"/>
                <w:kern w:val="0"/>
                <w:sz w:val="24"/>
                <w:szCs w:val="24"/>
                <w:lang w:val="en-US" w:eastAsia="zh-CN" w:bidi="ar"/>
              </w:rPr>
              <w:t>摆放位置符合设计图且不被遮挡。</w:t>
            </w:r>
          </w:p>
          <w:p w14:paraId="5ACE28B9">
            <w:pPr>
              <w:widowControl/>
              <w:numPr>
                <w:ilvl w:val="0"/>
                <w:numId w:val="9"/>
              </w:numPr>
              <w:jc w:val="left"/>
              <w:rPr>
                <w:rFonts w:hint="eastAsia" w:ascii="宋体" w:hAnsi="宋体" w:eastAsia="宋体" w:cs="宋体"/>
                <w:color w:val="auto"/>
                <w:kern w:val="0"/>
                <w:sz w:val="24"/>
                <w:szCs w:val="24"/>
                <w:lang w:val="en-US" w:eastAsia="zh-CN"/>
              </w:rPr>
            </w:pPr>
            <w:r>
              <w:rPr>
                <w:rFonts w:hint="eastAsia" w:ascii="宋体" w:hAnsi="宋体" w:eastAsia="宋体" w:cs="宋体"/>
                <w:b w:val="0"/>
                <w:bCs w:val="0"/>
                <w:i w:val="0"/>
                <w:iCs w:val="0"/>
                <w:caps w:val="0"/>
                <w:color w:val="auto"/>
                <w:spacing w:val="0"/>
                <w:kern w:val="0"/>
                <w:sz w:val="24"/>
                <w:szCs w:val="24"/>
                <w:lang w:val="en-US" w:eastAsia="zh-CN" w:bidi="ar"/>
              </w:rPr>
              <w:t>日常管理卡（检查日期、责任人、签字）。</w:t>
            </w:r>
          </w:p>
          <w:p w14:paraId="44B9251E">
            <w:pPr>
              <w:widowControl/>
              <w:numPr>
                <w:ilvl w:val="0"/>
                <w:numId w:val="9"/>
              </w:numPr>
              <w:jc w:val="left"/>
              <w:rPr>
                <w:rFonts w:hint="eastAsia" w:ascii="宋体" w:hAnsi="宋体" w:eastAsia="宋体" w:cs="宋体"/>
                <w:color w:val="auto"/>
                <w:kern w:val="0"/>
                <w:sz w:val="24"/>
                <w:szCs w:val="24"/>
                <w:lang w:val="en-US" w:eastAsia="zh-CN"/>
              </w:rPr>
            </w:pPr>
            <w:r>
              <w:rPr>
                <w:rFonts w:hint="eastAsia" w:ascii="宋体" w:hAnsi="宋体" w:eastAsia="宋体" w:cs="宋体"/>
                <w:b w:val="0"/>
                <w:bCs w:val="0"/>
                <w:i w:val="0"/>
                <w:iCs w:val="0"/>
                <w:caps w:val="0"/>
                <w:color w:val="auto"/>
                <w:spacing w:val="0"/>
                <w:kern w:val="0"/>
                <w:sz w:val="24"/>
                <w:szCs w:val="24"/>
                <w:lang w:val="en-US" w:eastAsia="zh-CN" w:bidi="ar"/>
              </w:rPr>
              <w:t>推车式灭火器车轮及喷管固定性。</w:t>
            </w:r>
          </w:p>
        </w:tc>
        <w:tc>
          <w:tcPr>
            <w:tcW w:w="1105" w:type="dxa"/>
            <w:noWrap/>
            <w:vAlign w:val="center"/>
          </w:tcPr>
          <w:p w14:paraId="07F2C787">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c>
          <w:tcPr>
            <w:tcW w:w="859" w:type="dxa"/>
            <w:noWrap/>
            <w:vAlign w:val="center"/>
          </w:tcPr>
          <w:p w14:paraId="116738B0">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12</w:t>
            </w:r>
          </w:p>
        </w:tc>
        <w:tc>
          <w:tcPr>
            <w:tcW w:w="1244" w:type="dxa"/>
            <w:noWrap/>
            <w:vAlign w:val="center"/>
          </w:tcPr>
          <w:p w14:paraId="7BBA5FD2">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r>
      <w:tr w14:paraId="4261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8" w:hRule="exact"/>
        </w:trPr>
        <w:tc>
          <w:tcPr>
            <w:tcW w:w="831" w:type="dxa"/>
            <w:noWrap w:val="0"/>
            <w:vAlign w:val="center"/>
          </w:tcPr>
          <w:p w14:paraId="46E47FFB">
            <w:pPr>
              <w:widowControl/>
              <w:jc w:val="center"/>
              <w:rPr>
                <w:rFonts w:hint="default" w:ascii="宋体" w:hAnsi="宋体" w:eastAsia="宋体" w:cs="宋体"/>
                <w:bCs/>
                <w:color w:val="auto"/>
                <w:kern w:val="0"/>
                <w:sz w:val="24"/>
                <w:szCs w:val="24"/>
                <w:lang w:val="en-US" w:eastAsia="zh-CN"/>
              </w:rPr>
            </w:pPr>
            <w:r>
              <w:rPr>
                <w:rFonts w:hint="eastAsia" w:ascii="宋体" w:hAnsi="宋体" w:eastAsia="宋体" w:cs="宋体"/>
                <w:bCs/>
                <w:color w:val="auto"/>
                <w:kern w:val="0"/>
                <w:sz w:val="24"/>
                <w:szCs w:val="24"/>
                <w:lang w:val="en-US" w:eastAsia="zh-CN"/>
              </w:rPr>
              <w:t>零星维修</w:t>
            </w:r>
          </w:p>
        </w:tc>
        <w:tc>
          <w:tcPr>
            <w:tcW w:w="4396" w:type="dxa"/>
            <w:noWrap w:val="0"/>
            <w:vAlign w:val="center"/>
          </w:tcPr>
          <w:p w14:paraId="65F559F6">
            <w:pPr>
              <w:widowControl/>
              <w:numPr>
                <w:ilvl w:val="0"/>
                <w:numId w:val="0"/>
              </w:numPr>
              <w:jc w:val="left"/>
              <w:rPr>
                <w:rFonts w:hint="eastAsia"/>
                <w:color w:val="auto"/>
              </w:rPr>
            </w:pPr>
            <w:r>
              <w:rPr>
                <w:rFonts w:hint="eastAsia"/>
                <w:color w:val="auto"/>
              </w:rPr>
              <w:t>1. 火灾自动报警系统</w:t>
            </w:r>
          </w:p>
          <w:p w14:paraId="37424E08">
            <w:pPr>
              <w:widowControl/>
              <w:numPr>
                <w:ilvl w:val="0"/>
                <w:numId w:val="0"/>
              </w:numPr>
              <w:jc w:val="left"/>
              <w:rPr>
                <w:rFonts w:hint="eastAsia"/>
                <w:color w:val="auto"/>
              </w:rPr>
            </w:pPr>
            <w:r>
              <w:rPr>
                <w:rFonts w:hint="eastAsia"/>
                <w:color w:val="auto"/>
              </w:rPr>
              <w:t>烟感/温感误报、点位故障、探头脏污清洗、松动底座紧固、损坏探测器单只更换、手报按钮复位/更换、模块松动修复、线路局部断点抢修。</w:t>
            </w:r>
          </w:p>
          <w:p w14:paraId="1FC23BAB">
            <w:pPr>
              <w:widowControl/>
              <w:numPr>
                <w:ilvl w:val="0"/>
                <w:numId w:val="0"/>
              </w:numPr>
              <w:jc w:val="left"/>
              <w:rPr>
                <w:rFonts w:hint="eastAsia"/>
                <w:color w:val="auto"/>
              </w:rPr>
            </w:pPr>
          </w:p>
          <w:p w14:paraId="14B45592">
            <w:pPr>
              <w:widowControl/>
              <w:numPr>
                <w:ilvl w:val="0"/>
                <w:numId w:val="0"/>
              </w:numPr>
              <w:jc w:val="left"/>
              <w:rPr>
                <w:rFonts w:hint="eastAsia"/>
                <w:color w:val="auto"/>
              </w:rPr>
            </w:pPr>
            <w:r>
              <w:rPr>
                <w:rFonts w:hint="eastAsia"/>
                <w:color w:val="auto"/>
              </w:rPr>
              <w:t>2. 消火栓系统</w:t>
            </w:r>
          </w:p>
          <w:p w14:paraId="6AA84340">
            <w:pPr>
              <w:widowControl/>
              <w:numPr>
                <w:ilvl w:val="0"/>
                <w:numId w:val="0"/>
              </w:numPr>
              <w:jc w:val="left"/>
              <w:rPr>
                <w:rFonts w:hint="eastAsia"/>
                <w:color w:val="auto"/>
              </w:rPr>
            </w:pPr>
            <w:r>
              <w:rPr>
                <w:rFonts w:hint="eastAsia"/>
                <w:color w:val="auto"/>
              </w:rPr>
              <w:t>消火栓漏水、垫圈老化更换、水带破损小修补、接口密封不严、消火栓箱门合页/锁具损坏、阀门滴水紧固。</w:t>
            </w:r>
          </w:p>
          <w:p w14:paraId="619DCC2F">
            <w:pPr>
              <w:widowControl/>
              <w:numPr>
                <w:ilvl w:val="0"/>
                <w:numId w:val="0"/>
              </w:numPr>
              <w:jc w:val="left"/>
              <w:rPr>
                <w:rFonts w:hint="eastAsia"/>
                <w:color w:val="auto"/>
              </w:rPr>
            </w:pPr>
          </w:p>
          <w:p w14:paraId="2AA2CDA6">
            <w:pPr>
              <w:widowControl/>
              <w:numPr>
                <w:ilvl w:val="0"/>
                <w:numId w:val="0"/>
              </w:numPr>
              <w:jc w:val="left"/>
              <w:rPr>
                <w:rFonts w:hint="eastAsia"/>
                <w:color w:val="auto"/>
              </w:rPr>
            </w:pPr>
            <w:r>
              <w:rPr>
                <w:rFonts w:hint="eastAsia"/>
                <w:color w:val="auto"/>
              </w:rPr>
              <w:t>3. 自动喷水灭火系统</w:t>
            </w:r>
          </w:p>
          <w:p w14:paraId="3AB3CF52">
            <w:pPr>
              <w:widowControl/>
              <w:numPr>
                <w:ilvl w:val="0"/>
                <w:numId w:val="0"/>
              </w:numPr>
              <w:jc w:val="left"/>
              <w:rPr>
                <w:rFonts w:hint="eastAsia"/>
                <w:color w:val="auto"/>
              </w:rPr>
            </w:pPr>
            <w:r>
              <w:rPr>
                <w:rFonts w:hint="eastAsia"/>
                <w:color w:val="auto"/>
              </w:rPr>
              <w:t>喷头滴水、松动紧固、小范围漏点补修、末端试水阀门检修、喷头轻微磕碰更换（单只/几只），不含管网大面积改造。</w:t>
            </w:r>
          </w:p>
          <w:p w14:paraId="28B52264">
            <w:pPr>
              <w:widowControl/>
              <w:numPr>
                <w:ilvl w:val="0"/>
                <w:numId w:val="0"/>
              </w:numPr>
              <w:jc w:val="left"/>
              <w:rPr>
                <w:rFonts w:hint="eastAsia"/>
                <w:color w:val="auto"/>
              </w:rPr>
            </w:pPr>
          </w:p>
          <w:p w14:paraId="3C9C7754">
            <w:pPr>
              <w:widowControl/>
              <w:numPr>
                <w:ilvl w:val="0"/>
                <w:numId w:val="0"/>
              </w:numPr>
              <w:jc w:val="left"/>
              <w:rPr>
                <w:rFonts w:hint="eastAsia"/>
                <w:color w:val="auto"/>
              </w:rPr>
            </w:pPr>
            <w:r>
              <w:rPr>
                <w:rFonts w:hint="eastAsia"/>
                <w:color w:val="auto"/>
              </w:rPr>
              <w:t>4. 灭火器</w:t>
            </w:r>
          </w:p>
          <w:p w14:paraId="3BBA64E2">
            <w:pPr>
              <w:widowControl/>
              <w:numPr>
                <w:ilvl w:val="0"/>
                <w:numId w:val="0"/>
              </w:numPr>
              <w:jc w:val="left"/>
              <w:rPr>
                <w:rFonts w:hint="eastAsia"/>
                <w:color w:val="auto"/>
              </w:rPr>
            </w:pPr>
            <w:r>
              <w:rPr>
                <w:rFonts w:hint="eastAsia"/>
                <w:color w:val="auto"/>
              </w:rPr>
              <w:t>压力不足补压、喷管断裂更换、瓶体磕碰检修、过期批量换粉充装（零散几只）、灭火器箱门锁/箱体修复。</w:t>
            </w:r>
          </w:p>
          <w:p w14:paraId="76E8A713">
            <w:pPr>
              <w:widowControl/>
              <w:numPr>
                <w:ilvl w:val="0"/>
                <w:numId w:val="0"/>
              </w:numPr>
              <w:jc w:val="left"/>
              <w:rPr>
                <w:rFonts w:hint="eastAsia"/>
                <w:color w:val="auto"/>
              </w:rPr>
            </w:pPr>
          </w:p>
          <w:p w14:paraId="0262101E">
            <w:pPr>
              <w:widowControl/>
              <w:numPr>
                <w:ilvl w:val="0"/>
                <w:numId w:val="0"/>
              </w:numPr>
              <w:jc w:val="left"/>
              <w:rPr>
                <w:rFonts w:hint="eastAsia"/>
                <w:color w:val="auto"/>
              </w:rPr>
            </w:pPr>
            <w:r>
              <w:rPr>
                <w:rFonts w:hint="eastAsia"/>
                <w:color w:val="auto"/>
              </w:rPr>
              <w:t>5. 应急照明&amp;疏散指示</w:t>
            </w:r>
          </w:p>
          <w:p w14:paraId="4A548B1D">
            <w:pPr>
              <w:widowControl/>
              <w:numPr>
                <w:ilvl w:val="0"/>
                <w:numId w:val="0"/>
              </w:numPr>
              <w:jc w:val="left"/>
              <w:rPr>
                <w:rFonts w:hint="eastAsia"/>
                <w:color w:val="auto"/>
              </w:rPr>
            </w:pPr>
            <w:r>
              <w:rPr>
                <w:rFonts w:hint="eastAsia"/>
                <w:color w:val="auto"/>
              </w:rPr>
              <w:t>个别灯具不亮、电池亏电更换、指示灯移位小接线、面板损坏更换、断电测试调试。</w:t>
            </w:r>
          </w:p>
          <w:p w14:paraId="3CA6F66A">
            <w:pPr>
              <w:widowControl/>
              <w:numPr>
                <w:ilvl w:val="0"/>
                <w:numId w:val="0"/>
              </w:numPr>
              <w:jc w:val="left"/>
              <w:rPr>
                <w:rFonts w:hint="eastAsia"/>
                <w:color w:val="auto"/>
              </w:rPr>
            </w:pPr>
          </w:p>
          <w:p w14:paraId="1FC5AD00">
            <w:pPr>
              <w:widowControl/>
              <w:numPr>
                <w:ilvl w:val="0"/>
                <w:numId w:val="0"/>
              </w:numPr>
              <w:jc w:val="left"/>
              <w:rPr>
                <w:rFonts w:hint="eastAsia"/>
                <w:color w:val="auto"/>
              </w:rPr>
            </w:pPr>
            <w:r>
              <w:rPr>
                <w:rFonts w:hint="eastAsia"/>
                <w:color w:val="auto"/>
              </w:rPr>
              <w:t>6. 防排烟/防火设施</w:t>
            </w:r>
          </w:p>
          <w:p w14:paraId="300A39E5">
            <w:pPr>
              <w:widowControl/>
              <w:numPr>
                <w:ilvl w:val="0"/>
                <w:numId w:val="0"/>
              </w:numPr>
              <w:jc w:val="left"/>
              <w:rPr>
                <w:rFonts w:hint="eastAsia"/>
                <w:color w:val="auto"/>
              </w:rPr>
            </w:pPr>
            <w:r>
              <w:rPr>
                <w:rFonts w:hint="eastAsia"/>
                <w:color w:val="auto"/>
              </w:rPr>
              <w:t>防火门合页、闭门器、顺序器维修更换；防火密封条脱落粘贴修补；排烟口执行器小故障调试。</w:t>
            </w:r>
          </w:p>
          <w:p w14:paraId="6FAB12AA">
            <w:pPr>
              <w:widowControl/>
              <w:numPr>
                <w:ilvl w:val="0"/>
                <w:numId w:val="0"/>
              </w:numPr>
              <w:jc w:val="left"/>
              <w:rPr>
                <w:rFonts w:hint="eastAsia"/>
                <w:color w:val="auto"/>
              </w:rPr>
            </w:pPr>
          </w:p>
          <w:p w14:paraId="4B5EC26D">
            <w:pPr>
              <w:widowControl/>
              <w:numPr>
                <w:ilvl w:val="0"/>
                <w:numId w:val="0"/>
              </w:numPr>
              <w:jc w:val="left"/>
              <w:rPr>
                <w:rFonts w:hint="eastAsia"/>
                <w:color w:val="auto"/>
              </w:rPr>
            </w:pPr>
            <w:r>
              <w:rPr>
                <w:rFonts w:hint="eastAsia"/>
                <w:color w:val="auto"/>
              </w:rPr>
              <w:t>7. 其他零散问题</w:t>
            </w:r>
          </w:p>
          <w:p w14:paraId="690FFB41">
            <w:pPr>
              <w:widowControl/>
              <w:numPr>
                <w:ilvl w:val="0"/>
                <w:numId w:val="0"/>
              </w:numPr>
              <w:jc w:val="left"/>
              <w:rPr>
                <w:rFonts w:hint="default" w:ascii="宋体" w:hAnsi="宋体" w:cs="宋体" w:eastAsiaTheme="minorEastAsia"/>
                <w:b w:val="0"/>
                <w:bCs w:val="0"/>
                <w:i w:val="0"/>
                <w:iCs w:val="0"/>
                <w:caps w:val="0"/>
                <w:color w:val="auto"/>
                <w:spacing w:val="0"/>
                <w:kern w:val="0"/>
                <w:sz w:val="24"/>
                <w:szCs w:val="24"/>
                <w:lang w:val="en-US" w:eastAsia="zh-CN" w:bidi="ar"/>
              </w:rPr>
            </w:pPr>
            <w:r>
              <w:rPr>
                <w:rFonts w:hint="eastAsia"/>
                <w:color w:val="auto"/>
              </w:rPr>
              <w:t>消防标识脱落补装、管道小除锈刷漆、消防线槽盖板修复、应急广播单点位杂音调试。</w:t>
            </w:r>
          </w:p>
        </w:tc>
        <w:tc>
          <w:tcPr>
            <w:tcW w:w="1105" w:type="dxa"/>
            <w:noWrap/>
            <w:vAlign w:val="center"/>
          </w:tcPr>
          <w:p w14:paraId="6B58CED9">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c>
          <w:tcPr>
            <w:tcW w:w="859" w:type="dxa"/>
            <w:noWrap/>
            <w:vAlign w:val="center"/>
          </w:tcPr>
          <w:p w14:paraId="4CA424F0">
            <w:pPr>
              <w:widowControl/>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12</w:t>
            </w:r>
          </w:p>
        </w:tc>
        <w:tc>
          <w:tcPr>
            <w:tcW w:w="1244" w:type="dxa"/>
            <w:noWrap/>
            <w:vAlign w:val="center"/>
          </w:tcPr>
          <w:p w14:paraId="6535A29F">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r>
      <w:tr w14:paraId="22AB9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31" w:type="dxa"/>
            <w:noWrap w:val="0"/>
            <w:vAlign w:val="center"/>
          </w:tcPr>
          <w:p w14:paraId="1B25F226">
            <w:pPr>
              <w:widowControl/>
              <w:jc w:val="center"/>
              <w:rPr>
                <w:rFonts w:hint="eastAsia" w:ascii="宋体" w:hAnsi="宋体" w:eastAsia="宋体" w:cs="宋体"/>
                <w:bCs/>
                <w:color w:val="auto"/>
                <w:kern w:val="0"/>
                <w:sz w:val="24"/>
                <w:szCs w:val="24"/>
                <w:lang w:val="en-US" w:eastAsia="zh-CN"/>
              </w:rPr>
            </w:pPr>
            <w:r>
              <w:rPr>
                <w:rFonts w:hint="eastAsia" w:ascii="宋体" w:hAnsi="宋体" w:eastAsia="宋体" w:cs="宋体"/>
                <w:bCs/>
                <w:color w:val="auto"/>
                <w:kern w:val="0"/>
                <w:sz w:val="24"/>
                <w:szCs w:val="24"/>
                <w:lang w:val="en-US" w:eastAsia="zh-CN"/>
              </w:rPr>
              <w:t>培训</w:t>
            </w:r>
          </w:p>
        </w:tc>
        <w:tc>
          <w:tcPr>
            <w:tcW w:w="4396" w:type="dxa"/>
            <w:noWrap w:val="0"/>
            <w:vAlign w:val="center"/>
          </w:tcPr>
          <w:p w14:paraId="60A5A81B">
            <w:pPr>
              <w:widowControl/>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每年培训消控室值班人员</w:t>
            </w:r>
          </w:p>
        </w:tc>
        <w:tc>
          <w:tcPr>
            <w:tcW w:w="1105" w:type="dxa"/>
            <w:noWrap/>
            <w:vAlign w:val="center"/>
          </w:tcPr>
          <w:p w14:paraId="0F6F169C">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859" w:type="dxa"/>
            <w:noWrap/>
            <w:vAlign w:val="center"/>
          </w:tcPr>
          <w:p w14:paraId="432111F5">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w:t>
            </w:r>
          </w:p>
        </w:tc>
        <w:tc>
          <w:tcPr>
            <w:tcW w:w="1244" w:type="dxa"/>
            <w:noWrap/>
            <w:vAlign w:val="center"/>
          </w:tcPr>
          <w:p w14:paraId="77525CCB">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r>
      <w:tr w14:paraId="7A0C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191" w:type="dxa"/>
            <w:gridSpan w:val="4"/>
            <w:noWrap w:val="0"/>
            <w:vAlign w:val="center"/>
          </w:tcPr>
          <w:p w14:paraId="0B5B1D34">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合计：</w:t>
            </w:r>
          </w:p>
        </w:tc>
        <w:tc>
          <w:tcPr>
            <w:tcW w:w="1244" w:type="dxa"/>
            <w:noWrap/>
            <w:vAlign w:val="center"/>
          </w:tcPr>
          <w:p w14:paraId="785ABA69">
            <w:pPr>
              <w:widowControl/>
              <w:jc w:val="center"/>
              <w:rPr>
                <w:rFonts w:hint="default" w:ascii="宋体" w:hAnsi="宋体" w:eastAsia="宋体" w:cs="宋体"/>
                <w:i w:val="0"/>
                <w:iCs w:val="0"/>
                <w:color w:val="auto"/>
                <w:kern w:val="0"/>
                <w:sz w:val="24"/>
                <w:szCs w:val="24"/>
                <w:u w:val="none"/>
                <w:lang w:val="en-US" w:eastAsia="zh-CN" w:bidi="ar"/>
              </w:rPr>
            </w:pPr>
          </w:p>
        </w:tc>
      </w:tr>
      <w:tr w14:paraId="2839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8435" w:type="dxa"/>
            <w:gridSpan w:val="5"/>
            <w:noWrap/>
            <w:vAlign w:val="center"/>
          </w:tcPr>
          <w:p w14:paraId="0886F55C">
            <w:pPr>
              <w:widowControl/>
              <w:jc w:val="left"/>
              <w:rPr>
                <w:rFonts w:hint="eastAsia" w:ascii="宋体" w:hAnsi="宋体" w:eastAsia="宋体" w:cs="宋体"/>
                <w:color w:val="auto"/>
                <w:kern w:val="0"/>
                <w:sz w:val="24"/>
                <w:szCs w:val="24"/>
                <w:lang w:val="en-US" w:eastAsia="zh-CN"/>
              </w:rPr>
            </w:pPr>
            <w:r>
              <w:rPr>
                <w:rFonts w:hint="eastAsia" w:ascii="宋体" w:hAnsi="宋体" w:eastAsia="宋体" w:cs="宋体"/>
                <w:bCs/>
                <w:color w:val="auto"/>
                <w:sz w:val="24"/>
                <w:szCs w:val="24"/>
              </w:rPr>
              <w:t>报价大写：</w:t>
            </w:r>
          </w:p>
        </w:tc>
      </w:tr>
      <w:tr w14:paraId="5D48E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435" w:type="dxa"/>
            <w:gridSpan w:val="5"/>
            <w:noWrap/>
            <w:vAlign w:val="center"/>
          </w:tcPr>
          <w:p w14:paraId="178FFD4F">
            <w:pPr>
              <w:widowControl/>
              <w:jc w:val="left"/>
              <w:rPr>
                <w:rFonts w:hint="eastAsia" w:ascii="宋体" w:hAnsi="宋体" w:eastAsia="宋体" w:cs="宋体"/>
                <w:color w:val="auto"/>
                <w:kern w:val="0"/>
                <w:sz w:val="24"/>
                <w:szCs w:val="24"/>
                <w:lang w:val="en-US" w:eastAsia="zh-CN"/>
              </w:rPr>
            </w:pPr>
            <w:r>
              <w:rPr>
                <w:rFonts w:hint="eastAsia" w:ascii="宋体" w:hAnsi="宋体" w:eastAsia="宋体" w:cs="宋体"/>
                <w:bCs/>
                <w:color w:val="auto"/>
                <w:sz w:val="24"/>
                <w:szCs w:val="24"/>
              </w:rPr>
              <w:t>备注：</w:t>
            </w:r>
            <w:r>
              <w:rPr>
                <w:rFonts w:hint="eastAsia" w:ascii="宋体" w:hAnsi="宋体" w:eastAsia="宋体" w:cs="宋体"/>
                <w:bCs/>
                <w:color w:val="auto"/>
                <w:sz w:val="24"/>
                <w:szCs w:val="24"/>
                <w:lang w:val="en-US" w:eastAsia="zh-CN"/>
              </w:rPr>
              <w:t>总价含6%增值税发票</w:t>
            </w:r>
          </w:p>
        </w:tc>
      </w:tr>
    </w:tbl>
    <w:p w14:paraId="01D5278D">
      <w:pPr>
        <w:numPr>
          <w:ilvl w:val="0"/>
          <w:numId w:val="0"/>
        </w:numPr>
        <w:rPr>
          <w:rFonts w:ascii="宋体" w:hAnsi="宋体" w:eastAsia="宋体"/>
          <w:color w:val="auto"/>
          <w:highlight w:val="none"/>
        </w:rPr>
      </w:pPr>
      <w:r>
        <w:rPr>
          <w:rFonts w:hint="eastAsia" w:ascii="宋体" w:hAnsi="宋体" w:eastAsia="宋体"/>
          <w:color w:val="auto"/>
          <w:highlight w:val="none"/>
        </w:rPr>
        <w:br w:type="page"/>
      </w:r>
    </w:p>
    <w:p w14:paraId="2369B3B2">
      <w:pPr>
        <w:pStyle w:val="16"/>
        <w:spacing w:after="312"/>
        <w:rPr>
          <w:rFonts w:hint="default"/>
          <w:color w:val="auto"/>
          <w:highlight w:val="none"/>
        </w:rPr>
      </w:pPr>
      <w:r>
        <w:rPr>
          <w:color w:val="auto"/>
          <w:highlight w:val="none"/>
        </w:rPr>
        <w:t>第二章  服务商须知</w:t>
      </w:r>
    </w:p>
    <w:p w14:paraId="71EEA23E">
      <w:pPr>
        <w:pStyle w:val="5"/>
        <w:rPr>
          <w:rFonts w:ascii="宋体" w:hAnsi="宋体" w:eastAsia="宋体"/>
          <w:color w:val="auto"/>
          <w:highlight w:val="none"/>
        </w:rPr>
      </w:pPr>
      <w:r>
        <w:rPr>
          <w:rFonts w:ascii="宋体" w:hAnsi="宋体" w:eastAsia="宋体"/>
          <w:color w:val="auto"/>
          <w:highlight w:val="none"/>
        </w:rPr>
        <w:t>服务商须知前附表</w:t>
      </w:r>
    </w:p>
    <w:tbl>
      <w:tblPr>
        <w:tblStyle w:val="12"/>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711"/>
        <w:gridCol w:w="6418"/>
      </w:tblGrid>
      <w:tr w14:paraId="2FC9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0DA669F">
            <w:pPr>
              <w:pStyle w:val="7"/>
              <w:adjustRightInd w:val="0"/>
              <w:spacing w:line="360" w:lineRule="exact"/>
              <w:jc w:val="center"/>
              <w:rPr>
                <w:rFonts w:hAnsi="宋体" w:cs="宋体"/>
                <w:b/>
                <w:color w:val="auto"/>
                <w:highlight w:val="none"/>
              </w:rPr>
            </w:pPr>
            <w:r>
              <w:rPr>
                <w:rFonts w:hint="eastAsia" w:hAnsi="宋体" w:cs="宋体"/>
                <w:b/>
                <w:color w:val="auto"/>
                <w:highlight w:val="none"/>
              </w:rPr>
              <w:t>条款号</w:t>
            </w:r>
          </w:p>
        </w:tc>
        <w:tc>
          <w:tcPr>
            <w:tcW w:w="1711" w:type="dxa"/>
            <w:vAlign w:val="center"/>
          </w:tcPr>
          <w:p w14:paraId="78ADCE37">
            <w:pPr>
              <w:pStyle w:val="7"/>
              <w:spacing w:line="360" w:lineRule="exact"/>
              <w:jc w:val="center"/>
              <w:rPr>
                <w:rFonts w:hAnsi="宋体" w:cs="宋体"/>
                <w:b/>
                <w:color w:val="auto"/>
                <w:highlight w:val="none"/>
              </w:rPr>
            </w:pPr>
            <w:r>
              <w:rPr>
                <w:rFonts w:hint="eastAsia" w:hAnsi="宋体" w:cs="宋体"/>
                <w:b/>
                <w:color w:val="auto"/>
                <w:highlight w:val="none"/>
              </w:rPr>
              <w:t>条款名称</w:t>
            </w:r>
          </w:p>
        </w:tc>
        <w:tc>
          <w:tcPr>
            <w:tcW w:w="6418" w:type="dxa"/>
          </w:tcPr>
          <w:p w14:paraId="1C164758">
            <w:pPr>
              <w:pStyle w:val="7"/>
              <w:spacing w:line="360" w:lineRule="exact"/>
              <w:jc w:val="center"/>
              <w:rPr>
                <w:rFonts w:hAnsi="宋体" w:cs="宋体"/>
                <w:b/>
                <w:color w:val="auto"/>
                <w:highlight w:val="none"/>
              </w:rPr>
            </w:pPr>
            <w:r>
              <w:rPr>
                <w:rFonts w:hint="eastAsia" w:hAnsi="宋体" w:cs="宋体"/>
                <w:b/>
                <w:color w:val="auto"/>
                <w:highlight w:val="none"/>
              </w:rPr>
              <w:t>详细内容</w:t>
            </w:r>
          </w:p>
        </w:tc>
      </w:tr>
      <w:tr w14:paraId="7BFF2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A5E9342">
            <w:pPr>
              <w:pStyle w:val="7"/>
              <w:spacing w:line="360" w:lineRule="exact"/>
              <w:jc w:val="center"/>
              <w:rPr>
                <w:rFonts w:hAnsi="宋体" w:cs="宋体"/>
                <w:color w:val="auto"/>
                <w:highlight w:val="none"/>
              </w:rPr>
            </w:pPr>
            <w:r>
              <w:rPr>
                <w:rFonts w:ascii="宋体" w:hAnsi="宋体" w:cs="Times New Roman"/>
                <w:color w:val="auto"/>
                <w:highlight w:val="none"/>
              </w:rPr>
              <w:t>1</w:t>
            </w:r>
          </w:p>
        </w:tc>
        <w:tc>
          <w:tcPr>
            <w:tcW w:w="1711" w:type="dxa"/>
            <w:vAlign w:val="center"/>
          </w:tcPr>
          <w:p w14:paraId="1B3FACA8">
            <w:pPr>
              <w:pStyle w:val="7"/>
              <w:spacing w:line="360" w:lineRule="exact"/>
              <w:jc w:val="center"/>
              <w:rPr>
                <w:rFonts w:hAnsi="宋体" w:cs="宋体"/>
                <w:color w:val="auto"/>
                <w:highlight w:val="none"/>
              </w:rPr>
            </w:pPr>
            <w:r>
              <w:rPr>
                <w:rFonts w:hint="eastAsia" w:hAnsi="宋体" w:cs="宋体"/>
                <w:color w:val="auto"/>
                <w:highlight w:val="none"/>
              </w:rPr>
              <w:t>采购人</w:t>
            </w:r>
          </w:p>
        </w:tc>
        <w:tc>
          <w:tcPr>
            <w:tcW w:w="6418" w:type="dxa"/>
            <w:vAlign w:val="center"/>
          </w:tcPr>
          <w:p w14:paraId="54F33701">
            <w:pPr>
              <w:pStyle w:val="7"/>
              <w:keepNext w:val="0"/>
              <w:keepLines w:val="0"/>
              <w:suppressLineNumbers w:val="0"/>
              <w:spacing w:before="0" w:beforeAutospacing="0" w:after="0" w:afterAutospacing="0" w:line="360" w:lineRule="exact"/>
              <w:ind w:left="0" w:right="0"/>
              <w:jc w:val="left"/>
              <w:rPr>
                <w:rFonts w:hint="default" w:hAnsi="宋体" w:eastAsia="宋体" w:cs="宋体"/>
                <w:bCs/>
                <w:color w:val="auto"/>
                <w:sz w:val="24"/>
                <w:szCs w:val="24"/>
                <w:highlight w:val="none"/>
                <w:lang w:val="en-US" w:eastAsia="zh-CN"/>
              </w:rPr>
            </w:pPr>
            <w:r>
              <w:rPr>
                <w:rFonts w:hint="eastAsia" w:hAnsi="宋体" w:cs="宋体"/>
                <w:bCs/>
                <w:color w:val="auto"/>
                <w:sz w:val="24"/>
                <w:szCs w:val="24"/>
                <w:highlight w:val="none"/>
              </w:rPr>
              <w:t>采购人：</w:t>
            </w:r>
            <w:r>
              <w:rPr>
                <w:rFonts w:hint="eastAsia" w:hAnsi="宋体" w:cs="宋体"/>
                <w:bCs/>
                <w:color w:val="auto"/>
                <w:sz w:val="24"/>
                <w:szCs w:val="24"/>
                <w:highlight w:val="none"/>
                <w:lang w:val="en-US" w:eastAsia="zh-CN"/>
              </w:rPr>
              <w:t>广西自贸区产融城市运营管理有限公司</w:t>
            </w:r>
          </w:p>
          <w:p w14:paraId="16F89EF9">
            <w:pPr>
              <w:pStyle w:val="7"/>
              <w:keepNext w:val="0"/>
              <w:keepLines w:val="0"/>
              <w:suppressLineNumbers w:val="0"/>
              <w:spacing w:before="0" w:beforeAutospacing="0" w:after="0" w:afterAutospacing="0" w:line="360" w:lineRule="exact"/>
              <w:ind w:left="0" w:right="0"/>
              <w:jc w:val="left"/>
              <w:rPr>
                <w:rFonts w:hint="default" w:hAnsi="宋体" w:eastAsia="宋体" w:cs="宋体"/>
                <w:bCs/>
                <w:color w:val="auto"/>
                <w:sz w:val="24"/>
                <w:szCs w:val="24"/>
                <w:highlight w:val="none"/>
                <w:lang w:val="en-US" w:eastAsia="zh-CN"/>
              </w:rPr>
            </w:pPr>
            <w:r>
              <w:rPr>
                <w:rFonts w:hint="eastAsia" w:hAnsi="宋体" w:cs="宋体"/>
                <w:bCs/>
                <w:color w:val="auto"/>
                <w:sz w:val="24"/>
                <w:szCs w:val="24"/>
                <w:highlight w:val="none"/>
              </w:rPr>
              <w:t>项目联系人：</w:t>
            </w:r>
            <w:r>
              <w:rPr>
                <w:rFonts w:hint="eastAsia" w:hAnsi="宋体" w:cs="宋体"/>
                <w:bCs/>
                <w:color w:val="auto"/>
                <w:sz w:val="24"/>
                <w:szCs w:val="24"/>
                <w:highlight w:val="none"/>
                <w:lang w:val="en-US" w:eastAsia="zh-CN"/>
              </w:rPr>
              <w:t>钟文洲</w:t>
            </w:r>
          </w:p>
          <w:p w14:paraId="0E1FA902">
            <w:pPr>
              <w:pStyle w:val="7"/>
              <w:spacing w:line="360" w:lineRule="exact"/>
              <w:jc w:val="left"/>
              <w:rPr>
                <w:rFonts w:hint="default" w:hAnsi="宋体" w:cs="宋体"/>
                <w:color w:val="auto"/>
                <w:highlight w:val="none"/>
                <w:lang w:val="en-US"/>
              </w:rPr>
            </w:pPr>
            <w:r>
              <w:rPr>
                <w:rFonts w:hint="eastAsia" w:hAnsi="宋体" w:cs="宋体"/>
                <w:color w:val="auto"/>
                <w:highlight w:val="none"/>
              </w:rPr>
              <w:t>电话：</w:t>
            </w:r>
            <w:r>
              <w:rPr>
                <w:rFonts w:hint="eastAsia" w:hAnsi="宋体" w:cs="宋体"/>
                <w:bCs/>
                <w:color w:val="auto"/>
                <w:sz w:val="24"/>
                <w:szCs w:val="24"/>
                <w:highlight w:val="none"/>
                <w:u w:val="single"/>
                <w:lang w:val="en-US" w:eastAsia="zh-CN"/>
              </w:rPr>
              <w:t>18277753728</w:t>
            </w:r>
          </w:p>
        </w:tc>
      </w:tr>
      <w:tr w14:paraId="03D05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61D82FD">
            <w:pPr>
              <w:pStyle w:val="7"/>
              <w:spacing w:line="360" w:lineRule="exact"/>
              <w:jc w:val="center"/>
              <w:rPr>
                <w:rFonts w:hAnsi="宋体" w:cs="宋体"/>
                <w:color w:val="auto"/>
                <w:highlight w:val="none"/>
              </w:rPr>
            </w:pPr>
            <w:r>
              <w:rPr>
                <w:rFonts w:ascii="宋体" w:hAnsi="宋体" w:cs="Times New Roman"/>
                <w:color w:val="auto"/>
                <w:highlight w:val="none"/>
              </w:rPr>
              <w:t>2</w:t>
            </w:r>
          </w:p>
        </w:tc>
        <w:tc>
          <w:tcPr>
            <w:tcW w:w="1711" w:type="dxa"/>
            <w:vAlign w:val="center"/>
          </w:tcPr>
          <w:p w14:paraId="092F8C09">
            <w:pPr>
              <w:pStyle w:val="7"/>
              <w:spacing w:line="360" w:lineRule="exact"/>
              <w:jc w:val="center"/>
              <w:rPr>
                <w:rFonts w:hAnsi="宋体" w:cs="宋体"/>
                <w:color w:val="auto"/>
                <w:highlight w:val="none"/>
              </w:rPr>
            </w:pPr>
            <w:r>
              <w:rPr>
                <w:rFonts w:hint="eastAsia" w:hAnsi="宋体" w:cs="宋体"/>
                <w:color w:val="auto"/>
                <w:highlight w:val="none"/>
              </w:rPr>
              <w:t>项目名称</w:t>
            </w:r>
          </w:p>
        </w:tc>
        <w:tc>
          <w:tcPr>
            <w:tcW w:w="6418" w:type="dxa"/>
            <w:vAlign w:val="center"/>
          </w:tcPr>
          <w:p w14:paraId="5F288182">
            <w:pPr>
              <w:spacing w:line="240" w:lineRule="atLeast"/>
              <w:rPr>
                <w:rFonts w:hint="eastAsia" w:ascii="宋体" w:hAnsi="宋体" w:eastAsia="宋体" w:cs="宋体"/>
                <w:color w:val="auto"/>
                <w:highlight w:val="yellow"/>
                <w:lang w:eastAsia="zh-CN"/>
              </w:rPr>
            </w:pPr>
            <w:r>
              <w:rPr>
                <w:rFonts w:hint="eastAsia" w:ascii="宋体" w:hAnsi="宋体" w:eastAsia="宋体" w:cs="宋体"/>
                <w:bCs/>
                <w:color w:val="auto"/>
                <w:sz w:val="24"/>
                <w:szCs w:val="24"/>
                <w:highlight w:val="none"/>
                <w:u w:val="single"/>
                <w:lang w:val="en-US" w:eastAsia="zh-CN"/>
              </w:rPr>
              <w:t>综合保税区仓储板块消防维保服务</w:t>
            </w:r>
            <w:r>
              <w:rPr>
                <w:rFonts w:hint="eastAsia" w:ascii="宋体" w:hAnsi="宋体" w:eastAsia="宋体" w:cs="宋体"/>
                <w:bCs/>
                <w:color w:val="auto"/>
                <w:sz w:val="24"/>
                <w:szCs w:val="24"/>
                <w:highlight w:val="none"/>
                <w:u w:val="single"/>
                <w:lang w:eastAsia="zh-CN"/>
              </w:rPr>
              <w:t>项目</w:t>
            </w:r>
          </w:p>
        </w:tc>
      </w:tr>
      <w:tr w14:paraId="07260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039522B">
            <w:pPr>
              <w:pStyle w:val="7"/>
              <w:spacing w:line="360" w:lineRule="exact"/>
              <w:jc w:val="center"/>
              <w:rPr>
                <w:rFonts w:hAnsi="宋体" w:cs="宋体"/>
                <w:color w:val="auto"/>
                <w:highlight w:val="none"/>
              </w:rPr>
            </w:pPr>
            <w:r>
              <w:rPr>
                <w:rFonts w:ascii="宋体" w:hAnsi="宋体" w:cs="Times New Roman"/>
                <w:color w:val="auto"/>
                <w:highlight w:val="none"/>
              </w:rPr>
              <w:t>3</w:t>
            </w:r>
          </w:p>
        </w:tc>
        <w:tc>
          <w:tcPr>
            <w:tcW w:w="1711" w:type="dxa"/>
            <w:vAlign w:val="center"/>
          </w:tcPr>
          <w:p w14:paraId="2B81BD6C">
            <w:pPr>
              <w:pStyle w:val="7"/>
              <w:spacing w:line="360" w:lineRule="exact"/>
              <w:jc w:val="center"/>
              <w:rPr>
                <w:rFonts w:hAnsi="宋体" w:cs="宋体"/>
                <w:color w:val="auto"/>
                <w:highlight w:val="none"/>
              </w:rPr>
            </w:pPr>
            <w:r>
              <w:rPr>
                <w:rFonts w:hint="eastAsia" w:hAnsi="宋体" w:cs="宋体"/>
                <w:color w:val="auto"/>
                <w:highlight w:val="none"/>
              </w:rPr>
              <w:t>采购预算</w:t>
            </w:r>
          </w:p>
        </w:tc>
        <w:tc>
          <w:tcPr>
            <w:tcW w:w="6418" w:type="dxa"/>
            <w:vAlign w:val="center"/>
          </w:tcPr>
          <w:p w14:paraId="3ADCA932">
            <w:pPr>
              <w:spacing w:line="240" w:lineRule="atLeast"/>
              <w:rPr>
                <w:rFonts w:ascii="宋体" w:hAnsi="宋体" w:eastAsia="宋体" w:cs="宋体"/>
                <w:color w:val="auto"/>
                <w:highlight w:val="yellow"/>
              </w:rPr>
            </w:pPr>
            <w:r>
              <w:rPr>
                <w:rFonts w:hint="eastAsia" w:ascii="宋体" w:hAnsi="宋体" w:eastAsia="宋体" w:cs="宋体"/>
                <w:color w:val="auto"/>
                <w:sz w:val="22"/>
                <w:szCs w:val="22"/>
                <w:highlight w:val="none"/>
              </w:rPr>
              <w:t>人民币（大写）</w:t>
            </w:r>
            <w:r>
              <w:rPr>
                <w:rFonts w:hint="eastAsia" w:ascii="宋体" w:hAnsi="宋体" w:eastAsia="宋体" w:cs="宋体"/>
                <w:color w:val="auto"/>
                <w:sz w:val="22"/>
                <w:szCs w:val="22"/>
                <w:highlight w:val="none"/>
                <w:lang w:val="en-US" w:eastAsia="zh-CN"/>
              </w:rPr>
              <w:t>捌万伍仟元整</w:t>
            </w:r>
            <w:r>
              <w:rPr>
                <w:rFonts w:hint="eastAsia" w:ascii="宋体" w:hAnsi="宋体" w:eastAsia="宋体" w:cs="宋体"/>
                <w:bCs/>
                <w:color w:val="auto"/>
                <w:sz w:val="22"/>
                <w:szCs w:val="22"/>
                <w:highlight w:val="none"/>
              </w:rPr>
              <w:t>（￥：</w:t>
            </w:r>
            <w:r>
              <w:rPr>
                <w:rFonts w:hint="eastAsia" w:ascii="宋体" w:hAnsi="宋体" w:eastAsia="宋体" w:cs="宋体"/>
                <w:bCs/>
                <w:color w:val="auto"/>
                <w:sz w:val="22"/>
                <w:szCs w:val="22"/>
                <w:highlight w:val="none"/>
                <w:lang w:val="en-US" w:eastAsia="zh-CN"/>
              </w:rPr>
              <w:t>85000.00</w:t>
            </w:r>
            <w:r>
              <w:rPr>
                <w:rFonts w:hint="eastAsia" w:ascii="宋体" w:hAnsi="宋体" w:eastAsia="宋体" w:cs="宋体"/>
                <w:bCs/>
                <w:color w:val="auto"/>
                <w:sz w:val="22"/>
                <w:szCs w:val="22"/>
                <w:highlight w:val="none"/>
              </w:rPr>
              <w:t>元）</w:t>
            </w:r>
          </w:p>
        </w:tc>
      </w:tr>
      <w:tr w14:paraId="79A80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B38C6C1">
            <w:pPr>
              <w:pStyle w:val="7"/>
              <w:spacing w:line="360" w:lineRule="exact"/>
              <w:jc w:val="center"/>
              <w:rPr>
                <w:rFonts w:hAnsi="宋体" w:cs="宋体"/>
                <w:color w:val="auto"/>
                <w:highlight w:val="none"/>
              </w:rPr>
            </w:pPr>
            <w:r>
              <w:rPr>
                <w:rFonts w:ascii="宋体" w:hAnsi="宋体" w:cs="Times New Roman"/>
                <w:color w:val="auto"/>
                <w:highlight w:val="none"/>
              </w:rPr>
              <w:t>4</w:t>
            </w:r>
          </w:p>
        </w:tc>
        <w:tc>
          <w:tcPr>
            <w:tcW w:w="1711" w:type="dxa"/>
            <w:vAlign w:val="center"/>
          </w:tcPr>
          <w:p w14:paraId="63D0A987">
            <w:pPr>
              <w:pStyle w:val="7"/>
              <w:spacing w:line="360" w:lineRule="exact"/>
              <w:jc w:val="center"/>
              <w:rPr>
                <w:rFonts w:hAnsi="宋体" w:cs="宋体"/>
                <w:color w:val="auto"/>
                <w:highlight w:val="none"/>
              </w:rPr>
            </w:pPr>
            <w:r>
              <w:rPr>
                <w:rFonts w:hint="eastAsia" w:hAnsi="宋体" w:cs="宋体"/>
                <w:color w:val="auto"/>
                <w:highlight w:val="none"/>
              </w:rPr>
              <w:t>最高限价</w:t>
            </w:r>
          </w:p>
        </w:tc>
        <w:tc>
          <w:tcPr>
            <w:tcW w:w="6418" w:type="dxa"/>
            <w:vAlign w:val="center"/>
          </w:tcPr>
          <w:p w14:paraId="7F095D65">
            <w:pPr>
              <w:spacing w:line="360" w:lineRule="exact"/>
              <w:rPr>
                <w:rFonts w:ascii="宋体" w:hAnsi="宋体" w:eastAsia="宋体" w:cs="宋体"/>
                <w:color w:val="auto"/>
                <w:highlight w:val="yellow"/>
              </w:rPr>
            </w:pPr>
            <w:r>
              <w:rPr>
                <w:rFonts w:hint="eastAsia" w:ascii="宋体" w:hAnsi="宋体" w:eastAsia="宋体" w:cs="宋体"/>
                <w:color w:val="auto"/>
                <w:sz w:val="22"/>
                <w:szCs w:val="22"/>
                <w:highlight w:val="none"/>
              </w:rPr>
              <w:t>人民币（大写）</w:t>
            </w:r>
            <w:r>
              <w:rPr>
                <w:rFonts w:hint="eastAsia" w:ascii="宋体" w:hAnsi="宋体" w:eastAsia="宋体" w:cs="宋体"/>
                <w:color w:val="auto"/>
                <w:sz w:val="22"/>
                <w:szCs w:val="22"/>
                <w:highlight w:val="none"/>
                <w:lang w:val="en-US" w:eastAsia="zh-CN"/>
              </w:rPr>
              <w:t>捌万伍仟元整</w:t>
            </w:r>
            <w:r>
              <w:rPr>
                <w:rFonts w:hint="eastAsia" w:ascii="宋体" w:hAnsi="宋体" w:eastAsia="宋体" w:cs="宋体"/>
                <w:bCs/>
                <w:color w:val="auto"/>
                <w:sz w:val="22"/>
                <w:szCs w:val="22"/>
                <w:highlight w:val="none"/>
              </w:rPr>
              <w:t>（￥：</w:t>
            </w:r>
            <w:r>
              <w:rPr>
                <w:rFonts w:hint="eastAsia" w:ascii="宋体" w:hAnsi="宋体" w:eastAsia="宋体" w:cs="宋体"/>
                <w:bCs/>
                <w:color w:val="auto"/>
                <w:sz w:val="22"/>
                <w:szCs w:val="22"/>
                <w:highlight w:val="none"/>
                <w:lang w:val="en-US" w:eastAsia="zh-CN"/>
              </w:rPr>
              <w:t>85000.00</w:t>
            </w:r>
            <w:r>
              <w:rPr>
                <w:rFonts w:hint="eastAsia" w:ascii="宋体" w:hAnsi="宋体" w:eastAsia="宋体" w:cs="宋体"/>
                <w:bCs/>
                <w:color w:val="auto"/>
                <w:sz w:val="22"/>
                <w:szCs w:val="22"/>
                <w:highlight w:val="none"/>
              </w:rPr>
              <w:t>元）</w:t>
            </w:r>
          </w:p>
        </w:tc>
      </w:tr>
      <w:tr w14:paraId="070CF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38589A2">
            <w:pPr>
              <w:pStyle w:val="7"/>
              <w:spacing w:line="360" w:lineRule="exact"/>
              <w:jc w:val="center"/>
              <w:rPr>
                <w:rFonts w:hAnsi="宋体" w:cs="宋体"/>
                <w:color w:val="auto"/>
                <w:highlight w:val="none"/>
              </w:rPr>
            </w:pPr>
            <w:r>
              <w:rPr>
                <w:rFonts w:hint="eastAsia" w:ascii="宋体" w:hAnsi="宋体" w:cs="Times New Roman"/>
                <w:color w:val="auto"/>
                <w:highlight w:val="none"/>
              </w:rPr>
              <w:t>5</w:t>
            </w:r>
          </w:p>
        </w:tc>
        <w:tc>
          <w:tcPr>
            <w:tcW w:w="1711" w:type="dxa"/>
            <w:vAlign w:val="center"/>
          </w:tcPr>
          <w:p w14:paraId="412DF912">
            <w:pPr>
              <w:pStyle w:val="7"/>
              <w:spacing w:line="360" w:lineRule="exact"/>
              <w:jc w:val="center"/>
              <w:rPr>
                <w:rFonts w:hAnsi="宋体" w:cs="宋体"/>
                <w:color w:val="auto"/>
                <w:highlight w:val="none"/>
              </w:rPr>
            </w:pPr>
            <w:r>
              <w:rPr>
                <w:rFonts w:hint="eastAsia" w:hAnsi="宋体" w:cs="宋体"/>
                <w:color w:val="auto"/>
                <w:highlight w:val="none"/>
              </w:rPr>
              <w:t>资金来源</w:t>
            </w:r>
          </w:p>
        </w:tc>
        <w:tc>
          <w:tcPr>
            <w:tcW w:w="6418" w:type="dxa"/>
            <w:vAlign w:val="center"/>
          </w:tcPr>
          <w:p w14:paraId="462434D2">
            <w:pPr>
              <w:pStyle w:val="7"/>
              <w:spacing w:line="360" w:lineRule="exact"/>
              <w:rPr>
                <w:rFonts w:hAnsi="宋体" w:cs="宋体"/>
                <w:color w:val="auto"/>
                <w:highlight w:val="none"/>
              </w:rPr>
            </w:pPr>
            <w:r>
              <w:rPr>
                <w:rFonts w:hint="eastAsia" w:hAnsi="宋体" w:cs="宋体"/>
                <w:color w:val="auto"/>
                <w:highlight w:val="none"/>
              </w:rPr>
              <w:t>自</w:t>
            </w:r>
            <w:r>
              <w:rPr>
                <w:rFonts w:hAnsi="宋体" w:cs="宋体"/>
                <w:color w:val="auto"/>
                <w:highlight w:val="none"/>
              </w:rPr>
              <w:t>有资金</w:t>
            </w:r>
          </w:p>
        </w:tc>
      </w:tr>
      <w:tr w14:paraId="37BE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72" w:type="dxa"/>
            <w:vAlign w:val="center"/>
          </w:tcPr>
          <w:p w14:paraId="01751481">
            <w:pPr>
              <w:pStyle w:val="7"/>
              <w:spacing w:line="360" w:lineRule="exact"/>
              <w:jc w:val="center"/>
              <w:rPr>
                <w:rFonts w:hAnsi="宋体" w:cs="宋体"/>
                <w:color w:val="auto"/>
                <w:highlight w:val="none"/>
              </w:rPr>
            </w:pPr>
            <w:r>
              <w:rPr>
                <w:rFonts w:hint="eastAsia" w:ascii="宋体" w:hAnsi="宋体" w:cs="Times New Roman"/>
                <w:color w:val="auto"/>
                <w:highlight w:val="none"/>
              </w:rPr>
              <w:t>6</w:t>
            </w:r>
          </w:p>
        </w:tc>
        <w:tc>
          <w:tcPr>
            <w:tcW w:w="1711" w:type="dxa"/>
            <w:vAlign w:val="center"/>
          </w:tcPr>
          <w:p w14:paraId="069B5764">
            <w:pPr>
              <w:pStyle w:val="7"/>
              <w:spacing w:line="360" w:lineRule="exact"/>
              <w:jc w:val="center"/>
              <w:rPr>
                <w:rFonts w:hAnsi="宋体" w:cs="宋体"/>
                <w:color w:val="auto"/>
                <w:highlight w:val="none"/>
              </w:rPr>
            </w:pPr>
            <w:r>
              <w:rPr>
                <w:rFonts w:hint="eastAsia" w:hAnsi="宋体" w:cs="宋体"/>
                <w:color w:val="auto"/>
                <w:highlight w:val="none"/>
              </w:rPr>
              <w:t>采购文件的获取</w:t>
            </w:r>
          </w:p>
        </w:tc>
        <w:tc>
          <w:tcPr>
            <w:tcW w:w="6418" w:type="dxa"/>
            <w:vAlign w:val="center"/>
          </w:tcPr>
          <w:p w14:paraId="4AC25C70">
            <w:pPr>
              <w:pStyle w:val="7"/>
              <w:spacing w:line="360" w:lineRule="exact"/>
              <w:rPr>
                <w:rFonts w:hAnsi="宋体" w:cs="宋体"/>
                <w:color w:val="auto"/>
                <w:spacing w:val="6"/>
                <w:kern w:val="48"/>
                <w:highlight w:val="none"/>
              </w:rPr>
            </w:pPr>
            <w:r>
              <w:rPr>
                <w:rFonts w:hint="eastAsia" w:hAnsi="宋体" w:cs="宋体"/>
                <w:color w:val="auto"/>
                <w:highlight w:val="none"/>
              </w:rPr>
              <w:t>服务商在广西自贸区钦州港片区开发投资集团有限责任公司网站</w:t>
            </w:r>
            <w:r>
              <w:rPr>
                <w:rFonts w:hint="eastAsia" w:hAnsi="宋体"/>
                <w:color w:val="auto"/>
                <w:highlight w:val="none"/>
              </w:rPr>
              <w:fldChar w:fldCharType="begin"/>
            </w:r>
            <w:r>
              <w:rPr>
                <w:rFonts w:hAnsi="宋体"/>
                <w:color w:val="auto"/>
                <w:highlight w:val="none"/>
              </w:rPr>
              <w:instrText xml:space="preserve"> HYPERLINK "http://www.qbtzjt.com" </w:instrText>
            </w:r>
            <w:r>
              <w:rPr>
                <w:rFonts w:hint="eastAsia" w:hAnsi="宋体"/>
                <w:color w:val="auto"/>
                <w:highlight w:val="none"/>
              </w:rPr>
              <w:fldChar w:fldCharType="separate"/>
            </w:r>
            <w:r>
              <w:rPr>
                <w:rStyle w:val="14"/>
                <w:rFonts w:hint="eastAsia" w:hAnsi="宋体" w:cs="宋体"/>
                <w:color w:val="auto"/>
                <w:highlight w:val="none"/>
              </w:rPr>
              <w:t>http://www.qzmktjt.com</w:t>
            </w:r>
            <w:r>
              <w:rPr>
                <w:rStyle w:val="14"/>
                <w:rFonts w:hint="eastAsia" w:hAnsi="宋体" w:cs="宋体"/>
                <w:color w:val="auto"/>
                <w:highlight w:val="none"/>
              </w:rPr>
              <w:fldChar w:fldCharType="end"/>
            </w:r>
            <w:r>
              <w:rPr>
                <w:rFonts w:hint="eastAsia" w:hAnsi="宋体" w:cs="宋体"/>
                <w:color w:val="auto"/>
                <w:highlight w:val="none"/>
              </w:rPr>
              <w:t>获取（下载）采购文件</w:t>
            </w:r>
          </w:p>
        </w:tc>
      </w:tr>
      <w:tr w14:paraId="2950D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EC168B6">
            <w:pPr>
              <w:pStyle w:val="7"/>
              <w:spacing w:line="360" w:lineRule="exact"/>
              <w:jc w:val="center"/>
              <w:rPr>
                <w:rFonts w:hAnsi="宋体" w:cs="宋体"/>
                <w:color w:val="auto"/>
                <w:highlight w:val="none"/>
              </w:rPr>
            </w:pPr>
            <w:r>
              <w:rPr>
                <w:rFonts w:hint="eastAsia" w:ascii="宋体" w:hAnsi="宋体" w:cs="Times New Roman"/>
                <w:color w:val="auto"/>
                <w:highlight w:val="none"/>
              </w:rPr>
              <w:t>7</w:t>
            </w:r>
          </w:p>
        </w:tc>
        <w:tc>
          <w:tcPr>
            <w:tcW w:w="1711" w:type="dxa"/>
            <w:vAlign w:val="center"/>
          </w:tcPr>
          <w:p w14:paraId="6B93BEE9">
            <w:pPr>
              <w:pStyle w:val="7"/>
              <w:spacing w:line="360" w:lineRule="exact"/>
              <w:jc w:val="center"/>
              <w:rPr>
                <w:rFonts w:hAnsi="宋体" w:cs="宋体"/>
                <w:color w:val="auto"/>
                <w:highlight w:val="none"/>
              </w:rPr>
            </w:pPr>
            <w:r>
              <w:rPr>
                <w:rFonts w:hint="eastAsia" w:hAnsi="宋体"/>
                <w:color w:val="auto"/>
                <w:highlight w:val="none"/>
              </w:rPr>
              <w:t>服务商</w:t>
            </w:r>
            <w:r>
              <w:rPr>
                <w:rFonts w:hint="eastAsia" w:hAnsi="宋体" w:cs="宋体"/>
                <w:color w:val="auto"/>
                <w:highlight w:val="none"/>
              </w:rPr>
              <w:t>应具备的资格条件</w:t>
            </w:r>
          </w:p>
        </w:tc>
        <w:tc>
          <w:tcPr>
            <w:tcW w:w="6418" w:type="dxa"/>
            <w:vAlign w:val="center"/>
          </w:tcPr>
          <w:p w14:paraId="694CB227">
            <w:pPr>
              <w:spacing w:line="240" w:lineRule="atLeast"/>
              <w:ind w:left="1199" w:leftChars="228" w:hanging="720" w:hangingChars="3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1</w:t>
            </w:r>
            <w:r>
              <w:rPr>
                <w:rFonts w:hint="eastAsia" w:ascii="宋体" w:hAnsi="宋体" w:eastAsia="宋体" w:cs="宋体"/>
                <w:bCs/>
                <w:color w:val="auto"/>
                <w:sz w:val="24"/>
                <w:szCs w:val="24"/>
                <w:highlight w:val="none"/>
              </w:rPr>
              <w:t>.服务商应当具备下列条件：</w:t>
            </w:r>
          </w:p>
          <w:p w14:paraId="3684102E">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highlight w:val="none"/>
              </w:rPr>
              <w:t>（</w:t>
            </w:r>
            <w:r>
              <w:rPr>
                <w:rFonts w:hint="eastAsia" w:ascii="宋体" w:hAnsi="宋体" w:eastAsia="宋体" w:cs="Times New Roman"/>
                <w:bCs/>
                <w:color w:val="auto"/>
                <w:sz w:val="24"/>
                <w:highlight w:val="none"/>
              </w:rPr>
              <w:t>1</w:t>
            </w:r>
            <w:r>
              <w:rPr>
                <w:rFonts w:hint="eastAsia" w:ascii="宋体" w:hAnsi="宋体" w:eastAsia="宋体" w:cs="宋体"/>
                <w:bCs/>
                <w:color w:val="auto"/>
                <w:sz w:val="24"/>
                <w:highlight w:val="none"/>
              </w:rPr>
              <w:t>）</w:t>
            </w:r>
            <w:r>
              <w:rPr>
                <w:rFonts w:hint="eastAsia" w:ascii="宋体" w:hAnsi="宋体" w:eastAsia="宋体" w:cs="宋体"/>
                <w:bCs/>
                <w:color w:val="auto"/>
                <w:sz w:val="24"/>
                <w:szCs w:val="24"/>
                <w:highlight w:val="none"/>
              </w:rPr>
              <w:t>国内注册（指按国家有关规定要求注册），具有有效的营业执照。</w:t>
            </w:r>
          </w:p>
          <w:p w14:paraId="5E9F6323">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宋体" w:hAnsi="宋体" w:eastAsia="宋体" w:cs="Times New Roman"/>
                <w:bCs/>
                <w:color w:val="auto"/>
                <w:sz w:val="24"/>
                <w:highlight w:val="none"/>
              </w:rPr>
              <w:t>2</w:t>
            </w:r>
            <w:r>
              <w:rPr>
                <w:rFonts w:hint="eastAsia" w:ascii="宋体" w:hAnsi="宋体" w:eastAsia="宋体" w:cs="宋体"/>
                <w:bCs/>
                <w:color w:val="auto"/>
                <w:sz w:val="24"/>
                <w:highlight w:val="none"/>
              </w:rPr>
              <w:t>）具有独立承担民事责任的能力；</w:t>
            </w:r>
          </w:p>
          <w:p w14:paraId="4E04AC34">
            <w:pPr>
              <w:pStyle w:val="4"/>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（3）</w:t>
            </w:r>
            <w:r>
              <w:rPr>
                <w:rFonts w:hint="eastAsia" w:ascii="宋体" w:hAnsi="宋体" w:eastAsia="宋体" w:cs="宋体"/>
                <w:bCs/>
                <w:color w:val="auto"/>
                <w:sz w:val="24"/>
                <w:szCs w:val="22"/>
                <w:highlight w:val="none"/>
              </w:rPr>
              <w:t>履行合同所必须的设备和专业技术能力；</w:t>
            </w:r>
          </w:p>
          <w:p w14:paraId="4DC43CDB">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宋体" w:hAnsi="宋体" w:eastAsia="宋体" w:cs="Times New Roman"/>
                <w:bCs/>
                <w:color w:val="auto"/>
                <w:sz w:val="24"/>
                <w:highlight w:val="none"/>
              </w:rPr>
              <w:t>4</w:t>
            </w:r>
            <w:r>
              <w:rPr>
                <w:rFonts w:hint="eastAsia" w:ascii="宋体" w:hAnsi="宋体" w:eastAsia="宋体" w:cs="宋体"/>
                <w:bCs/>
                <w:color w:val="auto"/>
                <w:sz w:val="24"/>
                <w:highlight w:val="none"/>
              </w:rPr>
              <w:t>）参加采购活动前三年内，在经营活动中没有重大违法记录（由竞标人提供证明或采购人在“信用中国”网站查询）；</w:t>
            </w:r>
          </w:p>
          <w:p w14:paraId="4B98F078">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（5）近3年内（自202</w:t>
            </w:r>
            <w:r>
              <w:rPr>
                <w:rFonts w:hint="eastAsia" w:ascii="宋体" w:hAnsi="宋体" w:eastAsia="宋体" w:cs="宋体"/>
                <w:bCs/>
                <w:color w:val="auto"/>
                <w:sz w:val="24"/>
                <w:highlight w:val="none"/>
                <w:lang w:val="en-US" w:eastAsia="zh-CN"/>
              </w:rPr>
              <w:t>3</w:t>
            </w:r>
            <w:r>
              <w:rPr>
                <w:rFonts w:hint="eastAsia" w:ascii="宋体" w:hAnsi="宋体" w:eastAsia="宋体" w:cs="宋体"/>
                <w:bCs/>
                <w:color w:val="auto"/>
                <w:sz w:val="24"/>
                <w:highlight w:val="none"/>
              </w:rPr>
              <w:t>年1月1日以来）具有相应或类似的业绩，并附上相应的合同复印件，至少需提供</w:t>
            </w:r>
            <w:r>
              <w:rPr>
                <w:rFonts w:hint="eastAsia" w:ascii="宋体" w:hAnsi="宋体" w:eastAsia="宋体" w:cs="宋体"/>
                <w:bCs/>
                <w:color w:val="auto"/>
                <w:sz w:val="24"/>
                <w:highlight w:val="none"/>
                <w:lang w:val="en-US" w:eastAsia="zh-CN"/>
              </w:rPr>
              <w:t>1</w:t>
            </w:r>
            <w:r>
              <w:rPr>
                <w:rFonts w:hint="eastAsia" w:ascii="宋体" w:hAnsi="宋体" w:eastAsia="宋体" w:cs="宋体"/>
                <w:bCs/>
                <w:color w:val="auto"/>
                <w:sz w:val="24"/>
                <w:highlight w:val="none"/>
              </w:rPr>
              <w:t>个及以上相应或类似的服务业绩。</w:t>
            </w:r>
          </w:p>
          <w:p w14:paraId="64FA34E3">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2</w:t>
            </w:r>
            <w:r>
              <w:rPr>
                <w:rFonts w:hint="eastAsia" w:ascii="宋体" w:hAnsi="宋体" w:eastAsia="宋体" w:cs="宋体"/>
                <w:bCs/>
                <w:color w:val="auto"/>
                <w:sz w:val="24"/>
                <w:szCs w:val="24"/>
                <w:highlight w:val="none"/>
              </w:rPr>
              <w:t>.单位负责人为同一人或者存在直接控股、管理关系的不同服务商，不得参加同一合同项下的采购活动。</w:t>
            </w:r>
          </w:p>
          <w:p w14:paraId="4C3FD30A">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3</w:t>
            </w:r>
            <w:r>
              <w:rPr>
                <w:rFonts w:hint="eastAsia" w:ascii="宋体" w:hAnsi="宋体" w:eastAsia="宋体" w:cs="宋体"/>
                <w:bCs/>
                <w:color w:val="auto"/>
                <w:sz w:val="24"/>
                <w:szCs w:val="24"/>
                <w:highlight w:val="none"/>
              </w:rPr>
              <w:t>.参加采购活动前三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6A0D0288">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4</w:t>
            </w:r>
            <w:r>
              <w:rPr>
                <w:rFonts w:hint="eastAsia" w:ascii="宋体" w:hAnsi="宋体" w:eastAsia="宋体" w:cs="宋体"/>
                <w:bCs/>
                <w:color w:val="auto"/>
                <w:sz w:val="24"/>
                <w:szCs w:val="24"/>
                <w:highlight w:val="none"/>
              </w:rPr>
              <w:t>.法律、行政法规规定的其他条件。</w:t>
            </w:r>
          </w:p>
          <w:p w14:paraId="5AFBD41A">
            <w:pPr>
              <w:spacing w:line="240" w:lineRule="atLeast"/>
              <w:ind w:firstLine="480" w:firstLineChars="200"/>
              <w:rPr>
                <w:rFonts w:ascii="宋体" w:hAnsi="宋体" w:eastAsia="宋体" w:cs="宋体"/>
                <w:bCs/>
                <w:color w:val="auto"/>
                <w:sz w:val="24"/>
                <w:szCs w:val="24"/>
                <w:highlight w:val="none"/>
              </w:rPr>
            </w:pPr>
            <w:r>
              <w:rPr>
                <w:rFonts w:ascii="宋体" w:hAnsi="宋体" w:eastAsia="宋体" w:cs="Times New Roman"/>
                <w:bCs/>
                <w:color w:val="auto"/>
                <w:sz w:val="24"/>
                <w:szCs w:val="24"/>
                <w:highlight w:val="none"/>
              </w:rPr>
              <w:t>5</w:t>
            </w:r>
            <w:r>
              <w:rPr>
                <w:rFonts w:hint="eastAsia" w:ascii="宋体" w:hAnsi="宋体" w:eastAsia="宋体" w:cs="宋体"/>
                <w:bCs/>
                <w:color w:val="auto"/>
                <w:sz w:val="24"/>
                <w:szCs w:val="24"/>
                <w:highlight w:val="none"/>
              </w:rPr>
              <w:t>.本项目的特定资格要求：无</w:t>
            </w:r>
          </w:p>
          <w:p w14:paraId="31EBC038">
            <w:pPr>
              <w:spacing w:line="400" w:lineRule="exact"/>
              <w:jc w:val="left"/>
              <w:rPr>
                <w:rFonts w:ascii="宋体" w:hAnsi="宋体" w:eastAsia="宋体" w:cs="宋体"/>
                <w:color w:val="auto"/>
                <w:spacing w:val="6"/>
                <w:kern w:val="48"/>
                <w:highlight w:val="none"/>
              </w:rPr>
            </w:pPr>
          </w:p>
        </w:tc>
      </w:tr>
      <w:tr w14:paraId="0E8A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6DE3874">
            <w:pPr>
              <w:pStyle w:val="7"/>
              <w:spacing w:line="360" w:lineRule="exact"/>
              <w:jc w:val="center"/>
              <w:rPr>
                <w:rFonts w:hAnsi="宋体" w:cs="宋体"/>
                <w:color w:val="auto"/>
                <w:highlight w:val="none"/>
              </w:rPr>
            </w:pPr>
            <w:r>
              <w:rPr>
                <w:rFonts w:hint="eastAsia" w:hAnsi="宋体" w:cs="宋体"/>
                <w:color w:val="auto"/>
                <w:highlight w:val="none"/>
              </w:rPr>
              <w:t>8</w:t>
            </w:r>
          </w:p>
        </w:tc>
        <w:tc>
          <w:tcPr>
            <w:tcW w:w="1711" w:type="dxa"/>
            <w:vAlign w:val="center"/>
          </w:tcPr>
          <w:p w14:paraId="78EC48EF">
            <w:pPr>
              <w:pStyle w:val="7"/>
              <w:spacing w:line="360" w:lineRule="exact"/>
              <w:jc w:val="center"/>
              <w:rPr>
                <w:rFonts w:hAnsi="宋体" w:cs="宋体"/>
                <w:color w:val="auto"/>
                <w:highlight w:val="none"/>
              </w:rPr>
            </w:pPr>
            <w:r>
              <w:rPr>
                <w:rFonts w:hint="eastAsia" w:hAnsi="宋体" w:cs="宋体"/>
                <w:color w:val="auto"/>
                <w:highlight w:val="none"/>
              </w:rPr>
              <w:t>是否接受联合体竞标</w:t>
            </w:r>
          </w:p>
        </w:tc>
        <w:tc>
          <w:tcPr>
            <w:tcW w:w="6418" w:type="dxa"/>
            <w:vAlign w:val="center"/>
          </w:tcPr>
          <w:p w14:paraId="3C2C4F58">
            <w:pPr>
              <w:pStyle w:val="7"/>
              <w:spacing w:line="360" w:lineRule="exact"/>
              <w:rPr>
                <w:rFonts w:hAnsi="宋体" w:cs="宋体"/>
                <w:color w:val="auto"/>
                <w:highlight w:val="none"/>
              </w:rPr>
            </w:pPr>
            <w:r>
              <w:rPr>
                <w:rFonts w:hint="eastAsia" w:hAnsi="宋体" w:cs="宋体"/>
                <w:color w:val="auto"/>
                <w:highlight w:val="none"/>
              </w:rPr>
              <w:sym w:font="Wingdings 2" w:char="00A3"/>
            </w:r>
            <w:r>
              <w:rPr>
                <w:rFonts w:hint="eastAsia" w:hAnsi="宋体" w:cs="宋体"/>
                <w:color w:val="auto"/>
                <w:highlight w:val="none"/>
              </w:rPr>
              <w:t xml:space="preserve">接受联合体竞标  </w:t>
            </w:r>
            <w:r>
              <w:rPr>
                <w:rFonts w:hint="eastAsia" w:hAnsi="宋体" w:cs="宋体"/>
                <w:color w:val="auto"/>
                <w:highlight w:val="none"/>
              </w:rPr>
              <w:sym w:font="Wingdings 2" w:char="0052"/>
            </w:r>
            <w:r>
              <w:rPr>
                <w:rFonts w:hint="eastAsia" w:hAnsi="宋体" w:cs="宋体"/>
                <w:color w:val="auto"/>
                <w:highlight w:val="none"/>
              </w:rPr>
              <w:t>不接受联合体竞标</w:t>
            </w:r>
          </w:p>
        </w:tc>
      </w:tr>
      <w:tr w14:paraId="14B25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72" w:type="dxa"/>
            <w:vAlign w:val="center"/>
          </w:tcPr>
          <w:p w14:paraId="67D615D1">
            <w:pPr>
              <w:pStyle w:val="7"/>
              <w:spacing w:line="360" w:lineRule="exact"/>
              <w:jc w:val="center"/>
              <w:rPr>
                <w:rFonts w:hAnsi="宋体" w:cs="宋体"/>
                <w:color w:val="auto"/>
                <w:highlight w:val="none"/>
              </w:rPr>
            </w:pPr>
            <w:r>
              <w:rPr>
                <w:rFonts w:hint="eastAsia" w:hAnsi="宋体" w:cs="宋体"/>
                <w:color w:val="auto"/>
                <w:highlight w:val="none"/>
              </w:rPr>
              <w:t>9</w:t>
            </w:r>
          </w:p>
        </w:tc>
        <w:tc>
          <w:tcPr>
            <w:tcW w:w="1711" w:type="dxa"/>
            <w:vAlign w:val="center"/>
          </w:tcPr>
          <w:p w14:paraId="7D248591">
            <w:pPr>
              <w:pStyle w:val="7"/>
              <w:spacing w:line="360" w:lineRule="exact"/>
              <w:jc w:val="center"/>
              <w:rPr>
                <w:rFonts w:hAnsi="宋体" w:cs="宋体"/>
                <w:color w:val="auto"/>
                <w:highlight w:val="none"/>
              </w:rPr>
            </w:pPr>
            <w:r>
              <w:rPr>
                <w:rFonts w:hint="eastAsia" w:hAnsi="宋体" w:cs="宋体"/>
                <w:color w:val="auto"/>
                <w:highlight w:val="none"/>
              </w:rPr>
              <w:t>响应文件份数</w:t>
            </w:r>
          </w:p>
        </w:tc>
        <w:tc>
          <w:tcPr>
            <w:tcW w:w="6418" w:type="dxa"/>
            <w:vAlign w:val="center"/>
          </w:tcPr>
          <w:p w14:paraId="48F64A70">
            <w:pPr>
              <w:pStyle w:val="7"/>
              <w:spacing w:line="360" w:lineRule="exact"/>
              <w:rPr>
                <w:rFonts w:hAnsi="宋体"/>
                <w:color w:val="auto"/>
                <w:highlight w:val="none"/>
              </w:rPr>
            </w:pPr>
            <w:r>
              <w:rPr>
                <w:rFonts w:hint="eastAsia" w:hAnsi="宋体"/>
                <w:color w:val="auto"/>
                <w:highlight w:val="none"/>
              </w:rPr>
              <w:t>响应文件：</w:t>
            </w:r>
            <w:r>
              <w:rPr>
                <w:rFonts w:hint="eastAsia" w:hAnsi="宋体"/>
                <w:b/>
                <w:bCs/>
                <w:color w:val="auto"/>
                <w:highlight w:val="none"/>
              </w:rPr>
              <w:t>正本</w:t>
            </w:r>
            <w:r>
              <w:rPr>
                <w:rFonts w:ascii="宋体" w:hAnsi="宋体" w:cs="Times New Roman"/>
                <w:b/>
                <w:bCs/>
                <w:color w:val="auto"/>
                <w:highlight w:val="none"/>
              </w:rPr>
              <w:t>1</w:t>
            </w:r>
            <w:r>
              <w:rPr>
                <w:rFonts w:hint="eastAsia" w:hAnsi="宋体"/>
                <w:b/>
                <w:bCs/>
                <w:color w:val="auto"/>
                <w:highlight w:val="none"/>
              </w:rPr>
              <w:t>份，副本</w:t>
            </w:r>
            <w:r>
              <w:rPr>
                <w:rFonts w:hint="eastAsia" w:ascii="宋体" w:hAnsi="宋体" w:cs="Times New Roman"/>
                <w:b/>
                <w:bCs/>
                <w:color w:val="auto"/>
                <w:highlight w:val="none"/>
              </w:rPr>
              <w:t>2</w:t>
            </w:r>
            <w:r>
              <w:rPr>
                <w:rFonts w:hint="eastAsia" w:hAnsi="宋体"/>
                <w:b/>
                <w:bCs/>
                <w:color w:val="auto"/>
                <w:highlight w:val="none"/>
              </w:rPr>
              <w:t>份</w:t>
            </w:r>
          </w:p>
          <w:p w14:paraId="0515B437">
            <w:pPr>
              <w:rPr>
                <w:rFonts w:ascii="宋体" w:hAnsi="宋体" w:eastAsia="宋体"/>
                <w:color w:val="auto"/>
                <w:highlight w:val="none"/>
              </w:rPr>
            </w:pPr>
            <w:r>
              <w:rPr>
                <w:rFonts w:hint="eastAsia" w:ascii="宋体" w:hAnsi="宋体" w:eastAsia="宋体" w:cs="宋体"/>
                <w:color w:val="auto"/>
                <w:spacing w:val="6"/>
                <w:kern w:val="48"/>
                <w:szCs w:val="21"/>
                <w:highlight w:val="none"/>
              </w:rPr>
              <w:t>服务商必须在首次</w:t>
            </w:r>
            <w:r>
              <w:rPr>
                <w:rFonts w:hint="eastAsia" w:ascii="宋体" w:hAnsi="宋体" w:eastAsia="宋体" w:cs="宋体"/>
                <w:color w:val="auto"/>
                <w:highlight w:val="none"/>
              </w:rPr>
              <w:t>响应文件提交截止时间</w:t>
            </w:r>
            <w:r>
              <w:rPr>
                <w:rFonts w:hint="eastAsia" w:ascii="宋体" w:hAnsi="宋体" w:eastAsia="宋体" w:cs="宋体"/>
                <w:color w:val="auto"/>
                <w:spacing w:val="6"/>
                <w:kern w:val="48"/>
                <w:szCs w:val="21"/>
                <w:highlight w:val="none"/>
              </w:rPr>
              <w:t>前，将响应文件密封送达指定地点。在首次响应文件提交截止时间后送达的响应文件为无效文件，采购人应当拒收。</w:t>
            </w:r>
          </w:p>
        </w:tc>
      </w:tr>
      <w:tr w14:paraId="7D176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E325C79">
            <w:pPr>
              <w:pStyle w:val="7"/>
              <w:spacing w:line="360" w:lineRule="exact"/>
              <w:jc w:val="center"/>
              <w:rPr>
                <w:rFonts w:hAnsi="宋体" w:cs="宋体"/>
                <w:color w:val="auto"/>
                <w:highlight w:val="none"/>
              </w:rPr>
            </w:pPr>
            <w:r>
              <w:rPr>
                <w:rFonts w:hint="eastAsia" w:hAnsi="宋体" w:cs="宋体"/>
                <w:color w:val="auto"/>
                <w:highlight w:val="none"/>
              </w:rPr>
              <w:t>10</w:t>
            </w:r>
          </w:p>
        </w:tc>
        <w:tc>
          <w:tcPr>
            <w:tcW w:w="1711" w:type="dxa"/>
            <w:vAlign w:val="center"/>
          </w:tcPr>
          <w:p w14:paraId="6E041FB3">
            <w:pPr>
              <w:pStyle w:val="7"/>
              <w:spacing w:line="360" w:lineRule="exact"/>
              <w:jc w:val="center"/>
              <w:rPr>
                <w:rFonts w:hAnsi="宋体" w:cs="宋体"/>
                <w:color w:val="auto"/>
                <w:highlight w:val="none"/>
              </w:rPr>
            </w:pPr>
            <w:r>
              <w:rPr>
                <w:rFonts w:hint="eastAsia" w:hAnsi="宋体" w:cs="宋体"/>
                <w:color w:val="auto"/>
                <w:highlight w:val="none"/>
              </w:rPr>
              <w:t>评审方法</w:t>
            </w:r>
          </w:p>
        </w:tc>
        <w:tc>
          <w:tcPr>
            <w:tcW w:w="6418" w:type="dxa"/>
            <w:vAlign w:val="center"/>
          </w:tcPr>
          <w:p w14:paraId="5B7267F7">
            <w:pPr>
              <w:rPr>
                <w:rFonts w:ascii="宋体" w:hAnsi="宋体" w:eastAsia="宋体" w:cs="宋体"/>
                <w:color w:val="auto"/>
                <w:highlight w:val="none"/>
              </w:rPr>
            </w:pPr>
            <w:r>
              <w:rPr>
                <w:rFonts w:hint="eastAsia" w:ascii="宋体" w:hAnsi="宋体" w:eastAsia="宋体" w:cs="宋体"/>
                <w:color w:val="auto"/>
                <w:highlight w:val="none"/>
              </w:rPr>
              <w:t>满足采购文件的实质性要求，且经评审得分最高的供应商为成交供应商。</w:t>
            </w:r>
          </w:p>
        </w:tc>
      </w:tr>
      <w:tr w14:paraId="76CFE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72" w:type="dxa"/>
            <w:vAlign w:val="center"/>
          </w:tcPr>
          <w:p w14:paraId="5444BFF0">
            <w:pPr>
              <w:pStyle w:val="7"/>
              <w:spacing w:line="360" w:lineRule="exact"/>
              <w:jc w:val="center"/>
              <w:rPr>
                <w:rFonts w:hAnsi="宋体" w:cs="宋体"/>
                <w:color w:val="auto"/>
                <w:highlight w:val="none"/>
              </w:rPr>
            </w:pPr>
            <w:r>
              <w:rPr>
                <w:rFonts w:hint="eastAsia" w:hAnsi="宋体" w:cs="宋体"/>
                <w:color w:val="auto"/>
                <w:highlight w:val="none"/>
              </w:rPr>
              <w:t>11</w:t>
            </w:r>
          </w:p>
        </w:tc>
        <w:tc>
          <w:tcPr>
            <w:tcW w:w="1711" w:type="dxa"/>
            <w:vAlign w:val="center"/>
          </w:tcPr>
          <w:p w14:paraId="071A7547">
            <w:pPr>
              <w:pStyle w:val="7"/>
              <w:spacing w:line="360" w:lineRule="exact"/>
              <w:jc w:val="center"/>
              <w:rPr>
                <w:rFonts w:hAnsi="宋体" w:cs="宋体"/>
                <w:color w:val="auto"/>
                <w:highlight w:val="none"/>
              </w:rPr>
            </w:pPr>
            <w:r>
              <w:rPr>
                <w:rFonts w:hint="eastAsia" w:hAnsi="宋体" w:cs="宋体"/>
                <w:color w:val="auto"/>
                <w:highlight w:val="none"/>
              </w:rPr>
              <w:t>竞标有效期</w:t>
            </w:r>
          </w:p>
        </w:tc>
        <w:tc>
          <w:tcPr>
            <w:tcW w:w="6418" w:type="dxa"/>
            <w:vAlign w:val="center"/>
          </w:tcPr>
          <w:p w14:paraId="02CABFF5">
            <w:pPr>
              <w:pStyle w:val="7"/>
              <w:spacing w:line="360" w:lineRule="exact"/>
              <w:rPr>
                <w:rFonts w:hAnsi="宋体" w:cs="宋体"/>
                <w:color w:val="auto"/>
                <w:highlight w:val="none"/>
              </w:rPr>
            </w:pPr>
            <w:r>
              <w:rPr>
                <w:rFonts w:hint="eastAsia" w:hAnsi="宋体" w:cs="宋体"/>
                <w:color w:val="auto"/>
                <w:highlight w:val="none"/>
              </w:rPr>
              <w:t>自竞标截止时间起</w:t>
            </w:r>
            <w:r>
              <w:rPr>
                <w:rFonts w:ascii="宋体" w:hAnsi="宋体" w:cs="Times New Roman"/>
                <w:color w:val="auto"/>
                <w:highlight w:val="none"/>
              </w:rPr>
              <w:t>60</w:t>
            </w:r>
            <w:r>
              <w:rPr>
                <w:rFonts w:hint="eastAsia" w:hAnsi="宋体" w:cs="宋体"/>
                <w:color w:val="auto"/>
                <w:highlight w:val="none"/>
              </w:rPr>
              <w:t>天</w:t>
            </w:r>
          </w:p>
        </w:tc>
      </w:tr>
      <w:tr w14:paraId="21C3A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73594483">
            <w:pPr>
              <w:pStyle w:val="7"/>
              <w:spacing w:line="360" w:lineRule="exact"/>
              <w:jc w:val="center"/>
              <w:rPr>
                <w:rFonts w:hAnsi="宋体" w:cs="宋体"/>
                <w:color w:val="auto"/>
                <w:highlight w:val="none"/>
              </w:rPr>
            </w:pPr>
            <w:r>
              <w:rPr>
                <w:rFonts w:ascii="宋体" w:hAnsi="宋体" w:cs="Times New Roman"/>
                <w:color w:val="auto"/>
                <w:highlight w:val="none"/>
              </w:rPr>
              <w:t>1</w:t>
            </w:r>
            <w:r>
              <w:rPr>
                <w:rFonts w:hint="eastAsia" w:ascii="宋体" w:hAnsi="宋体" w:cs="Times New Roman"/>
                <w:color w:val="auto"/>
                <w:highlight w:val="none"/>
              </w:rPr>
              <w:t>2</w:t>
            </w:r>
          </w:p>
        </w:tc>
        <w:tc>
          <w:tcPr>
            <w:tcW w:w="1711" w:type="dxa"/>
            <w:vAlign w:val="center"/>
          </w:tcPr>
          <w:p w14:paraId="4BA5E59E">
            <w:pPr>
              <w:pStyle w:val="7"/>
              <w:spacing w:line="360" w:lineRule="exact"/>
              <w:jc w:val="center"/>
              <w:rPr>
                <w:rFonts w:hAnsi="宋体" w:cs="宋体"/>
                <w:color w:val="auto"/>
                <w:highlight w:val="none"/>
              </w:rPr>
            </w:pPr>
            <w:r>
              <w:rPr>
                <w:rFonts w:hint="eastAsia" w:hAnsi="宋体" w:cs="宋体"/>
                <w:color w:val="auto"/>
                <w:highlight w:val="none"/>
              </w:rPr>
              <w:t>竞标保证金金额</w:t>
            </w:r>
          </w:p>
        </w:tc>
        <w:tc>
          <w:tcPr>
            <w:tcW w:w="6418" w:type="dxa"/>
            <w:vAlign w:val="center"/>
          </w:tcPr>
          <w:p w14:paraId="528A641D">
            <w:pPr>
              <w:pStyle w:val="7"/>
              <w:spacing w:line="360" w:lineRule="exact"/>
              <w:rPr>
                <w:rFonts w:hAnsi="宋体" w:cs="宋体"/>
                <w:color w:val="auto"/>
                <w:highlight w:val="none"/>
              </w:rPr>
            </w:pPr>
            <w:r>
              <w:rPr>
                <w:rFonts w:hint="eastAsia" w:hAnsi="宋体" w:cs="宋体"/>
                <w:color w:val="auto"/>
                <w:spacing w:val="6"/>
                <w:kern w:val="48"/>
                <w:highlight w:val="none"/>
              </w:rPr>
              <w:t>无</w:t>
            </w:r>
          </w:p>
        </w:tc>
      </w:tr>
      <w:tr w14:paraId="5C932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C63838F">
            <w:pPr>
              <w:pStyle w:val="7"/>
              <w:spacing w:line="360" w:lineRule="exact"/>
              <w:jc w:val="center"/>
              <w:rPr>
                <w:rFonts w:hAnsi="宋体" w:cs="宋体"/>
                <w:color w:val="auto"/>
                <w:highlight w:val="none"/>
              </w:rPr>
            </w:pPr>
            <w:r>
              <w:rPr>
                <w:rFonts w:ascii="宋体" w:hAnsi="宋体" w:cs="Times New Roman"/>
                <w:color w:val="auto"/>
                <w:highlight w:val="none"/>
              </w:rPr>
              <w:t>1</w:t>
            </w:r>
            <w:r>
              <w:rPr>
                <w:rFonts w:hint="eastAsia" w:ascii="宋体" w:hAnsi="宋体" w:cs="Times New Roman"/>
                <w:color w:val="auto"/>
                <w:highlight w:val="none"/>
              </w:rPr>
              <w:t>3</w:t>
            </w:r>
          </w:p>
        </w:tc>
        <w:tc>
          <w:tcPr>
            <w:tcW w:w="1711" w:type="dxa"/>
            <w:vAlign w:val="center"/>
          </w:tcPr>
          <w:p w14:paraId="5ECC661D">
            <w:pPr>
              <w:pStyle w:val="7"/>
              <w:spacing w:line="360" w:lineRule="exact"/>
              <w:jc w:val="center"/>
              <w:rPr>
                <w:rFonts w:hAnsi="宋体" w:cs="宋体"/>
                <w:color w:val="auto"/>
                <w:highlight w:val="none"/>
              </w:rPr>
            </w:pPr>
            <w:r>
              <w:rPr>
                <w:rFonts w:hint="eastAsia" w:hAnsi="宋体" w:cs="宋体"/>
                <w:color w:val="auto"/>
                <w:highlight w:val="none"/>
              </w:rPr>
              <w:t>竞标截止时间</w:t>
            </w:r>
          </w:p>
        </w:tc>
        <w:tc>
          <w:tcPr>
            <w:tcW w:w="6418" w:type="dxa"/>
            <w:vAlign w:val="center"/>
          </w:tcPr>
          <w:p w14:paraId="3B949099">
            <w:pPr>
              <w:pStyle w:val="7"/>
              <w:spacing w:line="360" w:lineRule="exact"/>
              <w:rPr>
                <w:rFonts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w:t>
            </w:r>
            <w:r>
              <w:rPr>
                <w:rFonts w:hint="eastAsia" w:hAnsi="宋体" w:cs="宋体"/>
                <w:color w:val="auto"/>
                <w:szCs w:val="24"/>
                <w:highlight w:val="none"/>
              </w:rPr>
              <w:t>一致</w:t>
            </w:r>
          </w:p>
        </w:tc>
      </w:tr>
      <w:tr w14:paraId="3B01B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5690D7D">
            <w:pPr>
              <w:pStyle w:val="7"/>
              <w:spacing w:line="360" w:lineRule="exact"/>
              <w:jc w:val="center"/>
              <w:rPr>
                <w:rFonts w:hAnsi="宋体" w:cs="宋体"/>
                <w:color w:val="auto"/>
                <w:highlight w:val="none"/>
              </w:rPr>
            </w:pPr>
            <w:r>
              <w:rPr>
                <w:rFonts w:ascii="宋体" w:hAnsi="宋体" w:cs="Times New Roman"/>
                <w:color w:val="auto"/>
                <w:highlight w:val="none"/>
              </w:rPr>
              <w:t>1</w:t>
            </w:r>
            <w:r>
              <w:rPr>
                <w:rFonts w:hint="eastAsia" w:ascii="宋体" w:hAnsi="宋体" w:cs="Times New Roman"/>
                <w:color w:val="auto"/>
                <w:highlight w:val="none"/>
              </w:rPr>
              <w:t>4</w:t>
            </w:r>
          </w:p>
        </w:tc>
        <w:tc>
          <w:tcPr>
            <w:tcW w:w="1711" w:type="dxa"/>
            <w:vAlign w:val="center"/>
          </w:tcPr>
          <w:p w14:paraId="59226BF7">
            <w:pPr>
              <w:pStyle w:val="7"/>
              <w:spacing w:line="360" w:lineRule="exact"/>
              <w:jc w:val="center"/>
              <w:rPr>
                <w:rFonts w:hAnsi="宋体" w:cs="宋体"/>
                <w:color w:val="auto"/>
                <w:highlight w:val="none"/>
              </w:rPr>
            </w:pPr>
            <w:r>
              <w:rPr>
                <w:rFonts w:hint="eastAsia" w:hAnsi="宋体" w:cs="宋体"/>
                <w:color w:val="auto"/>
                <w:highlight w:val="none"/>
              </w:rPr>
              <w:t>响应文件提交</w:t>
            </w:r>
          </w:p>
          <w:p w14:paraId="152ED291">
            <w:pPr>
              <w:pStyle w:val="7"/>
              <w:spacing w:line="360" w:lineRule="exact"/>
              <w:jc w:val="center"/>
              <w:rPr>
                <w:rFonts w:hAnsi="宋体" w:cs="宋体"/>
                <w:color w:val="auto"/>
                <w:highlight w:val="none"/>
              </w:rPr>
            </w:pPr>
            <w:r>
              <w:rPr>
                <w:rFonts w:hint="eastAsia" w:hAnsi="宋体" w:cs="宋体"/>
                <w:color w:val="auto"/>
                <w:highlight w:val="none"/>
              </w:rPr>
              <w:t>截止时间和地点</w:t>
            </w:r>
          </w:p>
        </w:tc>
        <w:tc>
          <w:tcPr>
            <w:tcW w:w="6418" w:type="dxa"/>
            <w:vAlign w:val="center"/>
          </w:tcPr>
          <w:p w14:paraId="6D5F6D0A">
            <w:pPr>
              <w:pStyle w:val="7"/>
              <w:spacing w:line="360" w:lineRule="exact"/>
              <w:rPr>
                <w:rFonts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响应文件提交截止时间、地点</w:t>
            </w:r>
            <w:r>
              <w:rPr>
                <w:rFonts w:hint="eastAsia" w:hAnsi="宋体" w:cs="宋体"/>
                <w:color w:val="auto"/>
                <w:szCs w:val="24"/>
                <w:highlight w:val="none"/>
              </w:rPr>
              <w:t>一致</w:t>
            </w:r>
          </w:p>
        </w:tc>
      </w:tr>
      <w:tr w14:paraId="3E76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0DB2AD9">
            <w:pPr>
              <w:pStyle w:val="7"/>
              <w:spacing w:line="360" w:lineRule="exact"/>
              <w:jc w:val="center"/>
              <w:rPr>
                <w:rFonts w:hAnsi="宋体" w:cs="宋体"/>
                <w:color w:val="auto"/>
                <w:highlight w:val="none"/>
              </w:rPr>
            </w:pPr>
            <w:r>
              <w:rPr>
                <w:rFonts w:ascii="宋体" w:hAnsi="宋体" w:cs="Times New Roman"/>
                <w:color w:val="auto"/>
                <w:highlight w:val="none"/>
              </w:rPr>
              <w:t>1</w:t>
            </w:r>
            <w:r>
              <w:rPr>
                <w:rFonts w:hint="eastAsia" w:ascii="宋体" w:hAnsi="宋体" w:cs="Times New Roman"/>
                <w:color w:val="auto"/>
                <w:highlight w:val="none"/>
              </w:rPr>
              <w:t>5</w:t>
            </w:r>
          </w:p>
        </w:tc>
        <w:tc>
          <w:tcPr>
            <w:tcW w:w="1711" w:type="dxa"/>
            <w:vAlign w:val="center"/>
          </w:tcPr>
          <w:p w14:paraId="47B5EA22">
            <w:pPr>
              <w:pStyle w:val="7"/>
              <w:spacing w:line="360" w:lineRule="exact"/>
              <w:jc w:val="center"/>
              <w:rPr>
                <w:rFonts w:hAnsi="宋体" w:cs="宋体"/>
                <w:color w:val="auto"/>
                <w:highlight w:val="none"/>
              </w:rPr>
            </w:pPr>
            <w:r>
              <w:rPr>
                <w:rFonts w:hint="eastAsia" w:hAnsi="宋体" w:cs="宋体"/>
                <w:color w:val="auto"/>
                <w:highlight w:val="none"/>
              </w:rPr>
              <w:t>开标时间和地点</w:t>
            </w:r>
          </w:p>
        </w:tc>
        <w:tc>
          <w:tcPr>
            <w:tcW w:w="6418" w:type="dxa"/>
            <w:vAlign w:val="center"/>
          </w:tcPr>
          <w:p w14:paraId="03CD9320">
            <w:pPr>
              <w:pStyle w:val="7"/>
              <w:spacing w:line="360" w:lineRule="exact"/>
              <w:rPr>
                <w:rFonts w:hAnsi="宋体" w:cs="宋体"/>
                <w:color w:val="auto"/>
                <w:highlight w:val="none"/>
              </w:rPr>
            </w:pPr>
            <w:r>
              <w:rPr>
                <w:rFonts w:hint="eastAsia" w:hAnsi="宋体" w:cs="宋体"/>
                <w:color w:val="auto"/>
                <w:highlight w:val="none"/>
              </w:rPr>
              <w:t>服务商不需要到达开标现场。采购人要求多次报价的，由采购人另行通知所有提交响应文件的竞标人。</w:t>
            </w:r>
          </w:p>
        </w:tc>
      </w:tr>
      <w:tr w14:paraId="77B8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7BEFAFCC">
            <w:pPr>
              <w:pStyle w:val="7"/>
              <w:adjustRightInd w:val="0"/>
              <w:spacing w:line="360" w:lineRule="exact"/>
              <w:jc w:val="center"/>
              <w:rPr>
                <w:rFonts w:hAnsi="宋体" w:cs="宋体"/>
                <w:color w:val="auto"/>
                <w:highlight w:val="none"/>
              </w:rPr>
            </w:pPr>
            <w:r>
              <w:rPr>
                <w:rFonts w:ascii="宋体" w:hAnsi="宋体" w:cs="Times New Roman"/>
                <w:color w:val="auto"/>
                <w:highlight w:val="none"/>
              </w:rPr>
              <w:t>1</w:t>
            </w:r>
            <w:r>
              <w:rPr>
                <w:rFonts w:hint="eastAsia" w:ascii="宋体" w:hAnsi="宋体" w:cs="Times New Roman"/>
                <w:color w:val="auto"/>
                <w:highlight w:val="none"/>
              </w:rPr>
              <w:t>6</w:t>
            </w:r>
          </w:p>
        </w:tc>
        <w:tc>
          <w:tcPr>
            <w:tcW w:w="1711" w:type="dxa"/>
            <w:vAlign w:val="center"/>
          </w:tcPr>
          <w:p w14:paraId="79F89E1A">
            <w:pPr>
              <w:autoSpaceDE w:val="0"/>
              <w:autoSpaceDN w:val="0"/>
              <w:spacing w:line="360" w:lineRule="exact"/>
              <w:jc w:val="center"/>
              <w:rPr>
                <w:rFonts w:ascii="宋体" w:hAnsi="宋体" w:eastAsia="宋体" w:cs="宋体"/>
                <w:color w:val="auto"/>
                <w:szCs w:val="20"/>
                <w:highlight w:val="none"/>
              </w:rPr>
            </w:pPr>
            <w:r>
              <w:rPr>
                <w:rFonts w:hint="eastAsia" w:ascii="宋体" w:hAnsi="宋体" w:eastAsia="宋体" w:cs="宋体"/>
                <w:color w:val="auto"/>
                <w:szCs w:val="20"/>
                <w:highlight w:val="none"/>
              </w:rPr>
              <w:t>需要补充的其他内容</w:t>
            </w:r>
          </w:p>
        </w:tc>
        <w:tc>
          <w:tcPr>
            <w:tcW w:w="6418" w:type="dxa"/>
            <w:vAlign w:val="center"/>
          </w:tcPr>
          <w:p w14:paraId="30645493">
            <w:pPr>
              <w:pStyle w:val="7"/>
              <w:spacing w:line="360" w:lineRule="exact"/>
              <w:rPr>
                <w:rFonts w:hAnsi="宋体" w:cs="宋体"/>
                <w:color w:val="auto"/>
                <w:highlight w:val="none"/>
              </w:rPr>
            </w:pPr>
            <w:r>
              <w:rPr>
                <w:rFonts w:hint="eastAsia" w:hAnsi="宋体" w:cs="宋体"/>
                <w:color w:val="auto"/>
                <w:highlight w:val="none"/>
              </w:rPr>
              <w:t>无</w:t>
            </w:r>
          </w:p>
        </w:tc>
      </w:tr>
    </w:tbl>
    <w:p w14:paraId="22C6B867">
      <w:pPr>
        <w:rPr>
          <w:rFonts w:ascii="宋体" w:hAnsi="宋体" w:eastAsia="宋体" w:cs="宋体"/>
          <w:color w:val="auto"/>
          <w:highlight w:val="none"/>
        </w:rPr>
      </w:pPr>
      <w:r>
        <w:rPr>
          <w:rFonts w:hint="eastAsia" w:ascii="宋体" w:hAnsi="宋体" w:eastAsia="宋体" w:cs="宋体"/>
          <w:color w:val="auto"/>
          <w:highlight w:val="none"/>
        </w:rPr>
        <w:br w:type="page"/>
      </w:r>
    </w:p>
    <w:p w14:paraId="28C5074C">
      <w:pPr>
        <w:pStyle w:val="5"/>
        <w:rPr>
          <w:rFonts w:ascii="宋体" w:hAnsi="宋体" w:eastAsia="宋体"/>
          <w:color w:val="auto"/>
          <w:highlight w:val="none"/>
          <w:lang w:bidi="zh-CN"/>
        </w:rPr>
      </w:pPr>
      <w:r>
        <w:rPr>
          <w:rFonts w:ascii="宋体" w:hAnsi="宋体" w:eastAsia="宋体"/>
          <w:color w:val="auto"/>
          <w:highlight w:val="none"/>
        </w:rPr>
        <w:t>一、</w:t>
      </w:r>
      <w:r>
        <w:rPr>
          <w:rFonts w:ascii="宋体" w:hAnsi="宋体" w:eastAsia="宋体"/>
          <w:color w:val="auto"/>
          <w:highlight w:val="none"/>
          <w:lang w:bidi="zh-CN"/>
        </w:rPr>
        <w:t>总则</w:t>
      </w:r>
    </w:p>
    <w:p w14:paraId="06911A10">
      <w:pPr>
        <w:pStyle w:val="5"/>
        <w:rPr>
          <w:rFonts w:ascii="宋体" w:hAnsi="宋体" w:eastAsia="宋体"/>
          <w:color w:val="auto"/>
          <w:highlight w:val="none"/>
        </w:rPr>
      </w:pPr>
      <w:r>
        <w:rPr>
          <w:rFonts w:ascii="宋体" w:hAnsi="宋体" w:eastAsia="宋体"/>
          <w:color w:val="auto"/>
          <w:highlight w:val="none"/>
        </w:rPr>
        <w:t>1.项目概况</w:t>
      </w:r>
    </w:p>
    <w:p w14:paraId="53D35BFD">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采购人：见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3F2DFC48">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项目名称：见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126FCFFD">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资金来源：见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2379B84A">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文件的时间、地点、方式：见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047F6FE6">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采购文件：是指采购人为完成采购活动所制定的文件，包括价格性文件内容和商务性文件内容（包括但不限于综合评估法采购文件、澄清或者更正公告等）。</w:t>
      </w:r>
    </w:p>
    <w:p w14:paraId="1B93DEB6">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服务商：是指有能力向采购人提供符合本项目技术规格要求的货物、工程、服务的法人、其他组织和自然人。</w:t>
      </w:r>
    </w:p>
    <w:p w14:paraId="701A15D3">
      <w:pPr>
        <w:pStyle w:val="5"/>
        <w:rPr>
          <w:rFonts w:ascii="宋体" w:hAnsi="宋体" w:eastAsia="宋体"/>
          <w:color w:val="auto"/>
          <w:highlight w:val="none"/>
        </w:rPr>
      </w:pPr>
      <w:r>
        <w:rPr>
          <w:rFonts w:ascii="宋体" w:hAnsi="宋体" w:eastAsia="宋体"/>
          <w:color w:val="auto"/>
          <w:highlight w:val="none"/>
        </w:rPr>
        <w:t>2.采购信息发布媒体：</w:t>
      </w:r>
    </w:p>
    <w:p w14:paraId="446228DA">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与本项目相关的采购业务信息（包括公告、成交公告及其更正事项等）将在以下媒体上发布：广西自贸区钦州港片区开发投资集团有限责任公司网站</w:t>
      </w:r>
      <w:r>
        <w:rPr>
          <w:rFonts w:ascii="宋体" w:hAnsi="宋体" w:eastAsia="宋体"/>
          <w:color w:val="auto"/>
          <w:highlight w:val="none"/>
        </w:rPr>
        <w:fldChar w:fldCharType="begin"/>
      </w:r>
      <w:r>
        <w:rPr>
          <w:rFonts w:ascii="宋体" w:hAnsi="宋体" w:eastAsia="宋体"/>
          <w:color w:val="auto"/>
          <w:highlight w:val="none"/>
        </w:rPr>
        <w:instrText xml:space="preserve"> HYPERLINK "http://www.qbtzjt.com" </w:instrText>
      </w:r>
      <w:r>
        <w:rPr>
          <w:rFonts w:ascii="宋体" w:hAnsi="宋体" w:eastAsia="宋体"/>
          <w:color w:val="auto"/>
          <w:highlight w:val="none"/>
        </w:rPr>
        <w:fldChar w:fldCharType="separate"/>
      </w:r>
      <w:r>
        <w:rPr>
          <w:rStyle w:val="14"/>
          <w:rFonts w:ascii="宋体" w:hAnsi="宋体" w:eastAsia="宋体" w:cs="宋体"/>
          <w:color w:val="auto"/>
          <w:sz w:val="24"/>
          <w:szCs w:val="24"/>
          <w:highlight w:val="none"/>
          <w:lang w:bidi="zh-CN"/>
        </w:rPr>
        <w:t>http://www.</w:t>
      </w:r>
      <w:r>
        <w:rPr>
          <w:rStyle w:val="14"/>
          <w:rFonts w:hint="eastAsia" w:ascii="宋体" w:hAnsi="宋体" w:eastAsia="宋体" w:cs="宋体"/>
          <w:color w:val="auto"/>
          <w:sz w:val="24"/>
          <w:szCs w:val="24"/>
          <w:highlight w:val="none"/>
          <w:lang w:bidi="zh-CN"/>
        </w:rPr>
        <w:t>qzmktjt</w:t>
      </w:r>
      <w:r>
        <w:rPr>
          <w:rStyle w:val="14"/>
          <w:rFonts w:ascii="宋体" w:hAnsi="宋体" w:eastAsia="宋体" w:cs="宋体"/>
          <w:color w:val="auto"/>
          <w:sz w:val="24"/>
          <w:szCs w:val="24"/>
          <w:highlight w:val="none"/>
          <w:lang w:bidi="zh-CN"/>
        </w:rPr>
        <w:t>.com</w:t>
      </w:r>
      <w:r>
        <w:rPr>
          <w:rStyle w:val="14"/>
          <w:rFonts w:ascii="宋体" w:hAnsi="宋体" w:eastAsia="宋体" w:cs="宋体"/>
          <w:color w:val="auto"/>
          <w:sz w:val="24"/>
          <w:szCs w:val="24"/>
          <w:highlight w:val="none"/>
          <w:lang w:bidi="zh-CN"/>
        </w:rPr>
        <w:fldChar w:fldCharType="end"/>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下载</w:t>
      </w:r>
      <w:r>
        <w:rPr>
          <w:rFonts w:hint="eastAsia" w:ascii="宋体" w:hAnsi="宋体" w:eastAsia="宋体" w:cs="宋体"/>
          <w:color w:val="auto"/>
          <w:sz w:val="24"/>
          <w:szCs w:val="24"/>
          <w:highlight w:val="none"/>
          <w:lang w:bidi="zh-CN"/>
        </w:rPr>
        <w:t>）。</w:t>
      </w:r>
    </w:p>
    <w:p w14:paraId="176534CC">
      <w:pPr>
        <w:pStyle w:val="5"/>
        <w:rPr>
          <w:rFonts w:ascii="宋体" w:hAnsi="宋体" w:eastAsia="宋体"/>
          <w:color w:val="auto"/>
          <w:highlight w:val="none"/>
        </w:rPr>
      </w:pPr>
      <w:r>
        <w:rPr>
          <w:rFonts w:ascii="宋体" w:hAnsi="宋体" w:eastAsia="宋体"/>
          <w:color w:val="auto"/>
          <w:highlight w:val="none"/>
        </w:rPr>
        <w:t>3.</w:t>
      </w:r>
      <w:r>
        <w:rPr>
          <w:rFonts w:ascii="宋体" w:hAnsi="宋体" w:eastAsia="宋体"/>
          <w:color w:val="auto"/>
          <w:szCs w:val="24"/>
          <w:highlight w:val="none"/>
        </w:rPr>
        <w:t>服务商</w:t>
      </w:r>
      <w:r>
        <w:rPr>
          <w:rFonts w:ascii="宋体" w:hAnsi="宋体" w:eastAsia="宋体"/>
          <w:color w:val="auto"/>
          <w:highlight w:val="none"/>
        </w:rPr>
        <w:t>资格要求：</w:t>
      </w:r>
    </w:p>
    <w:p w14:paraId="346198B1">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的资格条件详见“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73EF22E5">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服务商须知前附表规定接受联合体竞标的，两个以上服务商可以组成一个竞标联合体，以一个竞标人的身份共同参加竞标。以联合体形式参加竞标的，联合体各方均应当符合本章第</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项的要求。由同一专业的单位组成的联合体，按照资质等级较低的单位确定资质等级。联合体各方不得再以自己名义单独或组成新的联合体参加同一项目同一分标竞标，否则与之相关的竞标文件作废。</w:t>
      </w:r>
    </w:p>
    <w:p w14:paraId="112A5EA0">
      <w:pPr>
        <w:pStyle w:val="5"/>
        <w:rPr>
          <w:rFonts w:ascii="宋体" w:hAnsi="宋体" w:eastAsia="宋体"/>
          <w:color w:val="auto"/>
          <w:highlight w:val="none"/>
        </w:rPr>
      </w:pPr>
      <w:r>
        <w:rPr>
          <w:rFonts w:ascii="宋体" w:hAnsi="宋体" w:eastAsia="宋体"/>
          <w:color w:val="auto"/>
          <w:highlight w:val="none"/>
        </w:rPr>
        <w:t>4.费用承担</w:t>
      </w:r>
    </w:p>
    <w:p w14:paraId="568A916A">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准备和参加</w:t>
      </w:r>
      <w:r>
        <w:rPr>
          <w:rFonts w:hint="eastAsia" w:ascii="宋体" w:hAnsi="宋体" w:eastAsia="宋体" w:cs="宋体"/>
          <w:color w:val="auto"/>
          <w:sz w:val="24"/>
          <w:szCs w:val="24"/>
          <w:highlight w:val="none"/>
          <w:lang w:bidi="zh-CN"/>
        </w:rPr>
        <w:t>本次采购</w:t>
      </w:r>
      <w:r>
        <w:rPr>
          <w:rFonts w:ascii="宋体" w:hAnsi="宋体" w:eastAsia="宋体" w:cs="宋体"/>
          <w:color w:val="auto"/>
          <w:sz w:val="24"/>
          <w:szCs w:val="24"/>
          <w:highlight w:val="none"/>
          <w:lang w:bidi="zh-CN"/>
        </w:rPr>
        <w:t>活动发生的费用自理。</w:t>
      </w:r>
    </w:p>
    <w:p w14:paraId="6D50B987">
      <w:pPr>
        <w:pStyle w:val="5"/>
        <w:rPr>
          <w:rFonts w:ascii="宋体" w:hAnsi="宋体" w:eastAsia="宋体"/>
          <w:color w:val="auto"/>
          <w:highlight w:val="none"/>
        </w:rPr>
      </w:pPr>
      <w:r>
        <w:rPr>
          <w:rFonts w:ascii="宋体" w:hAnsi="宋体" w:eastAsia="宋体"/>
          <w:color w:val="auto"/>
          <w:highlight w:val="none"/>
        </w:rPr>
        <w:t>5.联合体竞标</w:t>
      </w:r>
    </w:p>
    <w:p w14:paraId="32F1AE66">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本项目是否接受联合体竞标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579205D7">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如接受联合体竞标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联合体竞标要求详见</w:t>
      </w:r>
      <w:r>
        <w:rPr>
          <w:rFonts w:hint="eastAsia" w:ascii="宋体" w:hAnsi="宋体" w:eastAsia="宋体" w:cs="宋体"/>
          <w:color w:val="auto"/>
          <w:sz w:val="24"/>
          <w:szCs w:val="24"/>
          <w:highlight w:val="none"/>
          <w:lang w:bidi="zh-CN"/>
        </w:rPr>
        <w:t>第二章服务商须知“服务商资格要求”</w:t>
      </w:r>
      <w:r>
        <w:rPr>
          <w:rFonts w:ascii="宋体" w:hAnsi="宋体" w:eastAsia="宋体" w:cs="宋体"/>
          <w:color w:val="auto"/>
          <w:sz w:val="24"/>
          <w:szCs w:val="24"/>
          <w:highlight w:val="none"/>
          <w:lang w:bidi="zh-CN"/>
        </w:rPr>
        <w:t>。</w:t>
      </w:r>
    </w:p>
    <w:p w14:paraId="5E062F39">
      <w:pPr>
        <w:pStyle w:val="5"/>
        <w:rPr>
          <w:rFonts w:ascii="宋体" w:hAnsi="宋体" w:eastAsia="宋体"/>
          <w:color w:val="auto"/>
          <w:highlight w:val="none"/>
        </w:rPr>
      </w:pPr>
      <w:r>
        <w:rPr>
          <w:rFonts w:ascii="宋体" w:hAnsi="宋体" w:eastAsia="宋体"/>
          <w:color w:val="auto"/>
          <w:highlight w:val="none"/>
        </w:rPr>
        <w:t>6.转包与分包</w:t>
      </w:r>
    </w:p>
    <w:p w14:paraId="22ABAA3E">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允许转包。</w:t>
      </w:r>
    </w:p>
    <w:p w14:paraId="5E88AA5C">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允许分包。</w:t>
      </w:r>
    </w:p>
    <w:p w14:paraId="61FC932F">
      <w:pPr>
        <w:pStyle w:val="5"/>
        <w:rPr>
          <w:rFonts w:ascii="宋体" w:hAnsi="宋体" w:eastAsia="宋体"/>
          <w:color w:val="auto"/>
          <w:highlight w:val="none"/>
        </w:rPr>
      </w:pPr>
      <w:r>
        <w:rPr>
          <w:rFonts w:ascii="宋体" w:hAnsi="宋体" w:eastAsia="宋体"/>
          <w:color w:val="auto"/>
          <w:highlight w:val="none"/>
        </w:rPr>
        <w:t>7.语言文字</w:t>
      </w:r>
    </w:p>
    <w:p w14:paraId="38B23644">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除专用术语外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本次采购活动</w:t>
      </w:r>
      <w:r>
        <w:rPr>
          <w:rFonts w:ascii="宋体" w:hAnsi="宋体" w:eastAsia="宋体" w:cs="宋体"/>
          <w:color w:val="auto"/>
          <w:sz w:val="24"/>
          <w:szCs w:val="24"/>
          <w:highlight w:val="none"/>
          <w:lang w:bidi="zh-CN"/>
        </w:rPr>
        <w:t>有关的语言均使用中文。必要时专用术语应附有中文注释。</w:t>
      </w:r>
    </w:p>
    <w:p w14:paraId="52E3E1E0">
      <w:pPr>
        <w:pStyle w:val="5"/>
        <w:rPr>
          <w:rFonts w:ascii="宋体" w:hAnsi="宋体" w:eastAsia="宋体"/>
          <w:color w:val="auto"/>
          <w:highlight w:val="none"/>
        </w:rPr>
      </w:pPr>
      <w:r>
        <w:rPr>
          <w:rFonts w:ascii="宋体" w:hAnsi="宋体" w:eastAsia="宋体"/>
          <w:color w:val="auto"/>
          <w:highlight w:val="none"/>
        </w:rPr>
        <w:t>8.计量单位</w:t>
      </w:r>
    </w:p>
    <w:p w14:paraId="62D886FB">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所有计量均采用中华人民共和国法定计量单位。</w:t>
      </w:r>
    </w:p>
    <w:p w14:paraId="702D8C2A">
      <w:pPr>
        <w:pStyle w:val="5"/>
        <w:rPr>
          <w:rFonts w:ascii="宋体" w:hAnsi="宋体" w:eastAsia="宋体"/>
          <w:color w:val="auto"/>
          <w:highlight w:val="none"/>
        </w:rPr>
      </w:pPr>
      <w:r>
        <w:rPr>
          <w:rFonts w:ascii="宋体" w:hAnsi="宋体" w:eastAsia="宋体"/>
          <w:color w:val="auto"/>
          <w:highlight w:val="none"/>
        </w:rPr>
        <w:t>9.否决竞标条件</w:t>
      </w:r>
    </w:p>
    <w:p w14:paraId="6DF3F594">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有下列情形之一的，属于相互串通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20FAE6CE">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服务商直接或者间接从采购人或者采购代理机构处获得其他服务商的相关情况并修改其响应文件；</w:t>
      </w:r>
    </w:p>
    <w:p w14:paraId="701739CC">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服务商按照采购人或者采购代理机构的授意撤换、修改响应文件；</w:t>
      </w:r>
    </w:p>
    <w:p w14:paraId="2E2B4209">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服务商之间协商报价、技术方案等响应文件的实质性内容；</w:t>
      </w:r>
    </w:p>
    <w:p w14:paraId="5DF3CE45">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属于同一集团、协会、商会等组织成员的服务商按照该组织要求协同参加采购活动；</w:t>
      </w:r>
    </w:p>
    <w:p w14:paraId="7D8121E2">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服务商之间事先约定由某一特定服务商成交；</w:t>
      </w:r>
    </w:p>
    <w:p w14:paraId="53E5596D">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服务商之间商定部分服务商放弃参加采购活动或者放弃成交；</w:t>
      </w:r>
    </w:p>
    <w:p w14:paraId="11A570E0">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服务商与采购人或者采购代理机构之间、服务商相互之间，为谋求特定服务商成交或者排斥其他服务商的其他串通行为。</w:t>
      </w:r>
    </w:p>
    <w:p w14:paraId="534A483F">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有下列情形之一的，视为</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18C11D78">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文件由同一单位或者个人编制；</w:t>
      </w:r>
    </w:p>
    <w:p w14:paraId="37CB98E2">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委托同一单位或者个人办理</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标事宜；</w:t>
      </w:r>
    </w:p>
    <w:p w14:paraId="10FCF15B">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文件载明的项目管理成员为同一人；</w:t>
      </w:r>
    </w:p>
    <w:p w14:paraId="3BE1FB39">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文件异常一致或者报价呈规律性差异；</w:t>
      </w:r>
    </w:p>
    <w:p w14:paraId="1B0DBE95">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5</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文件相互混装；</w:t>
      </w:r>
    </w:p>
    <w:p w14:paraId="3F431CE4">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6</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标保证金从同一单位或者个人的账户转出。</w:t>
      </w:r>
    </w:p>
    <w:p w14:paraId="4AB0ACA0">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响应文件将被视为无效</w:t>
      </w:r>
      <w:r>
        <w:rPr>
          <w:rFonts w:hint="eastAsia" w:ascii="宋体" w:hAnsi="宋体" w:eastAsia="宋体" w:cs="宋体"/>
          <w:color w:val="auto"/>
          <w:sz w:val="24"/>
          <w:szCs w:val="24"/>
          <w:highlight w:val="none"/>
          <w:lang w:bidi="zh-CN"/>
        </w:rPr>
        <w:t>的其他情形</w:t>
      </w:r>
      <w:r>
        <w:rPr>
          <w:rFonts w:ascii="宋体" w:hAnsi="宋体" w:eastAsia="宋体" w:cs="宋体"/>
          <w:color w:val="auto"/>
          <w:sz w:val="24"/>
          <w:szCs w:val="24"/>
          <w:highlight w:val="none"/>
          <w:lang w:bidi="zh-CN"/>
        </w:rPr>
        <w:t>：</w:t>
      </w:r>
    </w:p>
    <w:p w14:paraId="5120846F">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逾期送达的或者未送达指定地点的；</w:t>
      </w:r>
    </w:p>
    <w:p w14:paraId="6502C1F7">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未按采购文件要求密封的；</w:t>
      </w:r>
    </w:p>
    <w:p w14:paraId="1E21FF83">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未按规定的格式填写，内容不全或关键字迹模糊、无法辨认的；</w:t>
      </w:r>
    </w:p>
    <w:p w14:paraId="7163B397">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无单位盖章并无法定代表人或法定代表人授权的代理人签字或盖章的；</w:t>
      </w:r>
    </w:p>
    <w:p w14:paraId="60E85DC9">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服务商递交两份或多份内容不同的响应文件，或在一份响应文件中对同一采购项目报有两个或多个报价，且未声明哪一个有效，按采购文件规定提交备选投标方案的除外；</w:t>
      </w:r>
    </w:p>
    <w:p w14:paraId="6D426C10">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服务商不按评审委员会要求澄清、说明或补正的；</w:t>
      </w:r>
    </w:p>
    <w:p w14:paraId="2D08E21D">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未按采购文件要求提交保证金的；</w:t>
      </w:r>
    </w:p>
    <w:p w14:paraId="38FCEF1A">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8</w:t>
      </w:r>
      <w:r>
        <w:rPr>
          <w:rFonts w:hint="eastAsia" w:ascii="宋体" w:hAnsi="宋体" w:eastAsia="宋体" w:cs="宋体"/>
          <w:color w:val="auto"/>
          <w:sz w:val="24"/>
          <w:szCs w:val="24"/>
          <w:highlight w:val="none"/>
          <w:lang w:bidi="zh-CN"/>
        </w:rPr>
        <w:t>联合体竞标未附联合体各方共同投标协议的。</w:t>
      </w:r>
    </w:p>
    <w:p w14:paraId="12DD7DFE">
      <w:pPr>
        <w:pStyle w:val="5"/>
        <w:rPr>
          <w:rFonts w:ascii="宋体" w:hAnsi="宋体" w:eastAsia="宋体"/>
          <w:color w:val="auto"/>
          <w:highlight w:val="none"/>
        </w:rPr>
      </w:pPr>
      <w:r>
        <w:rPr>
          <w:rFonts w:ascii="宋体" w:hAnsi="宋体" w:eastAsia="宋体"/>
          <w:color w:val="auto"/>
          <w:highlight w:val="none"/>
        </w:rPr>
        <w:t>10.采购人员及相关人员与服务商有下列利害关系之一的，应当回避：</w:t>
      </w:r>
    </w:p>
    <w:p w14:paraId="650A6824">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参加采购活动前</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存在劳动关系；</w:t>
      </w:r>
    </w:p>
    <w:p w14:paraId="31F2181D">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参加采购活动前</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年内担任</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的董事、监事；</w:t>
      </w:r>
    </w:p>
    <w:p w14:paraId="12019AC2">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参加采购活动前</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年内是</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的控股股东或者实际控制人；</w:t>
      </w:r>
    </w:p>
    <w:p w14:paraId="7C808C4A">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的法定代表人或者负责人有夫妻、直系血亲、三代以内旁系血亲或者近姻亲关系；</w:t>
      </w:r>
    </w:p>
    <w:p w14:paraId="6F6661BA">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5</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有其他可能影响采购活动公平、公正进行的关系。</w:t>
      </w:r>
    </w:p>
    <w:p w14:paraId="2A3BFF42">
      <w:pPr>
        <w:adjustRightInd w:val="0"/>
        <w:snapToGrid w:val="0"/>
        <w:ind w:firstLine="480" w:firstLineChars="200"/>
        <w:jc w:val="left"/>
        <w:rPr>
          <w:rFonts w:ascii="宋体" w:hAnsi="宋体" w:eastAsia="宋体"/>
          <w:color w:val="auto"/>
          <w:highlight w:val="none"/>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认为采购人员及相关人员与其他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有利害关系的，可以向采购人或者采购代理机构书面提出回避申请，并说明理由。采购人或者采购代理机构应当及时询问被申请回避人员，有利害关系的被申请回避人员应当回避。</w:t>
      </w:r>
    </w:p>
    <w:p w14:paraId="56AEC5E7">
      <w:pPr>
        <w:pStyle w:val="5"/>
        <w:rPr>
          <w:rFonts w:ascii="宋体" w:hAnsi="宋体" w:eastAsia="宋体"/>
          <w:color w:val="auto"/>
          <w:highlight w:val="none"/>
          <w:lang w:bidi="zh-CN"/>
        </w:rPr>
      </w:pPr>
    </w:p>
    <w:p w14:paraId="5CEDC9B2">
      <w:pPr>
        <w:pStyle w:val="5"/>
        <w:rPr>
          <w:rFonts w:ascii="宋体" w:hAnsi="宋体" w:eastAsia="宋体"/>
          <w:color w:val="auto"/>
          <w:highlight w:val="none"/>
        </w:rPr>
      </w:pPr>
      <w:r>
        <w:rPr>
          <w:rFonts w:ascii="宋体" w:hAnsi="宋体" w:eastAsia="宋体"/>
          <w:color w:val="auto"/>
          <w:highlight w:val="none"/>
        </w:rPr>
        <w:t>二、响应文件的编制</w:t>
      </w:r>
    </w:p>
    <w:p w14:paraId="2874FFC0">
      <w:pPr>
        <w:pStyle w:val="5"/>
        <w:rPr>
          <w:rFonts w:ascii="宋体" w:hAnsi="宋体" w:eastAsia="宋体"/>
          <w:color w:val="auto"/>
          <w:highlight w:val="none"/>
        </w:rPr>
      </w:pPr>
      <w:r>
        <w:rPr>
          <w:rFonts w:ascii="宋体" w:hAnsi="宋体" w:eastAsia="宋体"/>
          <w:color w:val="auto"/>
          <w:highlight w:val="none"/>
        </w:rPr>
        <w:t>11.响应文件的编制原则</w:t>
      </w:r>
    </w:p>
    <w:p w14:paraId="32BB5526">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必须按照</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文件的要求编制响应文件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并对其提交的响应文件的真实性、合法性承担法律责任。响应文件必须对</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文件作出实质性响应。</w:t>
      </w:r>
    </w:p>
    <w:p w14:paraId="2C5C5DA3">
      <w:pPr>
        <w:pStyle w:val="5"/>
        <w:rPr>
          <w:rFonts w:ascii="宋体" w:hAnsi="宋体" w:eastAsia="宋体"/>
          <w:color w:val="auto"/>
          <w:highlight w:val="none"/>
        </w:rPr>
      </w:pPr>
      <w:r>
        <w:rPr>
          <w:rFonts w:ascii="宋体" w:hAnsi="宋体" w:eastAsia="宋体"/>
          <w:color w:val="auto"/>
          <w:highlight w:val="none"/>
        </w:rPr>
        <w:t>12.响应文件的组成</w:t>
      </w:r>
    </w:p>
    <w:p w14:paraId="12004B73">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p>
    <w:p w14:paraId="4BAA0F4D">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资格证明文件：详见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5C63A5A5">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报价商务技术文件：详见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7E51F4D1">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响应文件电子版：详见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044F64EA">
      <w:pPr>
        <w:pStyle w:val="5"/>
        <w:rPr>
          <w:rFonts w:ascii="宋体" w:hAnsi="宋体" w:eastAsia="宋体"/>
          <w:color w:val="auto"/>
          <w:highlight w:val="none"/>
        </w:rPr>
      </w:pPr>
      <w:r>
        <w:rPr>
          <w:rFonts w:ascii="宋体" w:hAnsi="宋体" w:eastAsia="宋体"/>
          <w:color w:val="auto"/>
          <w:highlight w:val="none"/>
        </w:rPr>
        <w:t>13.响应文件编制的要求</w:t>
      </w:r>
    </w:p>
    <w:p w14:paraId="6FFEB9AF">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应按本</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文件规定的格式和顺序编制、装订响应文件并标注页码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响应文件内容不完整、编排混乱导致响应文件被误读、漏读或者查找不到相关内容的</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由此引发的后果由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442F4433">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r>
        <w:rPr>
          <w:rFonts w:hint="eastAsia" w:ascii="宋体" w:hAnsi="宋体" w:eastAsia="宋体" w:cs="宋体"/>
          <w:color w:val="auto"/>
          <w:sz w:val="24"/>
          <w:szCs w:val="24"/>
          <w:highlight w:val="none"/>
          <w:lang w:bidi="zh-CN"/>
        </w:rPr>
        <w:t>，可按照</w:t>
      </w:r>
      <w:r>
        <w:rPr>
          <w:rFonts w:ascii="宋体" w:hAnsi="宋体" w:eastAsia="宋体" w:cs="宋体"/>
          <w:color w:val="auto"/>
          <w:sz w:val="24"/>
          <w:szCs w:val="24"/>
          <w:highlight w:val="none"/>
          <w:lang w:bidi="zh-CN"/>
        </w:rPr>
        <w:t>资格证明文件、报价商务技术文件顺序装订成册。响应文件正本一份</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副本份数详见“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响应文件的封面应注明“正本</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副本”字样</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提供响应文件正、副本数量不足的将按无效响应处理。由于响应文件装订松散而造成的丢失或者其他情况导致的不利后果由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自行承担。</w:t>
      </w:r>
    </w:p>
    <w:p w14:paraId="3D19F4E0">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响应文件的正本应打印或者用不褪色的墨水填写</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响应文件正本除本“</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须知”中规定的可提供复印件外均须提供原件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副本可为正本签字、盖章后的复印件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当副本和正本不一致时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以正本为准。</w:t>
      </w:r>
    </w:p>
    <w:p w14:paraId="16474683">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响应文件须由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在规定位置盖公章并由法定代表人或者委托代理人签字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否则其响应文件按无效响应处理。骑缝盖公章不视为在规定位置盖章。</w:t>
      </w:r>
    </w:p>
    <w:p w14:paraId="22764148">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5</w:t>
      </w:r>
      <w:r>
        <w:rPr>
          <w:rFonts w:ascii="宋体" w:hAnsi="宋体" w:eastAsia="宋体" w:cs="宋体"/>
          <w:color w:val="auto"/>
          <w:sz w:val="24"/>
          <w:szCs w:val="24"/>
          <w:highlight w:val="none"/>
          <w:lang w:bidi="zh-CN"/>
        </w:rPr>
        <w:t>响应文件中标注的</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名称应与营业执照（事业单位法人证书、执业许可证、自然人身份证）及公章一致</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w:t>
      </w:r>
    </w:p>
    <w:p w14:paraId="161FADCD">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6</w:t>
      </w:r>
      <w:r>
        <w:rPr>
          <w:rFonts w:ascii="宋体" w:hAnsi="宋体" w:eastAsia="宋体" w:cs="宋体"/>
          <w:color w:val="auto"/>
          <w:sz w:val="24"/>
          <w:szCs w:val="24"/>
          <w:highlight w:val="none"/>
          <w:lang w:bidi="zh-CN"/>
        </w:rPr>
        <w:t>响应文件应尽量避免涂改、行间插字或者删除。如果出现上述情况</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改动之处应由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的法定代表人或者其委托代理人签字或者加盖公章。响应文件因涂改、行间插字或者删除导致字迹潦草或者表达不清所引起的后果由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54BECD5A">
      <w:pPr>
        <w:ind w:firstLine="482" w:firstLineChars="200"/>
        <w:rPr>
          <w:rFonts w:ascii="宋体" w:hAnsi="宋体" w:eastAsia="宋体" w:cs="宋体"/>
          <w:b/>
          <w:bCs/>
          <w:color w:val="auto"/>
          <w:sz w:val="24"/>
          <w:szCs w:val="24"/>
          <w:highlight w:val="none"/>
          <w:lang w:bidi="zh-CN"/>
        </w:rPr>
      </w:pPr>
      <w:r>
        <w:rPr>
          <w:rFonts w:ascii="宋体" w:hAnsi="宋体" w:eastAsia="宋体" w:cs="宋体"/>
          <w:b/>
          <w:bCs/>
          <w:color w:val="auto"/>
          <w:sz w:val="24"/>
          <w:szCs w:val="24"/>
          <w:highlight w:val="none"/>
          <w:lang w:bidi="zh-CN"/>
        </w:rPr>
        <w:t>注：</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必须根据所投分标分别提交响应文件</w:t>
      </w:r>
      <w:r>
        <w:rPr>
          <w:rFonts w:hint="eastAsia" w:ascii="宋体" w:hAnsi="宋体" w:eastAsia="宋体" w:cs="宋体"/>
          <w:b/>
          <w:bCs/>
          <w:color w:val="auto"/>
          <w:sz w:val="24"/>
          <w:szCs w:val="24"/>
          <w:highlight w:val="none"/>
          <w:lang w:bidi="zh-CN"/>
        </w:rPr>
        <w:t>，</w:t>
      </w:r>
      <w:r>
        <w:rPr>
          <w:rFonts w:ascii="宋体" w:hAnsi="宋体" w:eastAsia="宋体" w:cs="宋体"/>
          <w:b/>
          <w:bCs/>
          <w:color w:val="auto"/>
          <w:sz w:val="24"/>
          <w:szCs w:val="24"/>
          <w:highlight w:val="none"/>
          <w:lang w:bidi="zh-CN"/>
        </w:rPr>
        <w:t>否则响应文件将被拒绝。</w:t>
      </w:r>
    </w:p>
    <w:p w14:paraId="65B04B51">
      <w:pPr>
        <w:pStyle w:val="5"/>
        <w:rPr>
          <w:rFonts w:ascii="宋体" w:hAnsi="宋体" w:eastAsia="宋体"/>
          <w:color w:val="auto"/>
          <w:highlight w:val="none"/>
        </w:rPr>
      </w:pPr>
      <w:r>
        <w:rPr>
          <w:rFonts w:ascii="宋体" w:hAnsi="宋体" w:eastAsia="宋体"/>
          <w:color w:val="auto"/>
          <w:highlight w:val="none"/>
        </w:rPr>
        <w:t>14.响应文件的密封和标记</w:t>
      </w:r>
    </w:p>
    <w:p w14:paraId="527F8BDB">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响应文件正、副本全部装入一个或者多个包封袋</w:t>
      </w:r>
      <w:r>
        <w:rPr>
          <w:rFonts w:hint="eastAsia" w:ascii="宋体" w:hAnsi="宋体" w:eastAsia="宋体" w:cs="宋体"/>
          <w:color w:val="auto"/>
          <w:sz w:val="24"/>
          <w:szCs w:val="24"/>
          <w:highlight w:val="none"/>
          <w:lang w:bidi="zh-CN"/>
        </w:rPr>
        <w:t>或</w:t>
      </w:r>
      <w:r>
        <w:rPr>
          <w:rFonts w:ascii="宋体" w:hAnsi="宋体" w:eastAsia="宋体" w:cs="宋体"/>
          <w:color w:val="auto"/>
          <w:sz w:val="24"/>
          <w:szCs w:val="24"/>
          <w:highlight w:val="none"/>
          <w:lang w:bidi="zh-CN"/>
        </w:rPr>
        <w:t>箱（响应文件的补充、修改可另行单独递交）中并加以密封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封口处必须加盖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公章或者法定代表人签字或者委托代理人签字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以示密封。</w:t>
      </w:r>
    </w:p>
    <w:p w14:paraId="3AA4BF8E">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响应文件外层包装封面上应标记“</w:t>
      </w:r>
      <w:r>
        <w:rPr>
          <w:rFonts w:ascii="宋体" w:hAnsi="宋体" w:eastAsia="宋体" w:cs="宋体"/>
          <w:b/>
          <w:bCs/>
          <w:color w:val="auto"/>
          <w:sz w:val="24"/>
          <w:szCs w:val="24"/>
          <w:highlight w:val="none"/>
          <w:lang w:bidi="zh-CN"/>
        </w:rPr>
        <w:t>项目名称、项目编号、</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名称、所竞分标、首次响应文件提交截止时间前不得启封</w:t>
      </w:r>
      <w:r>
        <w:rPr>
          <w:rFonts w:ascii="宋体" w:hAnsi="宋体" w:eastAsia="宋体" w:cs="宋体"/>
          <w:color w:val="auto"/>
          <w:sz w:val="24"/>
          <w:szCs w:val="24"/>
          <w:highlight w:val="none"/>
          <w:lang w:bidi="zh-CN"/>
        </w:rPr>
        <w:t>”字样。</w:t>
      </w:r>
    </w:p>
    <w:p w14:paraId="1C2A4111">
      <w:pPr>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ascii="宋体" w:hAnsi="宋体" w:eastAsia="宋体" w:cs="宋体"/>
          <w:color w:val="auto"/>
          <w:sz w:val="24"/>
          <w:szCs w:val="24"/>
          <w:highlight w:val="none"/>
          <w:lang w:bidi="zh-CN"/>
        </w:rPr>
        <w:t>未按上述规定密封的响应文件将被拒收。</w:t>
      </w:r>
    </w:p>
    <w:p w14:paraId="616373B7">
      <w:pPr>
        <w:pStyle w:val="5"/>
        <w:rPr>
          <w:rFonts w:ascii="宋体" w:hAnsi="宋体" w:eastAsia="宋体"/>
          <w:color w:val="auto"/>
          <w:szCs w:val="24"/>
          <w:highlight w:val="none"/>
        </w:rPr>
      </w:pPr>
      <w:r>
        <w:rPr>
          <w:rFonts w:ascii="宋体" w:hAnsi="宋体" w:eastAsia="宋体"/>
          <w:color w:val="auto"/>
          <w:highlight w:val="none"/>
        </w:rPr>
        <w:t>15.响应文件的提交</w:t>
      </w:r>
    </w:p>
    <w:p w14:paraId="16694129">
      <w:pPr>
        <w:pStyle w:val="5"/>
        <w:rPr>
          <w:rFonts w:ascii="宋体" w:hAnsi="宋体" w:eastAsia="宋体"/>
          <w:color w:val="auto"/>
          <w:highlight w:val="none"/>
        </w:rPr>
      </w:pPr>
      <w:r>
        <w:rPr>
          <w:rFonts w:ascii="宋体" w:hAnsi="宋体" w:eastAsia="宋体"/>
          <w:color w:val="auto"/>
          <w:highlight w:val="none"/>
        </w:rPr>
        <w:t>服务商必须在“服务商须知前附表”规定的时间和地点提交响应文件。</w:t>
      </w:r>
    </w:p>
    <w:p w14:paraId="2740A09D">
      <w:pPr>
        <w:pStyle w:val="16"/>
        <w:spacing w:after="312"/>
        <w:rPr>
          <w:rFonts w:hint="default"/>
          <w:color w:val="auto"/>
          <w:highlight w:val="none"/>
        </w:rPr>
      </w:pPr>
      <w:r>
        <w:rPr>
          <w:color w:val="auto"/>
          <w:highlight w:val="none"/>
        </w:rPr>
        <w:t>第三章 评审办法</w:t>
      </w:r>
    </w:p>
    <w:p w14:paraId="297776B5">
      <w:pPr>
        <w:pStyle w:val="5"/>
        <w:rPr>
          <w:rFonts w:ascii="宋体" w:hAnsi="宋体" w:eastAsia="宋体"/>
          <w:color w:val="auto"/>
          <w:highlight w:val="none"/>
        </w:rPr>
      </w:pPr>
      <w:r>
        <w:rPr>
          <w:rFonts w:ascii="宋体" w:hAnsi="宋体" w:eastAsia="宋体"/>
          <w:color w:val="auto"/>
          <w:highlight w:val="none"/>
        </w:rPr>
        <w:t>1.评审小组的构成</w:t>
      </w:r>
    </w:p>
    <w:p w14:paraId="538264D7">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本采购项目的评审小组由采购人组建，其成员数为三人及以上单数组成。</w:t>
      </w:r>
    </w:p>
    <w:p w14:paraId="1C2E4312">
      <w:pPr>
        <w:pStyle w:val="5"/>
        <w:rPr>
          <w:rFonts w:ascii="宋体" w:hAnsi="宋体" w:eastAsia="宋体"/>
          <w:color w:val="auto"/>
          <w:highlight w:val="none"/>
        </w:rPr>
      </w:pPr>
      <w:r>
        <w:rPr>
          <w:rFonts w:ascii="宋体" w:hAnsi="宋体" w:eastAsia="宋体"/>
          <w:color w:val="auto"/>
          <w:highlight w:val="none"/>
        </w:rPr>
        <w:t>2.评审依据</w:t>
      </w:r>
    </w:p>
    <w:p w14:paraId="746ABE07">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以采购文件、响应文件为评审依据。</w:t>
      </w:r>
    </w:p>
    <w:p w14:paraId="383B8A27">
      <w:pPr>
        <w:pStyle w:val="5"/>
        <w:rPr>
          <w:rFonts w:ascii="宋体" w:hAnsi="宋体" w:eastAsia="宋体"/>
          <w:color w:val="auto"/>
          <w:highlight w:val="none"/>
        </w:rPr>
      </w:pPr>
      <w:r>
        <w:rPr>
          <w:rFonts w:ascii="宋体" w:hAnsi="宋体" w:eastAsia="宋体"/>
          <w:color w:val="auto"/>
          <w:highlight w:val="none"/>
        </w:rPr>
        <w:t>3.评审方法</w:t>
      </w:r>
    </w:p>
    <w:p w14:paraId="16E7ACE0">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本次评审采用综合评</w:t>
      </w:r>
      <w:r>
        <w:rPr>
          <w:rFonts w:hint="eastAsia" w:ascii="宋体" w:hAnsi="宋体" w:eastAsia="宋体" w:cs="宋体"/>
          <w:color w:val="auto"/>
          <w:sz w:val="24"/>
          <w:szCs w:val="24"/>
          <w:highlight w:val="none"/>
          <w:lang w:val="en-US" w:bidi="zh-CN"/>
        </w:rPr>
        <w:t>分</w:t>
      </w:r>
      <w:r>
        <w:rPr>
          <w:rFonts w:hint="eastAsia" w:ascii="宋体" w:hAnsi="宋体" w:eastAsia="宋体" w:cs="宋体"/>
          <w:color w:val="auto"/>
          <w:sz w:val="24"/>
          <w:szCs w:val="24"/>
          <w:highlight w:val="none"/>
          <w:lang w:bidi="zh-CN"/>
        </w:rPr>
        <w:t>法。评审小组对资格和符合性审查合格的响应文件，采用综合评估法进行评审，以采购文件、响应文件为评审依据，以技术、服务能满足采购文件实质性要求且最终得分最高的原则确定成交供应商。</w:t>
      </w:r>
    </w:p>
    <w:p w14:paraId="052B3A51">
      <w:pPr>
        <w:pStyle w:val="5"/>
        <w:rPr>
          <w:rFonts w:ascii="宋体" w:hAnsi="宋体" w:eastAsia="宋体"/>
          <w:color w:val="auto"/>
          <w:highlight w:val="none"/>
        </w:rPr>
      </w:pPr>
      <w:r>
        <w:rPr>
          <w:rFonts w:ascii="宋体" w:hAnsi="宋体" w:eastAsia="宋体"/>
          <w:color w:val="auto"/>
          <w:highlight w:val="none"/>
        </w:rPr>
        <w:t>4.成交候选供应商推荐原则</w:t>
      </w:r>
    </w:p>
    <w:p w14:paraId="0D02DE09">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4.1在质量和服务均能满足采购文件实质性要求的前提下，评审小组将按得分由高到低顺序推荐3名成交候选供应商，并编写评审报告。评审得分相同的，按照最后报价（税率不同的，以不含税报价计）由低到高的顺序推荐。评审得分且最后报价相同的，则按照按实施方案得分高低顺序推荐。采购人应当确定评审小组推荐排名第一的成交候选供应商为成交人。排名第一的成交候选供应商放弃成交、因不可抗力提出不能履行合同，或者采购文件规定应当提交履约保证金而在规定的期限内未能提交的，或响应文件中提供虚假材料的，采购人可以确定排名第二的成交候选供应商为成交人或重新采购。排名第二的成交候选供应商因前款规定的同样原因不能签订合同的，采购人可以确定排名第三的成交候选供应商为成交人或重新采购。</w:t>
      </w:r>
    </w:p>
    <w:p w14:paraId="03CE57B1">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4.2评审小组认为，某竞标供应商的最后报价或者最后报价中某些分项报价明显不合理或者低于成本，有可能影响项目质量和不能诚信履约的，应要求其在规定的期限内提供书面文件予以解释说明，并提交相关证明材料；供应商不能证明其报价合理性的，评审小组应当将其作为无效响应文件处理。</w:t>
      </w:r>
    </w:p>
    <w:tbl>
      <w:tblPr>
        <w:tblStyle w:val="12"/>
        <w:tblW w:w="8899" w:type="dxa"/>
        <w:tblInd w:w="93" w:type="dxa"/>
        <w:tblLayout w:type="autofit"/>
        <w:tblCellMar>
          <w:top w:w="0" w:type="dxa"/>
          <w:left w:w="108" w:type="dxa"/>
          <w:bottom w:w="0" w:type="dxa"/>
          <w:right w:w="108" w:type="dxa"/>
        </w:tblCellMar>
      </w:tblPr>
      <w:tblGrid>
        <w:gridCol w:w="1043"/>
        <w:gridCol w:w="846"/>
        <w:gridCol w:w="5683"/>
        <w:gridCol w:w="1327"/>
      </w:tblGrid>
      <w:tr w14:paraId="4B6E2578">
        <w:tblPrEx>
          <w:tblCellMar>
            <w:top w:w="0" w:type="dxa"/>
            <w:left w:w="108" w:type="dxa"/>
            <w:bottom w:w="0" w:type="dxa"/>
            <w:right w:w="108" w:type="dxa"/>
          </w:tblCellMar>
        </w:tblPrEx>
        <w:trPr>
          <w:trHeight w:val="630" w:hRule="atLeast"/>
        </w:trPr>
        <w:tc>
          <w:tcPr>
            <w:tcW w:w="1043" w:type="dxa"/>
            <w:tcBorders>
              <w:top w:val="single" w:color="000000" w:sz="4" w:space="0"/>
              <w:left w:val="single" w:color="000000" w:sz="4" w:space="0"/>
              <w:bottom w:val="single" w:color="000000" w:sz="4" w:space="0"/>
              <w:right w:val="single" w:color="000000" w:sz="4" w:space="0"/>
            </w:tcBorders>
            <w:vAlign w:val="center"/>
          </w:tcPr>
          <w:p w14:paraId="146B5CF5">
            <w:pPr>
              <w:widowControl/>
              <w:jc w:val="center"/>
              <w:textAlignment w:val="center"/>
              <w:rPr>
                <w:rFonts w:ascii="宋体" w:hAnsi="宋体" w:eastAsia="宋体" w:cs="黑体"/>
                <w:color w:val="auto"/>
                <w:szCs w:val="21"/>
                <w:highlight w:val="none"/>
              </w:rPr>
            </w:pPr>
            <w:r>
              <w:rPr>
                <w:rFonts w:hint="eastAsia" w:ascii="宋体" w:hAnsi="宋体" w:eastAsia="宋体" w:cs="黑体"/>
                <w:color w:val="auto"/>
                <w:kern w:val="0"/>
                <w:szCs w:val="21"/>
                <w:highlight w:val="none"/>
                <w:lang w:bidi="ar"/>
              </w:rPr>
              <w:t>评审因素</w:t>
            </w:r>
          </w:p>
        </w:tc>
        <w:tc>
          <w:tcPr>
            <w:tcW w:w="846" w:type="dxa"/>
            <w:tcBorders>
              <w:top w:val="single" w:color="000000" w:sz="4" w:space="0"/>
              <w:left w:val="single" w:color="000000" w:sz="4" w:space="0"/>
              <w:bottom w:val="single" w:color="000000" w:sz="4" w:space="0"/>
              <w:right w:val="single" w:color="000000" w:sz="4" w:space="0"/>
            </w:tcBorders>
            <w:vAlign w:val="center"/>
          </w:tcPr>
          <w:p w14:paraId="0DCC9DA5">
            <w:pPr>
              <w:widowControl/>
              <w:jc w:val="center"/>
              <w:textAlignment w:val="center"/>
              <w:rPr>
                <w:rFonts w:ascii="宋体" w:hAnsi="宋体" w:eastAsia="宋体" w:cs="黑体"/>
                <w:color w:val="auto"/>
                <w:szCs w:val="21"/>
                <w:highlight w:val="none"/>
              </w:rPr>
            </w:pPr>
            <w:r>
              <w:rPr>
                <w:rFonts w:hint="eastAsia" w:ascii="宋体" w:hAnsi="宋体" w:eastAsia="宋体" w:cs="黑体"/>
                <w:color w:val="auto"/>
                <w:kern w:val="0"/>
                <w:szCs w:val="21"/>
                <w:highlight w:val="none"/>
                <w:lang w:bidi="ar"/>
              </w:rPr>
              <w:t>分值（分）</w:t>
            </w:r>
          </w:p>
        </w:tc>
        <w:tc>
          <w:tcPr>
            <w:tcW w:w="5683" w:type="dxa"/>
            <w:tcBorders>
              <w:top w:val="single" w:color="000000" w:sz="4" w:space="0"/>
              <w:left w:val="single" w:color="000000" w:sz="4" w:space="0"/>
              <w:bottom w:val="single" w:color="000000" w:sz="4" w:space="0"/>
              <w:right w:val="single" w:color="000000" w:sz="4" w:space="0"/>
            </w:tcBorders>
            <w:vAlign w:val="center"/>
          </w:tcPr>
          <w:p w14:paraId="30AE850D">
            <w:pPr>
              <w:widowControl/>
              <w:jc w:val="center"/>
              <w:textAlignment w:val="center"/>
              <w:rPr>
                <w:rFonts w:ascii="宋体" w:hAnsi="宋体" w:eastAsia="宋体" w:cs="黑体"/>
                <w:color w:val="auto"/>
                <w:szCs w:val="21"/>
                <w:highlight w:val="none"/>
              </w:rPr>
            </w:pPr>
            <w:r>
              <w:rPr>
                <w:rFonts w:hint="eastAsia" w:ascii="宋体" w:hAnsi="宋体" w:eastAsia="宋体" w:cs="黑体"/>
                <w:color w:val="auto"/>
                <w:kern w:val="0"/>
                <w:szCs w:val="21"/>
                <w:highlight w:val="none"/>
                <w:lang w:bidi="ar"/>
              </w:rPr>
              <w:t>评审标准</w:t>
            </w:r>
          </w:p>
        </w:tc>
        <w:tc>
          <w:tcPr>
            <w:tcW w:w="1327" w:type="dxa"/>
            <w:tcBorders>
              <w:top w:val="single" w:color="000000" w:sz="4" w:space="0"/>
              <w:left w:val="single" w:color="000000" w:sz="4" w:space="0"/>
              <w:bottom w:val="single" w:color="000000" w:sz="4" w:space="0"/>
              <w:right w:val="single" w:color="000000" w:sz="4" w:space="0"/>
            </w:tcBorders>
            <w:vAlign w:val="center"/>
          </w:tcPr>
          <w:p w14:paraId="3A0C6D55">
            <w:pPr>
              <w:widowControl/>
              <w:jc w:val="center"/>
              <w:textAlignment w:val="center"/>
              <w:rPr>
                <w:rFonts w:ascii="宋体" w:hAnsi="宋体" w:eastAsia="宋体" w:cs="黑体"/>
                <w:color w:val="auto"/>
                <w:szCs w:val="21"/>
                <w:highlight w:val="none"/>
              </w:rPr>
            </w:pPr>
            <w:r>
              <w:rPr>
                <w:rFonts w:hint="eastAsia" w:ascii="宋体" w:hAnsi="宋体" w:eastAsia="宋体" w:cs="黑体"/>
                <w:color w:val="auto"/>
                <w:kern w:val="0"/>
                <w:szCs w:val="21"/>
                <w:highlight w:val="none"/>
                <w:lang w:bidi="ar"/>
              </w:rPr>
              <w:t>标准分值</w:t>
            </w:r>
          </w:p>
        </w:tc>
      </w:tr>
      <w:tr w14:paraId="3E4036F3">
        <w:tblPrEx>
          <w:tblCellMar>
            <w:top w:w="0" w:type="dxa"/>
            <w:left w:w="108" w:type="dxa"/>
            <w:bottom w:w="0" w:type="dxa"/>
            <w:right w:w="108" w:type="dxa"/>
          </w:tblCellMar>
        </w:tblPrEx>
        <w:trPr>
          <w:trHeight w:val="460"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2879E5A3">
            <w:pPr>
              <w:widowControl/>
              <w:jc w:val="left"/>
              <w:textAlignment w:val="center"/>
              <w:rPr>
                <w:rFonts w:ascii="宋体" w:hAnsi="宋体" w:eastAsia="宋体" w:cs="黑体"/>
                <w:color w:val="auto"/>
                <w:szCs w:val="21"/>
                <w:highlight w:val="none"/>
              </w:rPr>
            </w:pPr>
            <w:r>
              <w:rPr>
                <w:rFonts w:hint="eastAsia" w:ascii="宋体" w:hAnsi="宋体" w:eastAsia="宋体" w:cs="黑体"/>
                <w:b/>
                <w:bCs/>
                <w:color w:val="auto"/>
                <w:kern w:val="0"/>
                <w:szCs w:val="21"/>
                <w:highlight w:val="none"/>
                <w:lang w:bidi="ar"/>
              </w:rPr>
              <w:t>一、技术部分（</w:t>
            </w:r>
            <w:r>
              <w:rPr>
                <w:rFonts w:hint="eastAsia" w:ascii="宋体" w:hAnsi="宋体" w:eastAsia="宋体" w:cs="黑体"/>
                <w:b/>
                <w:bCs/>
                <w:color w:val="auto"/>
                <w:kern w:val="0"/>
                <w:szCs w:val="21"/>
                <w:highlight w:val="none"/>
                <w:lang w:val="en-US" w:eastAsia="zh-CN" w:bidi="ar"/>
              </w:rPr>
              <w:t>30</w:t>
            </w:r>
            <w:r>
              <w:rPr>
                <w:rFonts w:hint="eastAsia" w:ascii="宋体" w:hAnsi="宋体" w:eastAsia="宋体" w:cs="黑体"/>
                <w:b/>
                <w:bCs/>
                <w:color w:val="auto"/>
                <w:kern w:val="0"/>
                <w:szCs w:val="21"/>
                <w:highlight w:val="none"/>
                <w:lang w:bidi="ar"/>
              </w:rPr>
              <w:t>分）</w:t>
            </w:r>
          </w:p>
        </w:tc>
      </w:tr>
      <w:tr w14:paraId="11741D3C">
        <w:tblPrEx>
          <w:tblCellMar>
            <w:top w:w="0" w:type="dxa"/>
            <w:left w:w="108" w:type="dxa"/>
            <w:bottom w:w="0" w:type="dxa"/>
            <w:right w:w="108" w:type="dxa"/>
          </w:tblCellMar>
        </w:tblPrEx>
        <w:trPr>
          <w:trHeight w:val="1040" w:hRule="atLeast"/>
        </w:trPr>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6F8A3C33">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实施方案</w:t>
            </w:r>
            <w:r>
              <w:rPr>
                <w:rFonts w:hint="eastAsia" w:ascii="宋体" w:hAnsi="宋体" w:eastAsia="宋体" w:cs="宋体"/>
                <w:b/>
                <w:bCs/>
                <w:color w:val="auto"/>
                <w:kern w:val="0"/>
                <w:sz w:val="22"/>
                <w:highlight w:val="none"/>
                <w:lang w:eastAsia="zh-CN" w:bidi="ar"/>
              </w:rPr>
              <w:t>，</w:t>
            </w:r>
            <w:r>
              <w:rPr>
                <w:rFonts w:hint="eastAsia" w:ascii="宋体" w:hAnsi="宋体" w:eastAsia="宋体" w:cs="宋体"/>
                <w:b/>
                <w:bCs/>
                <w:color w:val="auto"/>
                <w:kern w:val="0"/>
                <w:sz w:val="22"/>
                <w:szCs w:val="22"/>
                <w:highlight w:val="none"/>
                <w:lang w:bidi="ar"/>
              </w:rPr>
              <w:t>应急服务方案及响应情况</w:t>
            </w:r>
            <w:r>
              <w:rPr>
                <w:rFonts w:hint="eastAsia" w:ascii="宋体" w:hAnsi="宋体" w:eastAsia="宋体" w:cs="宋体"/>
                <w:b/>
                <w:bCs/>
                <w:color w:val="auto"/>
                <w:kern w:val="0"/>
                <w:sz w:val="22"/>
                <w:highlight w:val="none"/>
                <w:lang w:bidi="ar"/>
              </w:rPr>
              <w:t>（</w:t>
            </w:r>
            <w:r>
              <w:rPr>
                <w:rFonts w:hint="eastAsia" w:ascii="宋体" w:hAnsi="宋体" w:eastAsia="宋体" w:cs="宋体"/>
                <w:b/>
                <w:bCs/>
                <w:color w:val="auto"/>
                <w:kern w:val="0"/>
                <w:sz w:val="22"/>
                <w:highlight w:val="none"/>
                <w:lang w:val="en-US" w:eastAsia="zh-CN" w:bidi="ar"/>
              </w:rPr>
              <w:t>30</w:t>
            </w:r>
            <w:r>
              <w:rPr>
                <w:rFonts w:hint="eastAsia" w:ascii="宋体" w:hAnsi="宋体" w:eastAsia="宋体" w:cs="宋体"/>
                <w:b/>
                <w:bCs/>
                <w:color w:val="auto"/>
                <w:kern w:val="0"/>
                <w:sz w:val="22"/>
                <w:highlight w:val="none"/>
                <w:lang w:bidi="ar"/>
              </w:rPr>
              <w:t>分）</w:t>
            </w:r>
          </w:p>
        </w:tc>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341753A2">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val="en-US" w:eastAsia="zh-CN" w:bidi="ar"/>
              </w:rPr>
              <w:t>3</w:t>
            </w:r>
            <w:r>
              <w:rPr>
                <w:rFonts w:hint="eastAsia" w:ascii="宋体" w:hAnsi="宋体" w:eastAsia="宋体" w:cs="宋体"/>
                <w:color w:val="auto"/>
                <w:kern w:val="0"/>
                <w:sz w:val="22"/>
                <w:highlight w:val="none"/>
                <w:lang w:bidi="ar"/>
              </w:rPr>
              <w:t>0</w:t>
            </w:r>
          </w:p>
        </w:tc>
        <w:tc>
          <w:tcPr>
            <w:tcW w:w="5683" w:type="dxa"/>
            <w:tcBorders>
              <w:top w:val="single" w:color="000000" w:sz="4" w:space="0"/>
              <w:left w:val="single" w:color="000000" w:sz="4" w:space="0"/>
              <w:bottom w:val="single" w:color="000000" w:sz="4" w:space="0"/>
              <w:right w:val="single" w:color="000000" w:sz="4" w:space="0"/>
            </w:tcBorders>
            <w:vAlign w:val="center"/>
          </w:tcPr>
          <w:p w14:paraId="08C5633C">
            <w:pPr>
              <w:widowControl/>
              <w:jc w:val="left"/>
              <w:textAlignment w:val="center"/>
              <w:rPr>
                <w:rFonts w:ascii="宋体" w:hAnsi="宋体" w:eastAsia="宋体" w:cs="宋体"/>
                <w:color w:val="auto"/>
                <w:sz w:val="22"/>
                <w:highlight w:val="none"/>
              </w:rPr>
            </w:pPr>
            <w:r>
              <w:rPr>
                <w:rFonts w:hint="eastAsia" w:ascii="宋体" w:hAnsi="宋体" w:eastAsia="宋体" w:cs="宋体"/>
                <w:color w:val="auto"/>
                <w:sz w:val="24"/>
                <w:szCs w:val="24"/>
                <w:highlight w:val="none"/>
                <w:lang w:bidi="zh-CN"/>
              </w:rPr>
              <w:t>提出合理且可行的服务方案，根据服务方案的优劣、服务期间各时间节点的响应速度、人员服务的单位数量多少等横向对比评审，满分</w:t>
            </w:r>
            <w:r>
              <w:rPr>
                <w:rFonts w:hint="eastAsia" w:ascii="宋体" w:hAnsi="宋体" w:eastAsia="宋体" w:cs="宋体"/>
                <w:color w:val="auto"/>
                <w:sz w:val="24"/>
                <w:szCs w:val="24"/>
                <w:highlight w:val="none"/>
                <w:lang w:val="en-US" w:bidi="zh-CN"/>
              </w:rPr>
              <w:t>30</w:t>
            </w:r>
            <w:r>
              <w:rPr>
                <w:rFonts w:hint="eastAsia" w:ascii="宋体" w:hAnsi="宋体" w:eastAsia="宋体" w:cs="宋体"/>
                <w:color w:val="auto"/>
                <w:sz w:val="24"/>
                <w:szCs w:val="24"/>
                <w:highlight w:val="none"/>
                <w:lang w:bidi="zh-CN"/>
              </w:rPr>
              <w:t>分。</w:t>
            </w:r>
          </w:p>
        </w:tc>
        <w:tc>
          <w:tcPr>
            <w:tcW w:w="1327" w:type="dxa"/>
            <w:vMerge w:val="restart"/>
            <w:tcBorders>
              <w:top w:val="single" w:color="000000" w:sz="4" w:space="0"/>
              <w:left w:val="single" w:color="000000" w:sz="4" w:space="0"/>
              <w:bottom w:val="single" w:color="000000" w:sz="4" w:space="0"/>
              <w:right w:val="single" w:color="000000" w:sz="4" w:space="0"/>
            </w:tcBorders>
            <w:vAlign w:val="center"/>
          </w:tcPr>
          <w:p w14:paraId="0DAF7E63">
            <w:pPr>
              <w:widowControl/>
              <w:jc w:val="center"/>
              <w:textAlignment w:val="center"/>
              <w:rPr>
                <w:rFonts w:hint="eastAsia" w:ascii="宋体" w:hAnsi="宋体" w:eastAsia="宋体" w:cs="宋体"/>
                <w:color w:val="auto"/>
                <w:kern w:val="0"/>
                <w:sz w:val="22"/>
                <w:highlight w:val="none"/>
                <w:lang w:bidi="ar"/>
              </w:rPr>
            </w:pPr>
            <w:r>
              <w:rPr>
                <w:rFonts w:hint="eastAsia" w:ascii="宋体" w:hAnsi="宋体" w:eastAsia="宋体" w:cs="宋体"/>
                <w:color w:val="auto"/>
                <w:kern w:val="0"/>
                <w:sz w:val="22"/>
                <w:highlight w:val="none"/>
                <w:lang w:val="en-US" w:eastAsia="zh-CN" w:bidi="ar"/>
              </w:rPr>
              <w:t>0</w:t>
            </w:r>
            <w:r>
              <w:rPr>
                <w:rFonts w:hint="eastAsia" w:ascii="宋体" w:hAnsi="宋体" w:eastAsia="宋体" w:cs="宋体"/>
                <w:color w:val="auto"/>
                <w:kern w:val="0"/>
                <w:sz w:val="22"/>
                <w:highlight w:val="none"/>
                <w:lang w:bidi="ar"/>
              </w:rPr>
              <w:t>-</w:t>
            </w:r>
            <w:r>
              <w:rPr>
                <w:rFonts w:hint="eastAsia" w:ascii="宋体" w:hAnsi="宋体" w:eastAsia="宋体" w:cs="宋体"/>
                <w:color w:val="auto"/>
                <w:kern w:val="0"/>
                <w:sz w:val="22"/>
                <w:highlight w:val="none"/>
                <w:lang w:val="en-US" w:eastAsia="zh-CN" w:bidi="ar"/>
              </w:rPr>
              <w:t>3</w:t>
            </w:r>
            <w:r>
              <w:rPr>
                <w:rFonts w:hint="eastAsia" w:ascii="宋体" w:hAnsi="宋体" w:eastAsia="宋体" w:cs="宋体"/>
                <w:color w:val="auto"/>
                <w:kern w:val="0"/>
                <w:sz w:val="22"/>
                <w:highlight w:val="none"/>
                <w:lang w:bidi="ar"/>
              </w:rPr>
              <w:t>0分</w:t>
            </w:r>
          </w:p>
          <w:p w14:paraId="0AAA760F">
            <w:pPr>
              <w:pStyle w:val="15"/>
              <w:rPr>
                <w:rFonts w:hint="eastAsia" w:eastAsia="宋体"/>
                <w:lang w:eastAsia="zh-CN"/>
              </w:rPr>
            </w:pPr>
          </w:p>
        </w:tc>
      </w:tr>
      <w:tr w14:paraId="3CE71B98">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7202147A">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6803C388">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38F4A595">
            <w:pPr>
              <w:pStyle w:val="11"/>
              <w:widowControl/>
              <w:rPr>
                <w:rFonts w:hint="default" w:ascii="宋体" w:hAnsi="宋体" w:eastAsia="宋体" w:cs="宋体"/>
                <w:color w:val="auto"/>
                <w:sz w:val="22"/>
                <w:highlight w:val="none"/>
                <w:lang w:val="en-US"/>
              </w:rPr>
            </w:pPr>
            <w:r>
              <w:rPr>
                <w:rFonts w:hint="eastAsia" w:ascii="宋体" w:hAnsi="宋体" w:eastAsia="宋体" w:cs="宋体"/>
                <w:color w:val="auto"/>
                <w:kern w:val="2"/>
                <w:szCs w:val="24"/>
                <w:highlight w:val="none"/>
                <w:lang w:bidi="zh-CN"/>
              </w:rPr>
              <w:t>一档（</w:t>
            </w:r>
            <w:r>
              <w:rPr>
                <w:rFonts w:hint="eastAsia" w:ascii="宋体" w:hAnsi="宋体" w:eastAsia="宋体" w:cs="宋体"/>
                <w:color w:val="auto"/>
                <w:kern w:val="2"/>
                <w:szCs w:val="24"/>
                <w:highlight w:val="none"/>
                <w:lang w:val="en-US" w:bidi="zh-CN"/>
              </w:rPr>
              <w:t>21</w:t>
            </w:r>
            <w:r>
              <w:rPr>
                <w:rFonts w:hint="eastAsia" w:ascii="宋体" w:hAnsi="宋体" w:eastAsia="宋体" w:cs="宋体"/>
                <w:color w:val="auto"/>
                <w:kern w:val="2"/>
                <w:szCs w:val="24"/>
                <w:highlight w:val="none"/>
                <w:lang w:bidi="zh-CN"/>
              </w:rPr>
              <w:t>-</w:t>
            </w:r>
            <w:r>
              <w:rPr>
                <w:rFonts w:hint="eastAsia" w:ascii="宋体" w:hAnsi="宋体" w:eastAsia="宋体" w:cs="宋体"/>
                <w:color w:val="auto"/>
                <w:kern w:val="2"/>
                <w:szCs w:val="24"/>
                <w:highlight w:val="none"/>
                <w:lang w:val="en-US" w:bidi="zh-CN"/>
              </w:rPr>
              <w:t>3</w:t>
            </w:r>
            <w:r>
              <w:rPr>
                <w:rFonts w:hint="eastAsia" w:ascii="宋体" w:hAnsi="宋体" w:eastAsia="宋体" w:cs="宋体"/>
                <w:color w:val="auto"/>
                <w:kern w:val="2"/>
                <w:szCs w:val="24"/>
                <w:highlight w:val="none"/>
                <w:lang w:bidi="zh-CN"/>
              </w:rPr>
              <w:t>0分）：根据采购需求量身定做服务团队和服务模式，能提供采购人领域的深度服务，精于调配不同专业领域的分工协作，服务质量保障措施周密完善，完全满足采购文件要求，可行性高。</w:t>
            </w:r>
            <w:r>
              <w:rPr>
                <w:rFonts w:hint="eastAsia" w:ascii="宋体" w:hAnsi="宋体" w:eastAsia="宋体" w:cs="宋体"/>
                <w:color w:val="auto"/>
                <w:sz w:val="24"/>
                <w:szCs w:val="24"/>
                <w:highlight w:val="none"/>
                <w:lang w:val="en-US" w:bidi="zh-CN"/>
              </w:rPr>
              <w:t>明确零星维修具体配件及单价金额。</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123D5462">
            <w:pPr>
              <w:jc w:val="center"/>
              <w:rPr>
                <w:rFonts w:ascii="宋体" w:hAnsi="宋体" w:eastAsia="宋体" w:cs="宋体"/>
                <w:color w:val="auto"/>
                <w:sz w:val="22"/>
                <w:highlight w:val="none"/>
              </w:rPr>
            </w:pPr>
          </w:p>
        </w:tc>
      </w:tr>
      <w:tr w14:paraId="0736A1FC">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35E0C659">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588C7C1E">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47352C1F">
            <w:pPr>
              <w:widowControl/>
              <w:jc w:val="left"/>
              <w:textAlignment w:val="center"/>
              <w:rPr>
                <w:rFonts w:ascii="宋体" w:hAnsi="宋体" w:eastAsia="宋体" w:cs="宋体"/>
                <w:color w:val="auto"/>
                <w:sz w:val="22"/>
                <w:highlight w:val="none"/>
              </w:rPr>
            </w:pPr>
            <w:r>
              <w:rPr>
                <w:rFonts w:hint="eastAsia" w:ascii="宋体" w:hAnsi="宋体" w:eastAsia="宋体" w:cs="宋体"/>
                <w:color w:val="auto"/>
                <w:sz w:val="24"/>
                <w:szCs w:val="24"/>
                <w:highlight w:val="none"/>
                <w:lang w:bidi="zh-CN"/>
              </w:rPr>
              <w:t>二档（1</w:t>
            </w:r>
            <w:r>
              <w:rPr>
                <w:rFonts w:hint="eastAsia" w:ascii="宋体" w:hAnsi="宋体" w:eastAsia="宋体" w:cs="宋体"/>
                <w:color w:val="auto"/>
                <w:sz w:val="24"/>
                <w:szCs w:val="24"/>
                <w:highlight w:val="none"/>
                <w:lang w:val="en-US" w:bidi="zh-CN"/>
              </w:rPr>
              <w:t>1</w:t>
            </w: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4"/>
                <w:szCs w:val="24"/>
                <w:highlight w:val="none"/>
                <w:lang w:val="en-US" w:bidi="zh-CN"/>
              </w:rPr>
              <w:t>20</w:t>
            </w:r>
            <w:r>
              <w:rPr>
                <w:rFonts w:hint="eastAsia" w:ascii="宋体" w:hAnsi="宋体" w:eastAsia="宋体" w:cs="宋体"/>
                <w:color w:val="auto"/>
                <w:sz w:val="24"/>
                <w:szCs w:val="24"/>
                <w:highlight w:val="none"/>
                <w:lang w:bidi="zh-CN"/>
              </w:rPr>
              <w:t>分）：服务方案较好满足采购人需求，内容较详细、具体；能根据采购人要求量身定做服务团队和服务模式，能提供采购人领域的较好服务。服务质量保障措施能够满足采购文件的基本要求，提供相应保障证明材料的。</w:t>
            </w:r>
            <w:r>
              <w:rPr>
                <w:rFonts w:hint="eastAsia" w:ascii="宋体" w:hAnsi="宋体" w:eastAsia="宋体" w:cs="宋体"/>
                <w:color w:val="auto"/>
                <w:sz w:val="24"/>
                <w:szCs w:val="24"/>
                <w:highlight w:val="none"/>
                <w:lang w:val="en-US" w:bidi="zh-CN"/>
              </w:rPr>
              <w:t>明确零星维修具体配件及单价金额。</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30398751">
            <w:pPr>
              <w:jc w:val="center"/>
              <w:rPr>
                <w:rFonts w:ascii="宋体" w:hAnsi="宋体" w:eastAsia="宋体" w:cs="宋体"/>
                <w:color w:val="auto"/>
                <w:sz w:val="22"/>
                <w:highlight w:val="none"/>
              </w:rPr>
            </w:pPr>
          </w:p>
        </w:tc>
      </w:tr>
      <w:tr w14:paraId="53E70277">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0A09515F">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78F9797B">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229D0DF1">
            <w:pPr>
              <w:widowControl/>
              <w:jc w:val="left"/>
              <w:textAlignment w:val="center"/>
              <w:rPr>
                <w:rFonts w:hint="default" w:ascii="宋体" w:hAnsi="宋体" w:eastAsia="宋体" w:cs="宋体"/>
                <w:color w:val="auto"/>
                <w:sz w:val="22"/>
                <w:highlight w:val="none"/>
                <w:lang w:val="en-US"/>
              </w:rPr>
            </w:pPr>
            <w:r>
              <w:rPr>
                <w:rFonts w:hint="eastAsia" w:ascii="宋体" w:hAnsi="宋体" w:eastAsia="宋体" w:cs="宋体"/>
                <w:color w:val="auto"/>
                <w:sz w:val="24"/>
                <w:szCs w:val="24"/>
                <w:highlight w:val="none"/>
                <w:lang w:bidi="zh-CN"/>
              </w:rPr>
              <w:t>三档（0-1</w:t>
            </w:r>
            <w:r>
              <w:rPr>
                <w:rFonts w:hint="eastAsia" w:ascii="宋体" w:hAnsi="宋体" w:eastAsia="宋体" w:cs="宋体"/>
                <w:color w:val="auto"/>
                <w:sz w:val="24"/>
                <w:szCs w:val="24"/>
                <w:highlight w:val="none"/>
                <w:lang w:val="en-US" w:bidi="zh-CN"/>
              </w:rPr>
              <w:t>0</w:t>
            </w:r>
            <w:r>
              <w:rPr>
                <w:rFonts w:hint="eastAsia" w:ascii="宋体" w:hAnsi="宋体" w:eastAsia="宋体" w:cs="宋体"/>
                <w:color w:val="auto"/>
                <w:sz w:val="24"/>
                <w:szCs w:val="24"/>
                <w:highlight w:val="none"/>
                <w:lang w:bidi="zh-CN"/>
              </w:rPr>
              <w:t>分）：服务方案基本满足采购需求，内容较为简单；能根据采购人要求，量身定做服务团队和服务模式。服务质量保障措施不能全面的满足采购文件要求。</w:t>
            </w:r>
            <w:r>
              <w:rPr>
                <w:rFonts w:hint="eastAsia" w:ascii="宋体" w:hAnsi="宋体" w:eastAsia="宋体" w:cs="宋体"/>
                <w:color w:val="auto"/>
                <w:sz w:val="24"/>
                <w:szCs w:val="24"/>
                <w:highlight w:val="none"/>
                <w:lang w:val="en-US" w:bidi="zh-CN"/>
              </w:rPr>
              <w:t>明确零星维修具体配件及单价金额。</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2071B394">
            <w:pPr>
              <w:jc w:val="center"/>
              <w:rPr>
                <w:rFonts w:ascii="宋体" w:hAnsi="宋体" w:eastAsia="宋体" w:cs="宋体"/>
                <w:color w:val="auto"/>
                <w:sz w:val="22"/>
                <w:highlight w:val="none"/>
              </w:rPr>
            </w:pPr>
          </w:p>
        </w:tc>
      </w:tr>
      <w:tr w14:paraId="3B27FED0">
        <w:tblPrEx>
          <w:tblCellMar>
            <w:top w:w="0" w:type="dxa"/>
            <w:left w:w="108" w:type="dxa"/>
            <w:bottom w:w="0" w:type="dxa"/>
            <w:right w:w="108" w:type="dxa"/>
          </w:tblCellMar>
        </w:tblPrEx>
        <w:trPr>
          <w:trHeight w:val="1247"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41A6491F">
            <w:pPr>
              <w:widowControl/>
              <w:jc w:val="left"/>
              <w:textAlignment w:val="center"/>
              <w:rPr>
                <w:rFonts w:hint="eastAsia" w:ascii="宋体" w:hAnsi="宋体" w:eastAsia="宋体" w:cs="宋体"/>
                <w:color w:val="auto"/>
                <w:kern w:val="0"/>
                <w:sz w:val="22"/>
                <w:highlight w:val="none"/>
                <w:lang w:bidi="ar"/>
              </w:rPr>
            </w:pPr>
            <w:r>
              <w:rPr>
                <w:rFonts w:hint="eastAsia" w:ascii="宋体" w:hAnsi="宋体" w:eastAsia="宋体" w:cs="黑体"/>
                <w:b/>
                <w:bCs/>
                <w:color w:val="auto"/>
                <w:kern w:val="0"/>
                <w:szCs w:val="21"/>
                <w:highlight w:val="none"/>
                <w:lang w:bidi="ar"/>
              </w:rPr>
              <w:t>二、资信部分（</w:t>
            </w:r>
            <w:r>
              <w:rPr>
                <w:rFonts w:hint="eastAsia" w:ascii="宋体" w:hAnsi="宋体" w:eastAsia="宋体" w:cs="黑体"/>
                <w:b/>
                <w:bCs/>
                <w:color w:val="auto"/>
                <w:kern w:val="0"/>
                <w:szCs w:val="21"/>
                <w:highlight w:val="none"/>
                <w:lang w:val="en-US" w:eastAsia="zh-CN" w:bidi="ar"/>
              </w:rPr>
              <w:t>40</w:t>
            </w:r>
            <w:r>
              <w:rPr>
                <w:rFonts w:hint="eastAsia" w:ascii="宋体" w:hAnsi="宋体" w:eastAsia="宋体" w:cs="黑体"/>
                <w:b/>
                <w:bCs/>
                <w:color w:val="auto"/>
                <w:kern w:val="0"/>
                <w:szCs w:val="21"/>
                <w:highlight w:val="none"/>
                <w:lang w:bidi="ar"/>
              </w:rPr>
              <w:t>分）</w:t>
            </w:r>
          </w:p>
        </w:tc>
      </w:tr>
      <w:tr w14:paraId="509024B5">
        <w:tblPrEx>
          <w:tblCellMar>
            <w:top w:w="0" w:type="dxa"/>
            <w:left w:w="108" w:type="dxa"/>
            <w:bottom w:w="0" w:type="dxa"/>
            <w:right w:w="108" w:type="dxa"/>
          </w:tblCellMar>
        </w:tblPrEx>
        <w:trPr>
          <w:trHeight w:val="2417" w:hRule="atLeast"/>
        </w:trPr>
        <w:tc>
          <w:tcPr>
            <w:tcW w:w="1043" w:type="dxa"/>
            <w:tcBorders>
              <w:top w:val="single" w:color="000000" w:sz="4" w:space="0"/>
              <w:left w:val="single" w:color="000000" w:sz="4" w:space="0"/>
              <w:bottom w:val="single" w:color="auto" w:sz="4" w:space="0"/>
              <w:right w:val="single" w:color="000000" w:sz="4" w:space="0"/>
            </w:tcBorders>
            <w:vAlign w:val="center"/>
          </w:tcPr>
          <w:p w14:paraId="086A9CC2">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val="en-US" w:eastAsia="zh-CN" w:bidi="ar"/>
              </w:rPr>
              <w:t>公司认证</w:t>
            </w:r>
          </w:p>
        </w:tc>
        <w:tc>
          <w:tcPr>
            <w:tcW w:w="846" w:type="dxa"/>
            <w:tcBorders>
              <w:top w:val="single" w:color="000000" w:sz="4" w:space="0"/>
              <w:left w:val="single" w:color="000000" w:sz="4" w:space="0"/>
              <w:bottom w:val="single" w:color="auto" w:sz="4" w:space="0"/>
              <w:right w:val="single" w:color="000000" w:sz="4" w:space="0"/>
            </w:tcBorders>
            <w:vAlign w:val="center"/>
          </w:tcPr>
          <w:p w14:paraId="6F4A2024">
            <w:pPr>
              <w:widowControl/>
              <w:jc w:val="center"/>
              <w:textAlignment w:val="center"/>
              <w:rPr>
                <w:rFonts w:hint="default" w:ascii="宋体" w:hAnsi="宋体" w:eastAsia="宋体" w:cs="宋体"/>
                <w:color w:val="auto"/>
                <w:sz w:val="22"/>
                <w:highlight w:val="none"/>
                <w:lang w:val="en-US"/>
              </w:rPr>
            </w:pPr>
            <w:r>
              <w:rPr>
                <w:rFonts w:hint="eastAsia" w:ascii="宋体" w:hAnsi="宋体" w:eastAsia="宋体" w:cs="宋体"/>
                <w:color w:val="auto"/>
                <w:kern w:val="0"/>
                <w:sz w:val="22"/>
                <w:highlight w:val="none"/>
                <w:lang w:val="en-US" w:eastAsia="zh-CN" w:bidi="ar"/>
              </w:rPr>
              <w:t>32</w:t>
            </w:r>
          </w:p>
        </w:tc>
        <w:tc>
          <w:tcPr>
            <w:tcW w:w="5683" w:type="dxa"/>
            <w:tcBorders>
              <w:top w:val="single" w:color="000000" w:sz="4" w:space="0"/>
              <w:left w:val="single" w:color="000000" w:sz="4" w:space="0"/>
              <w:bottom w:val="single" w:color="auto" w:sz="4" w:space="0"/>
              <w:right w:val="single" w:color="000000" w:sz="4" w:space="0"/>
            </w:tcBorders>
            <w:vAlign w:val="center"/>
          </w:tcPr>
          <w:p w14:paraId="40C2EEDF">
            <w:pPr>
              <w:snapToGrid w:val="0"/>
              <w:spacing w:line="240" w:lineRule="auto"/>
              <w:rPr>
                <w:rFonts w:hAnsi="宋体"/>
                <w:color w:val="auto"/>
                <w:szCs w:val="21"/>
              </w:rPr>
            </w:pPr>
            <w:r>
              <w:rPr>
                <w:rFonts w:hint="eastAsia" w:hAnsi="宋体"/>
                <w:color w:val="auto"/>
                <w:szCs w:val="21"/>
              </w:rPr>
              <w:t>投标人具备国家认证认可监督管理部门批准设立的认证机构颁发的认证证书：</w:t>
            </w:r>
          </w:p>
          <w:p w14:paraId="1152C51E">
            <w:pPr>
              <w:snapToGrid w:val="0"/>
              <w:spacing w:line="240" w:lineRule="auto"/>
              <w:rPr>
                <w:rFonts w:hAnsi="宋体"/>
                <w:color w:val="auto"/>
                <w:szCs w:val="21"/>
              </w:rPr>
            </w:pPr>
            <w:r>
              <w:rPr>
                <w:rFonts w:hint="eastAsia" w:hAnsi="宋体"/>
                <w:color w:val="auto"/>
                <w:szCs w:val="21"/>
              </w:rPr>
              <w:t>（1）具有ISO9001质量管理体系认证证书的，得</w:t>
            </w:r>
            <w:r>
              <w:rPr>
                <w:rFonts w:hint="eastAsia" w:hAnsi="宋体"/>
                <w:color w:val="auto"/>
                <w:szCs w:val="21"/>
                <w:lang w:val="en-US" w:eastAsia="zh-CN"/>
              </w:rPr>
              <w:t>10</w:t>
            </w:r>
            <w:r>
              <w:rPr>
                <w:rFonts w:hint="eastAsia" w:hAnsi="宋体"/>
                <w:color w:val="auto"/>
                <w:szCs w:val="21"/>
              </w:rPr>
              <w:t>分；</w:t>
            </w:r>
          </w:p>
          <w:p w14:paraId="2F60DD27">
            <w:pPr>
              <w:snapToGrid w:val="0"/>
              <w:spacing w:line="240" w:lineRule="auto"/>
              <w:rPr>
                <w:rFonts w:hAnsi="宋体"/>
                <w:color w:val="auto"/>
                <w:szCs w:val="21"/>
              </w:rPr>
            </w:pPr>
            <w:r>
              <w:rPr>
                <w:rFonts w:hint="eastAsia" w:hAnsi="宋体"/>
                <w:color w:val="auto"/>
                <w:szCs w:val="21"/>
              </w:rPr>
              <w:t>（2）具有ISO14001环境管理体系认证证书的，得</w:t>
            </w:r>
            <w:r>
              <w:rPr>
                <w:rFonts w:hint="eastAsia" w:hAnsi="宋体"/>
                <w:color w:val="auto"/>
                <w:szCs w:val="21"/>
                <w:lang w:val="en-US" w:eastAsia="zh-CN"/>
              </w:rPr>
              <w:t>10</w:t>
            </w:r>
            <w:r>
              <w:rPr>
                <w:rFonts w:hint="eastAsia" w:hAnsi="宋体"/>
                <w:color w:val="auto"/>
                <w:szCs w:val="21"/>
              </w:rPr>
              <w:t>分；</w:t>
            </w:r>
          </w:p>
          <w:p w14:paraId="3210DF0F">
            <w:pPr>
              <w:snapToGrid w:val="0"/>
              <w:spacing w:line="240" w:lineRule="auto"/>
              <w:rPr>
                <w:rFonts w:hAnsi="宋体"/>
                <w:color w:val="auto"/>
                <w:szCs w:val="21"/>
              </w:rPr>
            </w:pPr>
            <w:r>
              <w:rPr>
                <w:rFonts w:hint="eastAsia" w:hAnsi="宋体"/>
                <w:color w:val="auto"/>
                <w:szCs w:val="21"/>
              </w:rPr>
              <w:t>（3）具有IS045001职业健康安全管理体系认证证书的，得</w:t>
            </w:r>
            <w:r>
              <w:rPr>
                <w:rFonts w:hint="eastAsia" w:hAnsi="宋体"/>
                <w:color w:val="auto"/>
                <w:szCs w:val="21"/>
                <w:lang w:val="en-US" w:eastAsia="zh-CN"/>
              </w:rPr>
              <w:t>6</w:t>
            </w:r>
            <w:r>
              <w:rPr>
                <w:rFonts w:hint="eastAsia" w:hAnsi="宋体"/>
                <w:color w:val="auto"/>
                <w:szCs w:val="21"/>
              </w:rPr>
              <w:t xml:space="preserve">分； </w:t>
            </w:r>
          </w:p>
          <w:p w14:paraId="4C4A1DA3">
            <w:pPr>
              <w:snapToGrid w:val="0"/>
              <w:spacing w:line="240" w:lineRule="auto"/>
              <w:rPr>
                <w:rFonts w:hAnsi="宋体"/>
                <w:color w:val="auto"/>
                <w:szCs w:val="21"/>
              </w:rPr>
            </w:pPr>
            <w:r>
              <w:rPr>
                <w:rFonts w:hint="eastAsia" w:hAnsi="宋体"/>
                <w:color w:val="auto"/>
                <w:szCs w:val="21"/>
              </w:rPr>
              <w:t>（</w:t>
            </w:r>
            <w:r>
              <w:rPr>
                <w:rFonts w:hAnsi="宋体"/>
                <w:color w:val="auto"/>
                <w:szCs w:val="21"/>
              </w:rPr>
              <w:t>4</w:t>
            </w:r>
            <w:r>
              <w:rPr>
                <w:rFonts w:hint="eastAsia" w:hAnsi="宋体"/>
                <w:color w:val="auto"/>
                <w:szCs w:val="21"/>
              </w:rPr>
              <w:t>）具有有效的安全生产许可证书的，得</w:t>
            </w:r>
            <w:r>
              <w:rPr>
                <w:rFonts w:hint="eastAsia" w:hAnsi="宋体"/>
                <w:color w:val="auto"/>
                <w:szCs w:val="21"/>
                <w:lang w:val="en-US" w:eastAsia="zh-CN"/>
              </w:rPr>
              <w:t>6</w:t>
            </w:r>
            <w:r>
              <w:rPr>
                <w:rFonts w:hint="eastAsia" w:hAnsi="宋体"/>
                <w:color w:val="auto"/>
                <w:szCs w:val="21"/>
              </w:rPr>
              <w:t>分；</w:t>
            </w:r>
          </w:p>
          <w:p w14:paraId="140A3049">
            <w:pPr>
              <w:widowControl/>
              <w:jc w:val="left"/>
              <w:textAlignment w:val="center"/>
              <w:rPr>
                <w:rFonts w:ascii="宋体" w:hAnsi="宋体" w:eastAsia="宋体" w:cs="宋体"/>
                <w:b/>
                <w:bCs/>
                <w:color w:val="auto"/>
                <w:sz w:val="22"/>
                <w:highlight w:val="none"/>
              </w:rPr>
            </w:pPr>
            <w:r>
              <w:rPr>
                <w:rFonts w:hint="eastAsia" w:hAnsi="宋体"/>
                <w:color w:val="auto"/>
                <w:szCs w:val="21"/>
              </w:rPr>
              <w:t>（须提供上述有效期内的证书，并加盖投标人公章。）</w:t>
            </w:r>
          </w:p>
        </w:tc>
        <w:tc>
          <w:tcPr>
            <w:tcW w:w="1327" w:type="dxa"/>
            <w:tcBorders>
              <w:top w:val="single" w:color="000000" w:sz="4" w:space="0"/>
              <w:left w:val="single" w:color="000000" w:sz="4" w:space="0"/>
              <w:bottom w:val="single" w:color="auto" w:sz="4" w:space="0"/>
              <w:right w:val="single" w:color="000000" w:sz="4" w:space="0"/>
            </w:tcBorders>
            <w:vAlign w:val="center"/>
          </w:tcPr>
          <w:p w14:paraId="6D1E7D76">
            <w:pPr>
              <w:widowControl/>
              <w:jc w:val="center"/>
              <w:textAlignment w:val="center"/>
              <w:rPr>
                <w:rFonts w:hint="eastAsia" w:ascii="宋体" w:hAnsi="宋体" w:eastAsia="宋体" w:cs="宋体"/>
                <w:color w:val="auto"/>
                <w:kern w:val="0"/>
                <w:sz w:val="22"/>
                <w:highlight w:val="none"/>
                <w:lang w:bidi="ar"/>
              </w:rPr>
            </w:pPr>
            <w:r>
              <w:rPr>
                <w:rFonts w:hint="eastAsia" w:ascii="宋体" w:hAnsi="宋体" w:eastAsia="宋体" w:cs="宋体"/>
                <w:color w:val="auto"/>
                <w:kern w:val="0"/>
                <w:sz w:val="22"/>
                <w:highlight w:val="none"/>
                <w:lang w:val="en-US" w:eastAsia="zh-CN" w:bidi="ar"/>
              </w:rPr>
              <w:t>0</w:t>
            </w:r>
            <w:r>
              <w:rPr>
                <w:rFonts w:hint="eastAsia" w:ascii="宋体" w:hAnsi="宋体" w:eastAsia="宋体" w:cs="宋体"/>
                <w:color w:val="auto"/>
                <w:kern w:val="0"/>
                <w:sz w:val="22"/>
                <w:highlight w:val="none"/>
                <w:lang w:bidi="ar"/>
              </w:rPr>
              <w:t>-</w:t>
            </w:r>
            <w:r>
              <w:rPr>
                <w:rFonts w:hint="eastAsia" w:ascii="宋体" w:hAnsi="宋体" w:eastAsia="宋体" w:cs="宋体"/>
                <w:color w:val="auto"/>
                <w:kern w:val="0"/>
                <w:sz w:val="22"/>
                <w:highlight w:val="none"/>
                <w:lang w:val="en-US" w:eastAsia="zh-CN" w:bidi="ar"/>
              </w:rPr>
              <w:t>32</w:t>
            </w:r>
            <w:r>
              <w:rPr>
                <w:rFonts w:hint="eastAsia" w:ascii="宋体" w:hAnsi="宋体" w:eastAsia="宋体" w:cs="宋体"/>
                <w:color w:val="auto"/>
                <w:kern w:val="0"/>
                <w:sz w:val="22"/>
                <w:highlight w:val="none"/>
                <w:lang w:bidi="ar"/>
              </w:rPr>
              <w:t>分</w:t>
            </w:r>
          </w:p>
          <w:p w14:paraId="0836A2B2">
            <w:pPr>
              <w:pStyle w:val="15"/>
            </w:pPr>
          </w:p>
        </w:tc>
      </w:tr>
      <w:tr w14:paraId="211C592D">
        <w:tblPrEx>
          <w:tblCellMar>
            <w:top w:w="0" w:type="dxa"/>
            <w:left w:w="108" w:type="dxa"/>
            <w:bottom w:w="0" w:type="dxa"/>
            <w:right w:w="108" w:type="dxa"/>
          </w:tblCellMar>
        </w:tblPrEx>
        <w:trPr>
          <w:trHeight w:val="1260" w:hRule="atLeast"/>
        </w:trPr>
        <w:tc>
          <w:tcPr>
            <w:tcW w:w="1043" w:type="dxa"/>
            <w:tcBorders>
              <w:top w:val="single" w:color="auto" w:sz="4" w:space="0"/>
              <w:left w:val="single" w:color="000000" w:sz="4" w:space="0"/>
              <w:bottom w:val="single" w:color="000000" w:sz="4" w:space="0"/>
              <w:right w:val="single" w:color="000000" w:sz="4" w:space="0"/>
            </w:tcBorders>
            <w:vAlign w:val="center"/>
          </w:tcPr>
          <w:p w14:paraId="5C4D32D1">
            <w:pPr>
              <w:widowControl/>
              <w:jc w:val="both"/>
              <w:textAlignment w:val="center"/>
              <w:rPr>
                <w:rFonts w:ascii="宋体" w:hAnsi="宋体" w:eastAsia="宋体" w:cs="宋体"/>
                <w:color w:val="auto"/>
                <w:sz w:val="22"/>
                <w:highlight w:val="none"/>
              </w:rPr>
            </w:pPr>
            <w:r>
              <w:rPr>
                <w:rFonts w:hint="eastAsia" w:ascii="宋体" w:hAnsi="宋体" w:eastAsia="宋体" w:cs="宋体"/>
                <w:b/>
                <w:bCs/>
                <w:color w:val="auto"/>
                <w:kern w:val="0"/>
                <w:sz w:val="22"/>
                <w:szCs w:val="22"/>
                <w:highlight w:val="none"/>
                <w:lang w:val="en-US" w:eastAsia="zh-CN" w:bidi="ar"/>
              </w:rPr>
              <w:t>公司</w:t>
            </w:r>
            <w:r>
              <w:rPr>
                <w:rFonts w:hint="eastAsia" w:ascii="宋体" w:hAnsi="宋体" w:eastAsia="宋体" w:cs="宋体"/>
                <w:b/>
                <w:bCs/>
                <w:color w:val="auto"/>
                <w:kern w:val="0"/>
                <w:sz w:val="22"/>
                <w:szCs w:val="22"/>
                <w:highlight w:val="none"/>
                <w:lang w:bidi="ar"/>
              </w:rPr>
              <w:t>管理规章制度</w:t>
            </w:r>
          </w:p>
        </w:tc>
        <w:tc>
          <w:tcPr>
            <w:tcW w:w="846" w:type="dxa"/>
            <w:tcBorders>
              <w:top w:val="single" w:color="auto" w:sz="4" w:space="0"/>
              <w:left w:val="single" w:color="000000" w:sz="4" w:space="0"/>
              <w:bottom w:val="single" w:color="000000" w:sz="4" w:space="0"/>
              <w:right w:val="single" w:color="000000" w:sz="4" w:space="0"/>
            </w:tcBorders>
            <w:vAlign w:val="center"/>
          </w:tcPr>
          <w:p w14:paraId="6E7CA4E1">
            <w:pPr>
              <w:jc w:val="center"/>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3</w:t>
            </w:r>
          </w:p>
        </w:tc>
        <w:tc>
          <w:tcPr>
            <w:tcW w:w="5683" w:type="dxa"/>
            <w:tcBorders>
              <w:top w:val="single" w:color="auto" w:sz="4" w:space="0"/>
              <w:left w:val="single" w:color="000000" w:sz="4" w:space="0"/>
              <w:bottom w:val="single" w:color="000000" w:sz="4" w:space="0"/>
              <w:right w:val="single" w:color="000000" w:sz="4" w:space="0"/>
            </w:tcBorders>
            <w:vAlign w:val="center"/>
          </w:tcPr>
          <w:p w14:paraId="402493C2">
            <w:pPr>
              <w:spacing w:line="240" w:lineRule="auto"/>
              <w:rPr>
                <w:rFonts w:hAnsi="宋体" w:cs="宋体"/>
                <w:bCs/>
                <w:color w:val="auto"/>
                <w:szCs w:val="21"/>
              </w:rPr>
            </w:pPr>
            <w:r>
              <w:rPr>
                <w:rFonts w:hint="eastAsia" w:hAnsi="宋体" w:cs="宋体"/>
                <w:bCs/>
                <w:color w:val="auto"/>
                <w:szCs w:val="21"/>
              </w:rPr>
              <w:t xml:space="preserve">根据投标人提供的管理规章制度进行评审： </w:t>
            </w:r>
          </w:p>
          <w:p w14:paraId="56454621">
            <w:pPr>
              <w:spacing w:line="240" w:lineRule="auto"/>
              <w:rPr>
                <w:rFonts w:hAnsi="宋体" w:cs="宋体"/>
                <w:bCs/>
                <w:color w:val="auto"/>
                <w:szCs w:val="21"/>
              </w:rPr>
            </w:pPr>
            <w:r>
              <w:rPr>
                <w:rFonts w:hint="eastAsia" w:hAnsi="宋体" w:cs="宋体"/>
                <w:bCs/>
                <w:color w:val="auto"/>
                <w:szCs w:val="21"/>
              </w:rPr>
              <w:t>1、管理规章制度详尽、清晰、合理，得</w:t>
            </w:r>
            <w:r>
              <w:rPr>
                <w:rFonts w:hint="eastAsia" w:hAnsi="宋体" w:cs="宋体"/>
                <w:bCs/>
                <w:color w:val="auto"/>
                <w:szCs w:val="21"/>
                <w:lang w:val="en-US" w:eastAsia="zh-CN"/>
              </w:rPr>
              <w:t>3</w:t>
            </w:r>
            <w:r>
              <w:rPr>
                <w:rFonts w:hint="eastAsia" w:hAnsi="宋体" w:cs="宋体"/>
                <w:bCs/>
                <w:color w:val="auto"/>
                <w:szCs w:val="21"/>
              </w:rPr>
              <w:t xml:space="preserve">分； </w:t>
            </w:r>
          </w:p>
          <w:p w14:paraId="2ECBF7B7">
            <w:pPr>
              <w:spacing w:line="240" w:lineRule="auto"/>
              <w:rPr>
                <w:rFonts w:hint="eastAsia" w:hAnsi="宋体" w:cs="宋体"/>
                <w:bCs/>
                <w:color w:val="auto"/>
                <w:szCs w:val="21"/>
              </w:rPr>
            </w:pPr>
            <w:r>
              <w:rPr>
                <w:rFonts w:hint="eastAsia" w:hAnsi="宋体" w:cs="宋体"/>
                <w:bCs/>
                <w:color w:val="auto"/>
                <w:szCs w:val="21"/>
                <w:lang w:val="en-US" w:eastAsia="zh-CN"/>
              </w:rPr>
              <w:t>2</w:t>
            </w:r>
            <w:r>
              <w:rPr>
                <w:rFonts w:hint="eastAsia" w:hAnsi="宋体" w:cs="宋体"/>
                <w:bCs/>
                <w:color w:val="auto"/>
                <w:szCs w:val="21"/>
              </w:rPr>
              <w:t>、管理规章制度一般合理，得</w:t>
            </w:r>
            <w:r>
              <w:rPr>
                <w:rFonts w:hint="eastAsia" w:hAnsi="宋体" w:cs="宋体"/>
                <w:bCs/>
                <w:color w:val="auto"/>
                <w:szCs w:val="21"/>
                <w:lang w:val="en-US" w:eastAsia="zh-CN"/>
              </w:rPr>
              <w:t>2</w:t>
            </w:r>
            <w:r>
              <w:rPr>
                <w:rFonts w:hint="eastAsia" w:hAnsi="宋体" w:cs="宋体"/>
                <w:bCs/>
                <w:color w:val="auto"/>
                <w:szCs w:val="21"/>
              </w:rPr>
              <w:t>分；</w:t>
            </w:r>
          </w:p>
          <w:p w14:paraId="61EB007E">
            <w:pPr>
              <w:spacing w:line="240" w:lineRule="auto"/>
              <w:rPr>
                <w:rFonts w:hint="eastAsia" w:hAnsi="宋体" w:cs="宋体"/>
                <w:bCs/>
                <w:color w:val="auto"/>
                <w:szCs w:val="21"/>
              </w:rPr>
            </w:pPr>
            <w:r>
              <w:rPr>
                <w:rFonts w:hint="eastAsia" w:hAnsi="宋体" w:cs="宋体"/>
                <w:bCs/>
                <w:color w:val="auto"/>
                <w:szCs w:val="21"/>
                <w:lang w:val="en-US" w:eastAsia="zh-CN"/>
              </w:rPr>
              <w:t>3</w:t>
            </w:r>
            <w:r>
              <w:rPr>
                <w:rFonts w:hint="eastAsia" w:hAnsi="宋体" w:cs="宋体"/>
                <w:bCs/>
                <w:color w:val="auto"/>
                <w:szCs w:val="21"/>
              </w:rPr>
              <w:t xml:space="preserve">、管理规章制度不合理，得1分； </w:t>
            </w:r>
          </w:p>
          <w:p w14:paraId="23CA24E9">
            <w:pPr>
              <w:spacing w:line="240" w:lineRule="auto"/>
              <w:rPr>
                <w:rFonts w:ascii="宋体" w:hAnsi="宋体" w:eastAsia="宋体" w:cs="宋体"/>
                <w:b/>
                <w:bCs/>
                <w:color w:val="auto"/>
                <w:sz w:val="22"/>
                <w:highlight w:val="none"/>
              </w:rPr>
            </w:pPr>
            <w:r>
              <w:rPr>
                <w:rFonts w:hint="eastAsia" w:hAnsi="宋体" w:cs="宋体"/>
                <w:bCs/>
                <w:color w:val="auto"/>
                <w:szCs w:val="21"/>
                <w:lang w:val="en-US" w:eastAsia="zh-CN"/>
              </w:rPr>
              <w:t>4</w:t>
            </w:r>
            <w:r>
              <w:rPr>
                <w:rFonts w:hint="eastAsia" w:hAnsi="宋体" w:cs="宋体"/>
                <w:bCs/>
                <w:color w:val="auto"/>
                <w:szCs w:val="21"/>
              </w:rPr>
              <w:t>、未提供相应</w:t>
            </w:r>
            <w:r>
              <w:rPr>
                <w:rFonts w:hint="eastAsia" w:hAnsi="宋体" w:cs="宋体"/>
                <w:bCs/>
                <w:color w:val="auto"/>
                <w:szCs w:val="21"/>
                <w:lang w:val="en-US" w:eastAsia="zh-CN"/>
              </w:rPr>
              <w:t>制度</w:t>
            </w:r>
            <w:r>
              <w:rPr>
                <w:rFonts w:hint="eastAsia" w:hAnsi="宋体" w:cs="宋体"/>
                <w:bCs/>
                <w:color w:val="auto"/>
                <w:szCs w:val="21"/>
              </w:rPr>
              <w:t>，得0分。</w:t>
            </w:r>
          </w:p>
        </w:tc>
        <w:tc>
          <w:tcPr>
            <w:tcW w:w="1327" w:type="dxa"/>
            <w:tcBorders>
              <w:top w:val="single" w:color="auto" w:sz="4" w:space="0"/>
              <w:left w:val="single" w:color="000000" w:sz="4" w:space="0"/>
              <w:bottom w:val="single" w:color="000000" w:sz="4" w:space="0"/>
              <w:right w:val="single" w:color="000000" w:sz="4" w:space="0"/>
            </w:tcBorders>
            <w:vAlign w:val="center"/>
          </w:tcPr>
          <w:p w14:paraId="6FE146D0">
            <w:pPr>
              <w:widowControl/>
              <w:jc w:val="center"/>
              <w:textAlignment w:val="center"/>
              <w:rPr>
                <w:rFonts w:hint="eastAsia" w:ascii="宋体" w:hAnsi="宋体" w:eastAsia="宋体" w:cs="宋体"/>
                <w:color w:val="auto"/>
                <w:kern w:val="0"/>
                <w:sz w:val="22"/>
                <w:highlight w:val="none"/>
                <w:lang w:bidi="ar"/>
              </w:rPr>
            </w:pPr>
            <w:r>
              <w:rPr>
                <w:rFonts w:hint="eastAsia" w:ascii="宋体" w:hAnsi="宋体" w:eastAsia="宋体" w:cs="宋体"/>
                <w:color w:val="auto"/>
                <w:kern w:val="0"/>
                <w:sz w:val="22"/>
                <w:highlight w:val="none"/>
                <w:lang w:val="en-US" w:eastAsia="zh-CN" w:bidi="ar"/>
              </w:rPr>
              <w:t>0</w:t>
            </w:r>
            <w:r>
              <w:rPr>
                <w:rFonts w:hint="eastAsia" w:ascii="宋体" w:hAnsi="宋体" w:eastAsia="宋体" w:cs="宋体"/>
                <w:color w:val="auto"/>
                <w:kern w:val="0"/>
                <w:sz w:val="22"/>
                <w:highlight w:val="none"/>
                <w:lang w:bidi="ar"/>
              </w:rPr>
              <w:t>-</w:t>
            </w:r>
            <w:r>
              <w:rPr>
                <w:rFonts w:hint="eastAsia" w:ascii="宋体" w:hAnsi="宋体" w:eastAsia="宋体" w:cs="宋体"/>
                <w:color w:val="auto"/>
                <w:kern w:val="0"/>
                <w:sz w:val="22"/>
                <w:highlight w:val="none"/>
                <w:lang w:val="en-US" w:eastAsia="zh-CN" w:bidi="ar"/>
              </w:rPr>
              <w:t>3</w:t>
            </w:r>
            <w:r>
              <w:rPr>
                <w:rFonts w:hint="eastAsia" w:ascii="宋体" w:hAnsi="宋体" w:eastAsia="宋体" w:cs="宋体"/>
                <w:color w:val="auto"/>
                <w:kern w:val="0"/>
                <w:sz w:val="22"/>
                <w:highlight w:val="none"/>
                <w:lang w:bidi="ar"/>
              </w:rPr>
              <w:t>分</w:t>
            </w:r>
          </w:p>
          <w:p w14:paraId="5DDF27E1">
            <w:pPr>
              <w:pStyle w:val="15"/>
              <w:rPr>
                <w:rFonts w:hint="eastAsia" w:eastAsia="宋体"/>
                <w:lang w:eastAsia="zh-CN"/>
              </w:rPr>
            </w:pPr>
          </w:p>
        </w:tc>
      </w:tr>
      <w:tr w14:paraId="1A40B12F">
        <w:tblPrEx>
          <w:tblCellMar>
            <w:top w:w="0" w:type="dxa"/>
            <w:left w:w="108" w:type="dxa"/>
            <w:bottom w:w="0" w:type="dxa"/>
            <w:right w:w="108" w:type="dxa"/>
          </w:tblCellMar>
        </w:tblPrEx>
        <w:trPr>
          <w:trHeight w:val="1508" w:hRule="atLeast"/>
        </w:trPr>
        <w:tc>
          <w:tcPr>
            <w:tcW w:w="1043" w:type="dxa"/>
            <w:tcBorders>
              <w:top w:val="single" w:color="000000" w:sz="4" w:space="0"/>
              <w:left w:val="single" w:color="000000" w:sz="4" w:space="0"/>
              <w:bottom w:val="single" w:color="000000" w:sz="4" w:space="0"/>
              <w:right w:val="single" w:color="000000" w:sz="4" w:space="0"/>
            </w:tcBorders>
            <w:vAlign w:val="center"/>
          </w:tcPr>
          <w:p w14:paraId="11F7A164">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（三）供应商业绩（15分）</w:t>
            </w:r>
          </w:p>
        </w:tc>
        <w:tc>
          <w:tcPr>
            <w:tcW w:w="846" w:type="dxa"/>
            <w:tcBorders>
              <w:top w:val="single" w:color="000000" w:sz="4" w:space="0"/>
              <w:left w:val="single" w:color="000000" w:sz="4" w:space="0"/>
              <w:bottom w:val="single" w:color="000000" w:sz="4" w:space="0"/>
              <w:right w:val="single" w:color="000000" w:sz="4" w:space="0"/>
            </w:tcBorders>
            <w:vAlign w:val="center"/>
          </w:tcPr>
          <w:p w14:paraId="56A3BA84">
            <w:pPr>
              <w:widowControl/>
              <w:jc w:val="center"/>
              <w:textAlignment w:val="center"/>
              <w:rPr>
                <w:rFonts w:ascii="宋体" w:hAnsi="宋体" w:eastAsia="宋体" w:cs="宋体"/>
                <w:color w:val="auto"/>
                <w:sz w:val="22"/>
                <w:highlight w:val="none"/>
              </w:rPr>
            </w:pPr>
            <w:r>
              <w:rPr>
                <w:rFonts w:ascii="宋体" w:hAnsi="宋体" w:eastAsia="宋体" w:cs="宋体"/>
                <w:color w:val="auto"/>
                <w:kern w:val="0"/>
                <w:sz w:val="22"/>
                <w:highlight w:val="none"/>
                <w:lang w:bidi="ar"/>
              </w:rPr>
              <w:t>5</w:t>
            </w:r>
          </w:p>
        </w:tc>
        <w:tc>
          <w:tcPr>
            <w:tcW w:w="5683" w:type="dxa"/>
            <w:tcBorders>
              <w:top w:val="single" w:color="000000" w:sz="4" w:space="0"/>
              <w:left w:val="single" w:color="000000" w:sz="4" w:space="0"/>
              <w:bottom w:val="single" w:color="000000" w:sz="4" w:space="0"/>
              <w:right w:val="single" w:color="000000" w:sz="4" w:space="0"/>
            </w:tcBorders>
            <w:vAlign w:val="center"/>
          </w:tcPr>
          <w:p w14:paraId="2BA294C1">
            <w:pPr>
              <w:widowControl/>
              <w:jc w:val="left"/>
              <w:textAlignment w:val="center"/>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近</w:t>
            </w:r>
            <w:r>
              <w:rPr>
                <w:rFonts w:ascii="宋体" w:hAnsi="宋体" w:eastAsia="宋体" w:cs="宋体"/>
                <w:color w:val="auto"/>
                <w:sz w:val="24"/>
                <w:szCs w:val="24"/>
                <w:highlight w:val="none"/>
                <w:lang w:bidi="zh-CN"/>
              </w:rPr>
              <w:t>3年内（自202</w:t>
            </w:r>
            <w:r>
              <w:rPr>
                <w:rFonts w:hint="eastAsia" w:ascii="宋体" w:hAnsi="宋体" w:eastAsia="宋体" w:cs="宋体"/>
                <w:color w:val="auto"/>
                <w:sz w:val="24"/>
                <w:szCs w:val="24"/>
                <w:highlight w:val="none"/>
                <w:lang w:val="en-US" w:bidi="zh-CN"/>
              </w:rPr>
              <w:t>3</w:t>
            </w:r>
            <w:r>
              <w:rPr>
                <w:rFonts w:ascii="宋体" w:hAnsi="宋体" w:eastAsia="宋体" w:cs="宋体"/>
                <w:color w:val="auto"/>
                <w:sz w:val="24"/>
                <w:szCs w:val="24"/>
                <w:highlight w:val="none"/>
                <w:lang w:bidi="zh-CN"/>
              </w:rPr>
              <w:t>年1月1日以来）具有相应或类似的业绩，并附上相应的合同复印件，</w:t>
            </w:r>
            <w:r>
              <w:rPr>
                <w:rFonts w:hint="eastAsia" w:ascii="宋体" w:hAnsi="宋体" w:eastAsia="宋体" w:cs="宋体"/>
                <w:color w:val="auto"/>
                <w:sz w:val="24"/>
                <w:szCs w:val="24"/>
                <w:highlight w:val="none"/>
                <w:lang w:val="en-US" w:bidi="zh-CN"/>
              </w:rPr>
              <w:t>满足供应商资格审查后，每增加</w:t>
            </w:r>
            <w:r>
              <w:rPr>
                <w:rFonts w:ascii="宋体" w:hAnsi="宋体" w:eastAsia="宋体" w:cs="宋体"/>
                <w:color w:val="auto"/>
                <w:sz w:val="24"/>
                <w:szCs w:val="24"/>
                <w:highlight w:val="none"/>
                <w:lang w:bidi="zh-CN"/>
              </w:rPr>
              <w:t>1个相应或类似的业绩，每一个得</w:t>
            </w:r>
            <w:r>
              <w:rPr>
                <w:rFonts w:hint="eastAsia" w:ascii="宋体" w:hAnsi="宋体" w:eastAsia="宋体" w:cs="宋体"/>
                <w:color w:val="auto"/>
                <w:sz w:val="24"/>
                <w:szCs w:val="24"/>
                <w:highlight w:val="none"/>
                <w:lang w:val="en-US" w:bidi="zh-CN"/>
              </w:rPr>
              <w:t>2.5</w:t>
            </w:r>
            <w:r>
              <w:rPr>
                <w:rFonts w:hint="eastAsia" w:ascii="宋体" w:hAnsi="宋体" w:eastAsia="宋体" w:cs="宋体"/>
                <w:color w:val="auto"/>
                <w:sz w:val="24"/>
                <w:szCs w:val="24"/>
                <w:highlight w:val="none"/>
                <w:lang w:bidi="zh-CN"/>
              </w:rPr>
              <w:t>分，满分5分。</w:t>
            </w:r>
          </w:p>
          <w:p w14:paraId="3117B2E6">
            <w:pPr>
              <w:widowControl/>
              <w:jc w:val="left"/>
              <w:textAlignment w:val="center"/>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注：需提供中标通知书（如有）、合同关键页、签字页复印件。</w:t>
            </w:r>
          </w:p>
        </w:tc>
        <w:tc>
          <w:tcPr>
            <w:tcW w:w="1327" w:type="dxa"/>
            <w:tcBorders>
              <w:top w:val="single" w:color="000000" w:sz="4" w:space="0"/>
              <w:left w:val="single" w:color="000000" w:sz="4" w:space="0"/>
              <w:bottom w:val="single" w:color="000000" w:sz="4" w:space="0"/>
              <w:right w:val="single" w:color="000000" w:sz="4" w:space="0"/>
            </w:tcBorders>
            <w:vAlign w:val="center"/>
          </w:tcPr>
          <w:p w14:paraId="35F739B0">
            <w:pPr>
              <w:widowControl/>
              <w:jc w:val="center"/>
              <w:textAlignment w:val="center"/>
              <w:rPr>
                <w:rFonts w:hint="eastAsia" w:ascii="宋体" w:hAnsi="宋体" w:eastAsia="宋体" w:cs="宋体"/>
                <w:color w:val="auto"/>
                <w:kern w:val="0"/>
                <w:sz w:val="22"/>
                <w:highlight w:val="none"/>
                <w:lang w:bidi="ar"/>
              </w:rPr>
            </w:pPr>
            <w:r>
              <w:rPr>
                <w:rFonts w:hint="eastAsia" w:ascii="宋体" w:hAnsi="宋体" w:eastAsia="宋体" w:cs="宋体"/>
                <w:color w:val="auto"/>
                <w:kern w:val="0"/>
                <w:sz w:val="22"/>
                <w:highlight w:val="none"/>
                <w:lang w:bidi="ar"/>
              </w:rPr>
              <w:t>0-</w:t>
            </w:r>
            <w:r>
              <w:rPr>
                <w:rFonts w:ascii="宋体" w:hAnsi="宋体" w:eastAsia="宋体" w:cs="宋体"/>
                <w:color w:val="auto"/>
                <w:kern w:val="0"/>
                <w:sz w:val="22"/>
                <w:highlight w:val="none"/>
                <w:lang w:bidi="ar"/>
              </w:rPr>
              <w:t>15</w:t>
            </w:r>
            <w:r>
              <w:rPr>
                <w:rFonts w:hint="eastAsia" w:ascii="宋体" w:hAnsi="宋体" w:eastAsia="宋体" w:cs="宋体"/>
                <w:color w:val="auto"/>
                <w:kern w:val="0"/>
                <w:sz w:val="22"/>
                <w:highlight w:val="none"/>
                <w:lang w:bidi="ar"/>
              </w:rPr>
              <w:t>分</w:t>
            </w:r>
          </w:p>
          <w:p w14:paraId="2BD89562">
            <w:pPr>
              <w:pStyle w:val="15"/>
            </w:pPr>
          </w:p>
        </w:tc>
      </w:tr>
      <w:tr w14:paraId="7FBDF557">
        <w:tblPrEx>
          <w:tblCellMar>
            <w:top w:w="0" w:type="dxa"/>
            <w:left w:w="108" w:type="dxa"/>
            <w:bottom w:w="0" w:type="dxa"/>
            <w:right w:w="108" w:type="dxa"/>
          </w:tblCellMar>
        </w:tblPrEx>
        <w:trPr>
          <w:trHeight w:val="456"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56DF4765">
            <w:pPr>
              <w:widowControl/>
              <w:jc w:val="left"/>
              <w:textAlignment w:val="center"/>
              <w:rPr>
                <w:rFonts w:ascii="宋体" w:hAnsi="宋体" w:eastAsia="宋体" w:cs="黑体"/>
                <w:color w:val="auto"/>
                <w:szCs w:val="21"/>
                <w:highlight w:val="none"/>
              </w:rPr>
            </w:pPr>
            <w:r>
              <w:rPr>
                <w:rFonts w:hint="eastAsia" w:ascii="宋体" w:hAnsi="宋体" w:eastAsia="宋体" w:cs="黑体"/>
                <w:b/>
                <w:bCs/>
                <w:color w:val="auto"/>
                <w:kern w:val="0"/>
                <w:szCs w:val="21"/>
                <w:highlight w:val="none"/>
                <w:lang w:bidi="ar"/>
              </w:rPr>
              <w:t>三、商务部分（30分）</w:t>
            </w:r>
          </w:p>
        </w:tc>
      </w:tr>
      <w:tr w14:paraId="704417B6">
        <w:tblPrEx>
          <w:tblCellMar>
            <w:top w:w="0" w:type="dxa"/>
            <w:left w:w="108" w:type="dxa"/>
            <w:bottom w:w="0" w:type="dxa"/>
            <w:right w:w="108" w:type="dxa"/>
          </w:tblCellMar>
        </w:tblPrEx>
        <w:trPr>
          <w:trHeight w:val="435" w:hRule="atLeast"/>
        </w:trPr>
        <w:tc>
          <w:tcPr>
            <w:tcW w:w="104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C277B71">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（四）报价金额  （30分）</w:t>
            </w:r>
          </w:p>
        </w:tc>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6A2D391E">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30</w:t>
            </w:r>
          </w:p>
        </w:tc>
        <w:tc>
          <w:tcPr>
            <w:tcW w:w="5683" w:type="dxa"/>
            <w:vMerge w:val="restart"/>
            <w:tcBorders>
              <w:top w:val="single" w:color="000000" w:sz="4" w:space="0"/>
              <w:left w:val="single" w:color="000000" w:sz="4" w:space="0"/>
              <w:bottom w:val="single" w:color="000000" w:sz="4" w:space="0"/>
              <w:right w:val="single" w:color="000000" w:sz="4" w:space="0"/>
            </w:tcBorders>
            <w:vAlign w:val="center"/>
          </w:tcPr>
          <w:p w14:paraId="2E911110">
            <w:pPr>
              <w:widowControl/>
              <w:jc w:val="left"/>
              <w:textAlignment w:val="center"/>
              <w:rPr>
                <w:rFonts w:hint="default" w:ascii="宋体" w:hAnsi="宋体" w:eastAsia="宋体" w:cs="宋体"/>
                <w:color w:val="auto"/>
                <w:sz w:val="22"/>
                <w:highlight w:val="none"/>
                <w:lang w:val="en-US"/>
              </w:rPr>
            </w:pPr>
            <w:r>
              <w:rPr>
                <w:rFonts w:hint="eastAsia" w:ascii="宋体" w:hAnsi="宋体" w:eastAsia="宋体" w:cs="宋体"/>
                <w:color w:val="auto"/>
                <w:sz w:val="24"/>
                <w:szCs w:val="24"/>
                <w:highlight w:val="none"/>
                <w:lang w:bidi="zh-CN"/>
              </w:rPr>
              <w:t>评审基准价=报价最低价，报价得分=(评审基准价/评审报价)*30，评分分值保小数点后两位。</w:t>
            </w:r>
            <w:r>
              <w:rPr>
                <w:rFonts w:hint="eastAsia" w:ascii="宋体" w:hAnsi="宋体" w:eastAsia="宋体" w:cs="宋体"/>
                <w:color w:val="auto"/>
                <w:sz w:val="24"/>
                <w:szCs w:val="24"/>
                <w:highlight w:val="none"/>
                <w:lang w:val="en-US" w:bidi="zh-CN"/>
              </w:rPr>
              <w:t>零星维修预算不得低于800元/月。</w:t>
            </w:r>
          </w:p>
        </w:tc>
        <w:tc>
          <w:tcPr>
            <w:tcW w:w="1327" w:type="dxa"/>
            <w:vMerge w:val="restart"/>
            <w:tcBorders>
              <w:top w:val="single" w:color="000000" w:sz="4" w:space="0"/>
              <w:left w:val="single" w:color="000000" w:sz="4" w:space="0"/>
              <w:bottom w:val="single" w:color="000000" w:sz="4" w:space="0"/>
              <w:right w:val="single" w:color="000000" w:sz="4" w:space="0"/>
            </w:tcBorders>
            <w:vAlign w:val="center"/>
          </w:tcPr>
          <w:p w14:paraId="5C949E67">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0-30分</w:t>
            </w:r>
          </w:p>
        </w:tc>
      </w:tr>
      <w:tr w14:paraId="50660F2D">
        <w:tblPrEx>
          <w:tblCellMar>
            <w:top w:w="0" w:type="dxa"/>
            <w:left w:w="108" w:type="dxa"/>
            <w:bottom w:w="0" w:type="dxa"/>
            <w:right w:w="108" w:type="dxa"/>
          </w:tblCellMar>
        </w:tblPrEx>
        <w:trPr>
          <w:trHeight w:val="771" w:hRule="atLeast"/>
        </w:trPr>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2E6B69">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72782306">
            <w:pPr>
              <w:jc w:val="center"/>
              <w:rPr>
                <w:rFonts w:ascii="宋体" w:hAnsi="宋体" w:eastAsia="宋体" w:cs="宋体"/>
                <w:color w:val="auto"/>
                <w:sz w:val="22"/>
                <w:highlight w:val="none"/>
              </w:rPr>
            </w:pPr>
          </w:p>
        </w:tc>
        <w:tc>
          <w:tcPr>
            <w:tcW w:w="5683" w:type="dxa"/>
            <w:vMerge w:val="continue"/>
            <w:tcBorders>
              <w:top w:val="single" w:color="000000" w:sz="4" w:space="0"/>
              <w:left w:val="single" w:color="000000" w:sz="4" w:space="0"/>
              <w:bottom w:val="single" w:color="000000" w:sz="4" w:space="0"/>
              <w:right w:val="single" w:color="000000" w:sz="4" w:space="0"/>
            </w:tcBorders>
            <w:vAlign w:val="center"/>
          </w:tcPr>
          <w:p w14:paraId="5180BEEA">
            <w:pPr>
              <w:rPr>
                <w:rFonts w:ascii="宋体" w:hAnsi="宋体" w:eastAsia="宋体" w:cs="宋体"/>
                <w:color w:val="auto"/>
                <w:sz w:val="22"/>
                <w:highlight w:val="none"/>
              </w:rPr>
            </w:pP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6D73B9A2">
            <w:pPr>
              <w:jc w:val="center"/>
              <w:rPr>
                <w:rFonts w:ascii="宋体" w:hAnsi="宋体" w:eastAsia="宋体" w:cs="宋体"/>
                <w:color w:val="auto"/>
                <w:sz w:val="22"/>
                <w:highlight w:val="none"/>
              </w:rPr>
            </w:pPr>
          </w:p>
        </w:tc>
      </w:tr>
      <w:tr w14:paraId="338F8E58">
        <w:tblPrEx>
          <w:tblCellMar>
            <w:top w:w="0" w:type="dxa"/>
            <w:left w:w="108" w:type="dxa"/>
            <w:bottom w:w="0" w:type="dxa"/>
            <w:right w:w="108" w:type="dxa"/>
          </w:tblCellMar>
        </w:tblPrEx>
        <w:trPr>
          <w:trHeight w:val="420" w:hRule="atLeast"/>
        </w:trPr>
        <w:tc>
          <w:tcPr>
            <w:tcW w:w="1043" w:type="dxa"/>
            <w:tcBorders>
              <w:top w:val="single" w:color="000000" w:sz="4" w:space="0"/>
              <w:left w:val="single" w:color="000000" w:sz="4" w:space="0"/>
              <w:bottom w:val="single" w:color="000000" w:sz="4" w:space="0"/>
              <w:right w:val="single" w:color="000000" w:sz="4" w:space="0"/>
            </w:tcBorders>
            <w:vAlign w:val="center"/>
          </w:tcPr>
          <w:p w14:paraId="5FFC545A">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合计（分）</w:t>
            </w:r>
          </w:p>
        </w:tc>
        <w:tc>
          <w:tcPr>
            <w:tcW w:w="846" w:type="dxa"/>
            <w:tcBorders>
              <w:top w:val="single" w:color="000000" w:sz="4" w:space="0"/>
              <w:left w:val="single" w:color="000000" w:sz="4" w:space="0"/>
              <w:bottom w:val="single" w:color="000000" w:sz="4" w:space="0"/>
              <w:right w:val="single" w:color="000000" w:sz="4" w:space="0"/>
            </w:tcBorders>
            <w:vAlign w:val="center"/>
          </w:tcPr>
          <w:p w14:paraId="7742B964">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100</w:t>
            </w:r>
          </w:p>
        </w:tc>
        <w:tc>
          <w:tcPr>
            <w:tcW w:w="5683" w:type="dxa"/>
            <w:tcBorders>
              <w:top w:val="single" w:color="000000" w:sz="4" w:space="0"/>
              <w:left w:val="single" w:color="000000" w:sz="4" w:space="0"/>
              <w:bottom w:val="single" w:color="000000" w:sz="4" w:space="0"/>
              <w:right w:val="single" w:color="000000" w:sz="4" w:space="0"/>
            </w:tcBorders>
            <w:vAlign w:val="center"/>
          </w:tcPr>
          <w:p w14:paraId="58D378B1">
            <w:pPr>
              <w:rPr>
                <w:rFonts w:ascii="宋体" w:hAnsi="宋体" w:eastAsia="宋体" w:cs="宋体"/>
                <w:b/>
                <w:bCs/>
                <w:color w:val="auto"/>
                <w:sz w:val="22"/>
                <w:highlight w:val="none"/>
              </w:rPr>
            </w:pPr>
          </w:p>
        </w:tc>
        <w:tc>
          <w:tcPr>
            <w:tcW w:w="1327" w:type="dxa"/>
            <w:tcBorders>
              <w:top w:val="single" w:color="000000" w:sz="4" w:space="0"/>
              <w:left w:val="single" w:color="000000" w:sz="4" w:space="0"/>
              <w:bottom w:val="single" w:color="000000" w:sz="4" w:space="0"/>
              <w:right w:val="single" w:color="000000" w:sz="4" w:space="0"/>
            </w:tcBorders>
            <w:vAlign w:val="center"/>
          </w:tcPr>
          <w:p w14:paraId="54943A19">
            <w:pPr>
              <w:rPr>
                <w:rFonts w:ascii="宋体" w:hAnsi="宋体" w:eastAsia="宋体" w:cs="宋体"/>
                <w:b/>
                <w:bCs/>
                <w:color w:val="auto"/>
                <w:sz w:val="22"/>
                <w:highlight w:val="none"/>
              </w:rPr>
            </w:pPr>
          </w:p>
        </w:tc>
      </w:tr>
    </w:tbl>
    <w:p w14:paraId="6CD56D9E">
      <w:pPr>
        <w:rPr>
          <w:rFonts w:ascii="宋体" w:hAnsi="宋体" w:eastAsia="宋体"/>
          <w:color w:val="FF0000"/>
          <w:highlight w:val="none"/>
        </w:rPr>
      </w:pPr>
    </w:p>
    <w:p w14:paraId="72C38F0B">
      <w:pPr>
        <w:pStyle w:val="5"/>
        <w:jc w:val="both"/>
        <w:rPr>
          <w:rFonts w:hint="default"/>
          <w:lang w:val="en-US"/>
        </w:rPr>
      </w:pPr>
    </w:p>
    <w:p w14:paraId="1180B4FC">
      <w:pPr>
        <w:pStyle w:val="5"/>
        <w:jc w:val="both"/>
      </w:pPr>
    </w:p>
    <w:p w14:paraId="77F5A883">
      <w:pPr>
        <w:pStyle w:val="5"/>
        <w:jc w:val="both"/>
      </w:pPr>
    </w:p>
    <w:p w14:paraId="3EA91617">
      <w:pPr>
        <w:pStyle w:val="5"/>
        <w:jc w:val="both"/>
      </w:pPr>
    </w:p>
    <w:p w14:paraId="33695499">
      <w:pPr>
        <w:pStyle w:val="5"/>
        <w:jc w:val="both"/>
      </w:pPr>
    </w:p>
    <w:p w14:paraId="7015BAA5">
      <w:pPr>
        <w:pStyle w:val="5"/>
        <w:jc w:val="both"/>
      </w:pPr>
    </w:p>
    <w:p w14:paraId="153C8750">
      <w:pPr>
        <w:pStyle w:val="16"/>
        <w:spacing w:after="312"/>
        <w:rPr>
          <w:rFonts w:hint="default"/>
          <w:color w:val="auto"/>
          <w:highlight w:val="none"/>
        </w:rPr>
      </w:pPr>
      <w:r>
        <w:rPr>
          <w:color w:val="auto"/>
          <w:highlight w:val="none"/>
        </w:rPr>
        <w:t>第四章  响应文件格式</w:t>
      </w:r>
    </w:p>
    <w:p w14:paraId="741CF69F">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（响应文件外层包装封面格式 ）</w:t>
      </w:r>
    </w:p>
    <w:p w14:paraId="4DC4F083">
      <w:pPr>
        <w:rPr>
          <w:rFonts w:ascii="宋体" w:hAnsi="宋体" w:eastAsia="宋体" w:cs="宋体"/>
          <w:b/>
          <w:bCs/>
          <w:color w:val="auto"/>
          <w:sz w:val="32"/>
          <w:szCs w:val="32"/>
          <w:highlight w:val="none"/>
        </w:rPr>
      </w:pPr>
    </w:p>
    <w:p w14:paraId="70E3BD7A">
      <w:pPr>
        <w:jc w:val="center"/>
        <w:rPr>
          <w:rFonts w:ascii="宋体" w:hAnsi="宋体" w:eastAsia="宋体" w:cs="宋体"/>
          <w:color w:val="auto"/>
          <w:sz w:val="44"/>
          <w:szCs w:val="44"/>
          <w:highlight w:val="none"/>
        </w:rPr>
      </w:pPr>
      <w:r>
        <w:rPr>
          <w:rFonts w:hint="eastAsia" w:ascii="宋体" w:hAnsi="宋体" w:eastAsia="宋体" w:cs="宋体"/>
          <w:color w:val="auto"/>
          <w:sz w:val="44"/>
          <w:szCs w:val="44"/>
          <w:highlight w:val="none"/>
        </w:rPr>
        <w:t>响应文件</w:t>
      </w:r>
    </w:p>
    <w:p w14:paraId="552CADAD">
      <w:pPr>
        <w:rPr>
          <w:rFonts w:ascii="宋体" w:hAnsi="宋体" w:eastAsia="宋体" w:cs="宋体"/>
          <w:color w:val="auto"/>
          <w:sz w:val="32"/>
          <w:szCs w:val="32"/>
          <w:highlight w:val="none"/>
        </w:rPr>
      </w:pPr>
    </w:p>
    <w:p w14:paraId="10B5B7DA">
      <w:pPr>
        <w:spacing w:line="360" w:lineRule="auto"/>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项目名称：</w:t>
      </w:r>
    </w:p>
    <w:p w14:paraId="3EC93E81">
      <w:pPr>
        <w:spacing w:line="360" w:lineRule="auto"/>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项目编号：</w:t>
      </w:r>
    </w:p>
    <w:p w14:paraId="20FDF410">
      <w:pPr>
        <w:spacing w:line="360" w:lineRule="auto"/>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所竞分标：</w:t>
      </w:r>
    </w:p>
    <w:p w14:paraId="6E6A8A99">
      <w:pPr>
        <w:spacing w:line="360" w:lineRule="auto"/>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服务商名称：</w:t>
      </w:r>
    </w:p>
    <w:p w14:paraId="17757F29">
      <w:pPr>
        <w:spacing w:line="360" w:lineRule="auto"/>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截止时间：</w:t>
      </w:r>
      <w:r>
        <w:rPr>
          <w:rFonts w:hint="eastAsia" w:ascii="宋体" w:hAnsi="宋体" w:eastAsia="宋体" w:cs="宋体"/>
          <w:color w:val="auto"/>
          <w:sz w:val="30"/>
          <w:szCs w:val="30"/>
          <w:highlight w:val="none"/>
          <w:u w:val="single"/>
        </w:rPr>
        <w:t xml:space="preserve">    年  月  日  时  分（北京时间）</w:t>
      </w:r>
      <w:r>
        <w:rPr>
          <w:rFonts w:hint="eastAsia" w:ascii="宋体" w:hAnsi="宋体" w:eastAsia="宋体" w:cs="宋体"/>
          <w:color w:val="auto"/>
          <w:sz w:val="30"/>
          <w:szCs w:val="30"/>
          <w:highlight w:val="none"/>
        </w:rPr>
        <w:t>前不得启封</w:t>
      </w:r>
    </w:p>
    <w:p w14:paraId="57A883D2">
      <w:pPr>
        <w:spacing w:line="360" w:lineRule="auto"/>
        <w:ind w:firstLine="1500" w:firstLineChars="500"/>
        <w:rPr>
          <w:rFonts w:hint="eastAsia" w:ascii="宋体" w:hAnsi="宋体" w:eastAsia="宋体" w:cs="宋体"/>
          <w:color w:val="auto"/>
          <w:sz w:val="30"/>
          <w:szCs w:val="30"/>
          <w:highlight w:val="none"/>
        </w:rPr>
      </w:pPr>
    </w:p>
    <w:p w14:paraId="46508493">
      <w:pPr>
        <w:spacing w:line="360" w:lineRule="auto"/>
        <w:ind w:firstLine="1500" w:firstLineChars="500"/>
        <w:rPr>
          <w:rFonts w:hint="eastAsia" w:ascii="宋体" w:hAnsi="宋体" w:eastAsia="宋体" w:cs="宋体"/>
          <w:color w:val="auto"/>
          <w:sz w:val="30"/>
          <w:szCs w:val="30"/>
          <w:highlight w:val="none"/>
        </w:rPr>
      </w:pPr>
    </w:p>
    <w:p w14:paraId="74F0F52B">
      <w:pPr>
        <w:spacing w:line="360" w:lineRule="auto"/>
        <w:ind w:firstLine="1500" w:firstLineChars="500"/>
        <w:rPr>
          <w:rFonts w:hint="eastAsia" w:ascii="宋体" w:hAnsi="宋体" w:eastAsia="宋体" w:cs="宋体"/>
          <w:color w:val="auto"/>
          <w:sz w:val="30"/>
          <w:szCs w:val="30"/>
          <w:highlight w:val="none"/>
        </w:rPr>
      </w:pPr>
    </w:p>
    <w:p w14:paraId="162ABCCF">
      <w:pPr>
        <w:spacing w:line="360" w:lineRule="auto"/>
        <w:ind w:firstLine="1500" w:firstLineChars="500"/>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年    月    日</w:t>
      </w:r>
    </w:p>
    <w:p w14:paraId="08242828">
      <w:pPr>
        <w:pStyle w:val="3"/>
        <w:rPr>
          <w:rFonts w:ascii="宋体" w:hAnsi="宋体" w:eastAsia="宋体" w:cs="宋体"/>
          <w:color w:val="auto"/>
          <w:sz w:val="30"/>
          <w:szCs w:val="30"/>
          <w:highlight w:val="none"/>
        </w:rPr>
      </w:pPr>
    </w:p>
    <w:p w14:paraId="18F0E62A">
      <w:pPr>
        <w:rPr>
          <w:rFonts w:ascii="宋体" w:hAnsi="宋体" w:eastAsia="宋体" w:cs="宋体"/>
          <w:color w:val="auto"/>
          <w:sz w:val="32"/>
          <w:szCs w:val="32"/>
          <w:highlight w:val="none"/>
        </w:rPr>
      </w:pPr>
      <w:bookmarkStart w:id="3" w:name="_Toc31723070"/>
      <w:bookmarkStart w:id="4" w:name="_Toc44229899"/>
      <w:bookmarkStart w:id="5" w:name="_Toc35611438"/>
      <w:bookmarkStart w:id="6" w:name="_Toc35611516"/>
      <w:bookmarkStart w:id="7" w:name="_Toc30694"/>
      <w:bookmarkStart w:id="8" w:name="_Toc31728084"/>
      <w:r>
        <w:rPr>
          <w:rFonts w:hint="eastAsia" w:ascii="宋体" w:hAnsi="宋体" w:eastAsia="宋体" w:cs="宋体"/>
          <w:color w:val="auto"/>
          <w:sz w:val="32"/>
          <w:szCs w:val="32"/>
          <w:highlight w:val="none"/>
        </w:rPr>
        <w:br w:type="page"/>
      </w:r>
    </w:p>
    <w:p w14:paraId="4791B143">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一、资格证明文件格式</w:t>
      </w:r>
      <w:bookmarkEnd w:id="3"/>
      <w:bookmarkEnd w:id="4"/>
      <w:bookmarkEnd w:id="5"/>
      <w:bookmarkEnd w:id="6"/>
      <w:bookmarkEnd w:id="7"/>
      <w:bookmarkEnd w:id="8"/>
    </w:p>
    <w:p w14:paraId="3A4B8D7F">
      <w:pPr>
        <w:snapToGrid w:val="0"/>
        <w:spacing w:before="156" w:beforeLines="50" w:after="50" w:line="360" w:lineRule="auto"/>
        <w:jc w:val="left"/>
        <w:rPr>
          <w:rFonts w:ascii="宋体" w:hAnsi="宋体" w:eastAsia="宋体" w:cs="宋体"/>
          <w:color w:val="auto"/>
          <w:sz w:val="32"/>
          <w:szCs w:val="32"/>
          <w:highlight w:val="none"/>
        </w:rPr>
      </w:pPr>
      <w:r>
        <w:rPr>
          <w:rFonts w:ascii="宋体" w:hAnsi="宋体" w:eastAsia="宋体" w:cs="Times New Roman"/>
          <w:color w:val="auto"/>
          <w:sz w:val="32"/>
          <w:szCs w:val="32"/>
          <w:highlight w:val="none"/>
        </w:rPr>
        <w:t>1</w:t>
      </w:r>
      <w:r>
        <w:rPr>
          <w:rFonts w:hint="eastAsia" w:ascii="宋体" w:hAnsi="宋体" w:eastAsia="宋体" w:cs="宋体"/>
          <w:color w:val="auto"/>
          <w:sz w:val="32"/>
          <w:szCs w:val="32"/>
          <w:highlight w:val="none"/>
        </w:rPr>
        <w:t>.资格证明文件封面格式</w:t>
      </w:r>
    </w:p>
    <w:p w14:paraId="30F9A235">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6B39C73A">
      <w:pPr>
        <w:pStyle w:val="3"/>
        <w:rPr>
          <w:rFonts w:ascii="宋体" w:hAnsi="宋体" w:eastAsia="宋体" w:cs="宋体"/>
          <w:color w:val="auto"/>
          <w:sz w:val="32"/>
          <w:szCs w:val="32"/>
          <w:highlight w:val="none"/>
        </w:rPr>
      </w:pPr>
    </w:p>
    <w:p w14:paraId="24AAE8F0">
      <w:pPr>
        <w:rPr>
          <w:rFonts w:ascii="宋体" w:hAnsi="宋体" w:eastAsia="宋体"/>
          <w:color w:val="auto"/>
          <w:highlight w:val="none"/>
        </w:rPr>
      </w:pPr>
    </w:p>
    <w:p w14:paraId="32540D13">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资格证明文件</w:t>
      </w:r>
    </w:p>
    <w:p w14:paraId="3173611F">
      <w:pPr>
        <w:snapToGrid w:val="0"/>
        <w:spacing w:before="156" w:beforeLines="50" w:after="50" w:line="360" w:lineRule="auto"/>
        <w:rPr>
          <w:rFonts w:ascii="宋体" w:hAnsi="宋体" w:eastAsia="宋体" w:cs="宋体"/>
          <w:bCs/>
          <w:color w:val="auto"/>
          <w:sz w:val="32"/>
          <w:szCs w:val="32"/>
          <w:highlight w:val="none"/>
        </w:rPr>
      </w:pPr>
    </w:p>
    <w:p w14:paraId="493DEB9D">
      <w:pPr>
        <w:snapToGrid w:val="0"/>
        <w:spacing w:before="156" w:beforeLines="50" w:after="50" w:line="360" w:lineRule="auto"/>
        <w:rPr>
          <w:rFonts w:ascii="宋体" w:hAnsi="宋体" w:eastAsia="宋体" w:cs="宋体"/>
          <w:bCs/>
          <w:color w:val="auto"/>
          <w:sz w:val="32"/>
          <w:szCs w:val="32"/>
          <w:highlight w:val="none"/>
        </w:rPr>
      </w:pPr>
    </w:p>
    <w:p w14:paraId="290C02FA">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3D874C5E">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38188AA8">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680F242D">
      <w:pPr>
        <w:pStyle w:val="2"/>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6C6C2AC8">
      <w:pPr>
        <w:pStyle w:val="2"/>
        <w:snapToGrid w:val="0"/>
        <w:spacing w:before="50" w:after="50" w:line="360" w:lineRule="auto"/>
        <w:ind w:firstLine="1280" w:firstLineChars="400"/>
        <w:rPr>
          <w:rFonts w:ascii="宋体" w:hAnsi="宋体" w:eastAsia="宋体" w:cs="宋体"/>
          <w:bCs/>
          <w:color w:val="auto"/>
          <w:sz w:val="32"/>
          <w:szCs w:val="32"/>
          <w:highlight w:val="none"/>
        </w:rPr>
      </w:pPr>
    </w:p>
    <w:p w14:paraId="48D56797">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29F9A25A">
      <w:pPr>
        <w:pStyle w:val="3"/>
        <w:rPr>
          <w:rFonts w:ascii="宋体" w:hAnsi="宋体" w:eastAsia="宋体" w:cs="宋体"/>
          <w:color w:val="auto"/>
          <w:sz w:val="32"/>
          <w:szCs w:val="32"/>
          <w:highlight w:val="none"/>
        </w:rPr>
      </w:pPr>
    </w:p>
    <w:p w14:paraId="7BE8C610">
      <w:pPr>
        <w:rPr>
          <w:rFonts w:ascii="宋体" w:hAnsi="宋体" w:eastAsia="宋体" w:cs="宋体"/>
          <w:color w:val="auto"/>
          <w:sz w:val="32"/>
          <w:szCs w:val="32"/>
          <w:highlight w:val="none"/>
        </w:rPr>
      </w:pPr>
    </w:p>
    <w:p w14:paraId="23ED8012">
      <w:pPr>
        <w:pStyle w:val="3"/>
        <w:rPr>
          <w:rFonts w:ascii="宋体" w:hAnsi="宋体" w:eastAsia="宋体" w:cs="宋体"/>
          <w:color w:val="auto"/>
          <w:sz w:val="32"/>
          <w:szCs w:val="32"/>
          <w:highlight w:val="none"/>
        </w:rPr>
      </w:pPr>
    </w:p>
    <w:p w14:paraId="72D4C06C">
      <w:pPr>
        <w:rPr>
          <w:rFonts w:ascii="宋体" w:hAnsi="宋体" w:eastAsia="宋体" w:cs="宋体"/>
          <w:color w:val="auto"/>
          <w:sz w:val="32"/>
          <w:szCs w:val="32"/>
          <w:highlight w:val="none"/>
        </w:rPr>
      </w:pPr>
    </w:p>
    <w:p w14:paraId="52049AD1">
      <w:pPr>
        <w:pStyle w:val="3"/>
        <w:rPr>
          <w:rFonts w:ascii="宋体" w:hAnsi="宋体" w:eastAsia="宋体" w:cs="宋体"/>
          <w:color w:val="auto"/>
          <w:sz w:val="32"/>
          <w:szCs w:val="32"/>
          <w:highlight w:val="none"/>
        </w:rPr>
      </w:pPr>
    </w:p>
    <w:p w14:paraId="49D90160">
      <w:pPr>
        <w:rPr>
          <w:rFonts w:ascii="宋体" w:hAnsi="宋体" w:eastAsia="宋体"/>
          <w:color w:val="auto"/>
          <w:highlight w:val="none"/>
        </w:rPr>
      </w:pPr>
    </w:p>
    <w:p w14:paraId="3A14EBA2">
      <w:pPr>
        <w:rPr>
          <w:rFonts w:ascii="宋体" w:hAnsi="宋体" w:eastAsia="宋体"/>
          <w:color w:val="auto"/>
          <w:highlight w:val="none"/>
        </w:rPr>
      </w:pPr>
    </w:p>
    <w:p w14:paraId="2E617B71">
      <w:pPr>
        <w:spacing w:line="360" w:lineRule="auto"/>
        <w:rPr>
          <w:rFonts w:ascii="宋体" w:hAnsi="宋体" w:eastAsia="宋体" w:cs="宋体"/>
          <w:color w:val="auto"/>
          <w:sz w:val="32"/>
          <w:szCs w:val="32"/>
          <w:highlight w:val="none"/>
        </w:rPr>
      </w:pPr>
      <w:r>
        <w:rPr>
          <w:rFonts w:ascii="宋体" w:hAnsi="宋体" w:eastAsia="宋体" w:cs="Times New Roman"/>
          <w:color w:val="auto"/>
          <w:sz w:val="32"/>
          <w:szCs w:val="32"/>
          <w:highlight w:val="none"/>
        </w:rPr>
        <w:t>2</w:t>
      </w:r>
      <w:r>
        <w:rPr>
          <w:rFonts w:hint="eastAsia" w:ascii="宋体" w:hAnsi="宋体" w:eastAsia="宋体" w:cs="宋体"/>
          <w:color w:val="auto"/>
          <w:sz w:val="32"/>
          <w:szCs w:val="32"/>
          <w:highlight w:val="none"/>
        </w:rPr>
        <w:t>.资格证明文件目录</w:t>
      </w:r>
    </w:p>
    <w:p w14:paraId="32F022E6">
      <w:pPr>
        <w:spacing w:line="360" w:lineRule="auto"/>
        <w:rPr>
          <w:rFonts w:ascii="宋体" w:hAnsi="宋体" w:eastAsia="宋体"/>
          <w:color w:val="auto"/>
          <w:highlight w:val="none"/>
        </w:rPr>
      </w:pPr>
      <w:r>
        <w:rPr>
          <w:rFonts w:hint="eastAsia" w:ascii="宋体" w:hAnsi="宋体" w:eastAsia="宋体" w:cs="宋体"/>
          <w:color w:val="auto"/>
          <w:sz w:val="32"/>
          <w:szCs w:val="32"/>
          <w:highlight w:val="none"/>
        </w:rPr>
        <w:t>根据采购文件规定及服务商提供的材料自行编写目录（部分格式后附）</w:t>
      </w:r>
      <w:r>
        <w:rPr>
          <w:rFonts w:hint="eastAsia" w:ascii="宋体" w:hAnsi="宋体" w:eastAsia="宋体"/>
          <w:color w:val="auto"/>
          <w:highlight w:val="none"/>
        </w:rPr>
        <w:t>。</w:t>
      </w:r>
    </w:p>
    <w:p w14:paraId="6DE7AA84">
      <w:pPr>
        <w:jc w:val="center"/>
        <w:rPr>
          <w:rFonts w:ascii="宋体" w:hAnsi="宋体" w:eastAsia="宋体" w:cs="宋体"/>
          <w:color w:val="auto"/>
          <w:sz w:val="32"/>
          <w:szCs w:val="32"/>
          <w:highlight w:val="none"/>
        </w:rPr>
      </w:pPr>
      <w:r>
        <w:rPr>
          <w:rFonts w:hint="eastAsia" w:ascii="宋体" w:hAnsi="宋体" w:eastAsia="宋体"/>
          <w:color w:val="auto"/>
          <w:highlight w:val="none"/>
        </w:rPr>
        <w:br w:type="page"/>
      </w:r>
      <w:r>
        <w:rPr>
          <w:rFonts w:hint="eastAsia" w:ascii="宋体" w:hAnsi="宋体" w:eastAsia="宋体" w:cs="宋体"/>
          <w:b/>
          <w:bCs/>
          <w:color w:val="auto"/>
          <w:sz w:val="32"/>
          <w:szCs w:val="32"/>
          <w:highlight w:val="none"/>
        </w:rPr>
        <w:t>资格证明</w:t>
      </w:r>
    </w:p>
    <w:p w14:paraId="3DEA59EE">
      <w:pPr>
        <w:spacing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（如营业执照、事业单位法人证书、资质证书等）</w:t>
      </w:r>
    </w:p>
    <w:p w14:paraId="1DEBEC85">
      <w:pPr>
        <w:rPr>
          <w:rFonts w:ascii="宋体" w:hAnsi="宋体" w:eastAsia="宋体" w:cs="宋体"/>
          <w:color w:val="auto"/>
          <w:sz w:val="32"/>
          <w:szCs w:val="32"/>
          <w:highlight w:val="none"/>
        </w:rPr>
      </w:pPr>
    </w:p>
    <w:p w14:paraId="242988AA">
      <w:pPr>
        <w:rPr>
          <w:rFonts w:ascii="宋体" w:hAnsi="宋体" w:eastAsia="宋体" w:cs="宋体"/>
          <w:color w:val="auto"/>
          <w:sz w:val="32"/>
          <w:szCs w:val="32"/>
          <w:highlight w:val="none"/>
        </w:rPr>
      </w:pPr>
    </w:p>
    <w:p w14:paraId="04886F70">
      <w:pP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490274E0">
      <w:pPr>
        <w:spacing w:line="240" w:lineRule="atLeas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竞标声明</w:t>
      </w:r>
    </w:p>
    <w:p w14:paraId="41485D7F">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致：</w:t>
      </w:r>
      <w:r>
        <w:rPr>
          <w:rFonts w:hint="eastAsia" w:ascii="宋体" w:hAnsi="宋体" w:eastAsia="宋体" w:cs="宋体"/>
          <w:color w:val="auto"/>
          <w:sz w:val="24"/>
          <w:szCs w:val="24"/>
          <w:highlight w:val="none"/>
          <w:u w:val="single"/>
          <w:lang w:bidi="zh-CN"/>
        </w:rPr>
        <w:t xml:space="preserve">  （采购人）  </w:t>
      </w:r>
    </w:p>
    <w:p w14:paraId="5CE14255">
      <w:pPr>
        <w:spacing w:line="240" w:lineRule="atLeast"/>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u w:val="single"/>
          <w:lang w:bidi="zh-CN"/>
        </w:rPr>
        <w:t xml:space="preserve">  （服务商名称） </w:t>
      </w:r>
      <w:r>
        <w:rPr>
          <w:rFonts w:hint="eastAsia" w:ascii="宋体" w:hAnsi="宋体" w:eastAsia="宋体" w:cs="宋体"/>
          <w:color w:val="auto"/>
          <w:sz w:val="24"/>
          <w:szCs w:val="24"/>
          <w:highlight w:val="none"/>
          <w:lang w:bidi="zh-CN"/>
        </w:rPr>
        <w:t>系中华人民共和国合法服务商，经营地址：</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w:t>
      </w:r>
    </w:p>
    <w:p w14:paraId="68DB9395">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我方愿意参加贵方组织的</w:t>
      </w:r>
      <w:r>
        <w:rPr>
          <w:rFonts w:hint="eastAsia" w:ascii="宋体" w:hAnsi="宋体" w:eastAsia="宋体" w:cs="宋体"/>
          <w:color w:val="auto"/>
          <w:sz w:val="24"/>
          <w:szCs w:val="24"/>
          <w:highlight w:val="none"/>
          <w:u w:val="single"/>
          <w:lang w:bidi="zh-CN"/>
        </w:rPr>
        <w:t xml:space="preserve">  （项目名称）   </w:t>
      </w:r>
      <w:r>
        <w:rPr>
          <w:rFonts w:hint="eastAsia" w:ascii="宋体" w:hAnsi="宋体" w:eastAsia="宋体" w:cs="宋体"/>
          <w:color w:val="auto"/>
          <w:sz w:val="24"/>
          <w:szCs w:val="24"/>
          <w:highlight w:val="none"/>
          <w:lang w:bidi="zh-CN"/>
        </w:rPr>
        <w:t>项目的竞标，为便于贵方公正、择优地确定成交服务商及其竞标产品和服务，我方就本次竞标有关事项郑重声明如下：</w:t>
      </w:r>
    </w:p>
    <w:p w14:paraId="2839FE97">
      <w:pPr>
        <w:spacing w:line="240" w:lineRule="atLeast"/>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.我方向贵方提交的所有响应文件、资料都是准确的和真实的。</w:t>
      </w:r>
    </w:p>
    <w:p w14:paraId="0460123F">
      <w:pPr>
        <w:spacing w:line="240" w:lineRule="atLeast"/>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.在此，我方宣布同意如下：</w:t>
      </w:r>
    </w:p>
    <w:p w14:paraId="7AD1D39A">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）将按采购文件的约定履行合同责任和义务；</w:t>
      </w:r>
    </w:p>
    <w:p w14:paraId="73304263">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）已详细审查全部采购文件，包括询价文件、澄清或者更正公告（如有）等；</w:t>
      </w:r>
    </w:p>
    <w:p w14:paraId="1CD074FE">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）同意提供按照贵方可能要求的与采购有关的一切数据或者资料；</w:t>
      </w:r>
    </w:p>
    <w:p w14:paraId="3AC64858">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）响应采购文件规定的竞标有效期。</w:t>
      </w:r>
    </w:p>
    <w:p w14:paraId="6575B4F2">
      <w:pPr>
        <w:spacing w:line="240" w:lineRule="atLeast"/>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.我方承诺</w:t>
      </w:r>
      <w:r>
        <w:rPr>
          <w:rFonts w:ascii="宋体" w:hAnsi="宋体" w:eastAsia="宋体" w:cs="宋体"/>
          <w:color w:val="auto"/>
          <w:sz w:val="24"/>
          <w:szCs w:val="24"/>
          <w:highlight w:val="none"/>
        </w:rPr>
        <w:t>就采购文件的实际性要求进行响应</w:t>
      </w:r>
      <w:r>
        <w:rPr>
          <w:rFonts w:hint="eastAsia" w:ascii="宋体" w:hAnsi="宋体" w:eastAsia="宋体" w:cs="宋体"/>
          <w:color w:val="auto"/>
          <w:sz w:val="24"/>
          <w:szCs w:val="24"/>
          <w:highlight w:val="none"/>
          <w:lang w:bidi="zh-CN"/>
        </w:rPr>
        <w:t>：</w:t>
      </w:r>
    </w:p>
    <w:p w14:paraId="60D1090F">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）服务商有效的企业营业执照副本复印件或事业单位法人（或负责人）证书副本复印件；</w:t>
      </w:r>
    </w:p>
    <w:p w14:paraId="05CB2338">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）法定代表人身份证明书及身份证复印件；</w:t>
      </w:r>
    </w:p>
    <w:p w14:paraId="6469748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）法定代表人授权委托书和委托代理人身份证复印件（委托代理时提供，格式见后）；</w:t>
      </w:r>
    </w:p>
    <w:p w14:paraId="74770008">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宋体" w:hAnsi="宋体"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）服务商参加采购活动前</w:t>
      </w:r>
      <w:r>
        <w:rPr>
          <w:rFonts w:ascii="宋体" w:hAnsi="宋体"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年内在经营活动中没有重大违法记录的书面声明；</w:t>
      </w:r>
    </w:p>
    <w:p w14:paraId="572F0123">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（5）拟投入本项目的项目负责人有效的执业资格证书复印件及工程师及以上职称证书复印件；</w:t>
      </w:r>
    </w:p>
    <w:p w14:paraId="510B7E6B">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hint="eastAsia" w:ascii="宋体" w:hAnsi="宋体"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）其他材料：服务商认为有必要提供的声明及证明材料</w:t>
      </w:r>
    </w:p>
    <w:p w14:paraId="0011D5E0">
      <w:pPr>
        <w:spacing w:line="240" w:lineRule="atLeast"/>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我方在此声明，我方在参加本项目的采购活动前三年内，在经营活动中没有重大违法记录（重大违法记录是指服务商因违法经营受到刑事处罚或者责令停产停业、吊销许可证或者执照、较大数额罚款等行政处罚），未被列入失信被执行人、重大税收违法案件当事人名单，完全符合采购文件规定的服务商资格条件，我方对此声明负全部法律责任。</w:t>
      </w:r>
    </w:p>
    <w:p w14:paraId="2971355D">
      <w:pPr>
        <w:spacing w:line="240" w:lineRule="atLeast"/>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.我方就对本次响应文件进行注明如下：（两项内容中必须选择一项）</w:t>
      </w:r>
    </w:p>
    <w:p w14:paraId="30CD220A">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我方本次响应文件内容中未涉及商业秘密；</w:t>
      </w:r>
    </w:p>
    <w:p w14:paraId="3BE8B27F">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我方本次响应文件涉及商业秘密的内容有：</w:t>
      </w:r>
      <w:r>
        <w:rPr>
          <w:rFonts w:hint="eastAsia" w:ascii="宋体" w:hAnsi="宋体" w:eastAsia="宋体" w:cs="宋体"/>
          <w:color w:val="auto"/>
          <w:sz w:val="24"/>
          <w:szCs w:val="24"/>
          <w:highlight w:val="none"/>
          <w:u w:val="single"/>
          <w:lang w:bidi="zh-CN"/>
        </w:rPr>
        <w:t xml:space="preserve">                         。</w:t>
      </w:r>
    </w:p>
    <w:p w14:paraId="0F7642B7">
      <w:pPr>
        <w:spacing w:line="240" w:lineRule="atLeast"/>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.与本采购有关的一切正式往来信函请寄：</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邮政编号：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033F1A02">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电话/传真：</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电子函件：</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5126DF1F">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开户银行：</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账号：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682201A8">
      <w:pPr>
        <w:spacing w:line="240" w:lineRule="atLeast"/>
        <w:ind w:firstLine="480" w:firstLineChars="200"/>
        <w:rPr>
          <w:rFonts w:ascii="宋体" w:hAnsi="宋体" w:eastAsia="宋体" w:cs="宋体"/>
          <w:color w:val="auto"/>
          <w:sz w:val="24"/>
          <w:szCs w:val="24"/>
          <w:highlight w:val="none"/>
          <w:lang w:bidi="zh-CN"/>
        </w:rPr>
      </w:pPr>
      <w:r>
        <w:rPr>
          <w:rFonts w:ascii="宋体" w:hAnsi="宋体"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.以上事项如有虚假或者隐瞒，我方愿意承担一切后果，并不再寻求任何旨在减轻或者免除法律责任的辩解。</w:t>
      </w:r>
    </w:p>
    <w:p w14:paraId="13BF17A5">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特此承诺。</w:t>
      </w:r>
    </w:p>
    <w:p w14:paraId="362DC5A6">
      <w:pPr>
        <w:spacing w:line="240" w:lineRule="atLeast"/>
        <w:ind w:left="4830" w:leftChars="2300" w:firstLine="480" w:firstLineChars="200"/>
        <w:rPr>
          <w:rFonts w:ascii="宋体" w:hAnsi="宋体" w:eastAsia="宋体" w:cs="宋体"/>
          <w:color w:val="auto"/>
          <w:sz w:val="24"/>
          <w:szCs w:val="24"/>
          <w:highlight w:val="none"/>
          <w:lang w:bidi="zh-CN"/>
        </w:rPr>
      </w:pPr>
    </w:p>
    <w:p w14:paraId="0FCE041D">
      <w:pPr>
        <w:spacing w:line="240" w:lineRule="atLeast"/>
        <w:ind w:left="4830" w:leftChars="2300"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 xml:space="preserve">法定代表人（签字或盖章）：   </w:t>
      </w:r>
    </w:p>
    <w:p w14:paraId="3211F741">
      <w:pPr>
        <w:spacing w:line="240" w:lineRule="atLeast"/>
        <w:ind w:left="4830" w:leftChars="2300"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 xml:space="preserve">服务商（盖公章）：                                 </w:t>
      </w:r>
    </w:p>
    <w:p w14:paraId="230CF54F">
      <w:pPr>
        <w:spacing w:line="240" w:lineRule="atLeast"/>
        <w:ind w:firstLine="480" w:firstLineChars="200"/>
        <w:rPr>
          <w:rFonts w:ascii="宋体" w:hAnsi="宋体" w:eastAsia="宋体" w:cs="宋体"/>
          <w:b/>
          <w:bCs/>
          <w:color w:val="auto"/>
          <w:sz w:val="32"/>
          <w:szCs w:val="32"/>
          <w:highlight w:val="none"/>
        </w:rPr>
      </w:pPr>
      <w:r>
        <w:rPr>
          <w:rFonts w:hint="eastAsia" w:ascii="宋体" w:hAnsi="宋体" w:eastAsia="宋体" w:cs="宋体"/>
          <w:color w:val="auto"/>
          <w:sz w:val="24"/>
          <w:szCs w:val="24"/>
          <w:highlight w:val="none"/>
          <w:lang w:bidi="zh-CN"/>
        </w:rPr>
        <w:t xml:space="preserve">                                                   年    月    日</w:t>
      </w:r>
    </w:p>
    <w:p w14:paraId="136FE474">
      <w:pPr>
        <w:spacing w:line="240" w:lineRule="atLeast"/>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00834D3F">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法定代表人身份证明书</w:t>
      </w:r>
    </w:p>
    <w:p w14:paraId="0FC26738">
      <w:pPr>
        <w:spacing w:line="360" w:lineRule="auto"/>
        <w:ind w:firstLine="560" w:firstLineChars="200"/>
        <w:rPr>
          <w:rFonts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服务商名称：</w:t>
      </w:r>
      <w:r>
        <w:rPr>
          <w:rFonts w:hint="eastAsia" w:ascii="宋体" w:hAnsi="宋体" w:eastAsia="宋体" w:cs="宋体"/>
          <w:color w:val="auto"/>
          <w:sz w:val="28"/>
          <w:szCs w:val="28"/>
          <w:highlight w:val="none"/>
          <w:u w:val="single"/>
        </w:rPr>
        <w:t xml:space="preserve">                                               </w:t>
      </w:r>
    </w:p>
    <w:p w14:paraId="1DD93A3E">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4E2CCB7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姓    名：</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性     别：</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4951F4B6">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年    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职     务：</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4D0B2F3E">
      <w:pPr>
        <w:spacing w:line="360" w:lineRule="auto"/>
        <w:ind w:firstLine="560" w:firstLineChars="200"/>
        <w:jc w:val="lef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身份证号码：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（服务商名称）的法定代表人。</w:t>
      </w:r>
    </w:p>
    <w:p w14:paraId="4B88DB15">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14:paraId="719D39E0">
      <w:pPr>
        <w:spacing w:line="360" w:lineRule="auto"/>
        <w:ind w:firstLine="560" w:firstLineChars="200"/>
        <w:rPr>
          <w:rFonts w:ascii="宋体" w:hAnsi="宋体" w:eastAsia="宋体" w:cs="宋体"/>
          <w:color w:val="auto"/>
          <w:sz w:val="28"/>
          <w:szCs w:val="28"/>
          <w:highlight w:val="none"/>
        </w:rPr>
      </w:pPr>
    </w:p>
    <w:p w14:paraId="2151B0D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附件：法定代表人有效身份证正反面复印件</w:t>
      </w:r>
    </w:p>
    <w:p w14:paraId="13358D05">
      <w:pPr>
        <w:pStyle w:val="5"/>
        <w:rPr>
          <w:rFonts w:ascii="宋体" w:hAnsi="宋体" w:eastAsia="宋体"/>
          <w:color w:val="auto"/>
          <w:highlight w:val="none"/>
        </w:rPr>
      </w:pPr>
    </w:p>
    <w:p w14:paraId="57AADBD0">
      <w:pPr>
        <w:pStyle w:val="5"/>
        <w:rPr>
          <w:rFonts w:ascii="宋体" w:hAnsi="宋体" w:eastAsia="宋体"/>
          <w:color w:val="auto"/>
          <w:highlight w:val="none"/>
        </w:rPr>
      </w:pPr>
    </w:p>
    <w:p w14:paraId="00B4E551">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服务商（盖公章）：               </w:t>
      </w:r>
    </w:p>
    <w:p w14:paraId="1355D67E">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7BE700FE">
      <w:pPr>
        <w:pStyle w:val="5"/>
        <w:rPr>
          <w:rFonts w:ascii="宋体" w:hAnsi="宋体" w:eastAsia="宋体"/>
          <w:color w:val="auto"/>
          <w:highlight w:val="none"/>
        </w:rPr>
      </w:pPr>
    </w:p>
    <w:p w14:paraId="5052BFDF">
      <w:pPr>
        <w:pStyle w:val="5"/>
        <w:rPr>
          <w:rFonts w:ascii="宋体" w:hAnsi="宋体" w:eastAsia="宋体"/>
          <w:color w:val="auto"/>
          <w:highlight w:val="none"/>
        </w:rPr>
      </w:pPr>
    </w:p>
    <w:p w14:paraId="67A143DC">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ascii="宋体" w:hAnsi="宋体" w:eastAsia="宋体" w:cs="Times New Roman"/>
          <w:color w:val="auto"/>
          <w:sz w:val="24"/>
          <w:szCs w:val="24"/>
          <w:highlight w:val="none"/>
        </w:rPr>
        <w:t>1</w:t>
      </w:r>
      <w:r>
        <w:rPr>
          <w:rFonts w:hint="eastAsia" w:ascii="宋体" w:hAnsi="宋体" w:eastAsia="宋体" w:cs="宋体"/>
          <w:color w:val="auto"/>
          <w:sz w:val="24"/>
          <w:szCs w:val="24"/>
          <w:highlight w:val="none"/>
        </w:rPr>
        <w:t>.自然人竞标的无需提供，联合体竞标的只需牵头人出具。</w:t>
      </w:r>
    </w:p>
    <w:p w14:paraId="6D9ECDB0">
      <w:pPr>
        <w:spacing w:line="360" w:lineRule="auto"/>
        <w:ind w:firstLine="480" w:firstLineChars="200"/>
        <w:rPr>
          <w:rFonts w:ascii="宋体" w:hAnsi="宋体" w:eastAsia="宋体" w:cs="宋体"/>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宋体"/>
          <w:color w:val="auto"/>
          <w:sz w:val="24"/>
          <w:szCs w:val="24"/>
          <w:highlight w:val="none"/>
        </w:rPr>
        <w:t>.服务商为其他组织或者自然人时，本采购文件规定的法定代表人指负责人或者自然人。本采购文件所称负责人是指参加竞标的其他组织营业执照上的负责人，本采购文件所称自然人指参与竞标的自然人本人。</w:t>
      </w:r>
    </w:p>
    <w:p w14:paraId="445AB32D">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00CA5304">
      <w:pPr>
        <w:spacing w:after="312" w:afterLines="100"/>
        <w:jc w:val="center"/>
        <w:rPr>
          <w:rFonts w:ascii="宋体" w:hAnsi="宋体" w:eastAsia="宋体" w:cs="宋体"/>
          <w:color w:val="auto"/>
          <w:sz w:val="28"/>
          <w:szCs w:val="28"/>
          <w:highlight w:val="none"/>
        </w:rPr>
      </w:pPr>
      <w:r>
        <w:rPr>
          <w:rFonts w:hint="eastAsia" w:ascii="宋体" w:hAnsi="宋体" w:eastAsia="宋体" w:cs="宋体"/>
          <w:b/>
          <w:bCs/>
          <w:color w:val="auto"/>
          <w:sz w:val="32"/>
          <w:szCs w:val="32"/>
          <w:highlight w:val="none"/>
        </w:rPr>
        <w:t>法定代表人授权委托书</w:t>
      </w:r>
      <w:r>
        <w:rPr>
          <w:rFonts w:hint="eastAsia" w:ascii="宋体" w:hAnsi="宋体" w:eastAsia="宋体" w:cs="宋体"/>
          <w:color w:val="auto"/>
          <w:sz w:val="32"/>
          <w:szCs w:val="32"/>
          <w:highlight w:val="none"/>
        </w:rPr>
        <w:t>（如有委托时）</w:t>
      </w:r>
    </w:p>
    <w:p w14:paraId="0A81BE88">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致：（采购人名称）</w:t>
      </w:r>
    </w:p>
    <w:p w14:paraId="6C728816">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（服务商名称）  </w:t>
      </w:r>
      <w:r>
        <w:rPr>
          <w:rFonts w:hint="eastAsia" w:ascii="宋体" w:hAnsi="宋体" w:eastAsia="宋体" w:cs="宋体"/>
          <w:color w:val="auto"/>
          <w:sz w:val="28"/>
          <w:szCs w:val="28"/>
          <w:highlight w:val="none"/>
        </w:rPr>
        <w:t>的</w:t>
      </w:r>
      <w:r>
        <w:rPr>
          <w:rFonts w:hint="eastAsia" w:ascii="宋体" w:hAnsi="宋体" w:eastAsia="宋体" w:cs="宋体"/>
          <w:color w:val="auto"/>
          <w:sz w:val="28"/>
          <w:szCs w:val="28"/>
          <w:highlight w:val="none"/>
          <w:u w:val="single"/>
        </w:rPr>
        <w:t>（</w:t>
      </w:r>
      <w:r>
        <w:rPr>
          <w:rFonts w:hint="eastAsia" w:ascii="宋体" w:hAnsi="宋体" w:eastAsia="宋体" w:cs="宋体"/>
          <w:color w:val="auto"/>
          <w:sz w:val="28"/>
          <w:szCs w:val="28"/>
          <w:highlight w:val="none"/>
          <w:u w:val="single"/>
        </w:rPr>
        <w:sym w:font="Wingdings 2" w:char="00A3"/>
      </w:r>
      <w:r>
        <w:rPr>
          <w:rFonts w:hint="eastAsia" w:ascii="宋体" w:hAnsi="宋体" w:eastAsia="宋体" w:cs="宋体"/>
          <w:color w:val="auto"/>
          <w:sz w:val="28"/>
          <w:szCs w:val="28"/>
          <w:highlight w:val="none"/>
          <w:u w:val="single"/>
        </w:rPr>
        <w:t>法定代表人/□负责人/□自然人本人）</w:t>
      </w:r>
      <w:r>
        <w:rPr>
          <w:rFonts w:hint="eastAsia" w:ascii="宋体" w:hAnsi="宋体" w:eastAsia="宋体" w:cs="宋体"/>
          <w:color w:val="auto"/>
          <w:sz w:val="28"/>
          <w:szCs w:val="28"/>
          <w:highlight w:val="none"/>
        </w:rPr>
        <w:t>，现授权</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以我方的名义参加</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项目的竞标活动，并代表我方全权办理针对上述项目的所有采购程序和环节的具体事务和签署相关文件。</w:t>
      </w:r>
    </w:p>
    <w:p w14:paraId="1631FBD4">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我方对委托代理人的签字事项负全部责任。</w:t>
      </w:r>
    </w:p>
    <w:p w14:paraId="0B3D6238">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本授权书自签署之日起生效，在撤销授权的书面通知以前，本授权书一直有效。委托代理人在授权书有效期内签署的所有文件不因授权的撤销而失效。</w:t>
      </w:r>
    </w:p>
    <w:p w14:paraId="2CAAEE2A">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委托代理人无转委托权，特此委托。</w:t>
      </w:r>
    </w:p>
    <w:p w14:paraId="67AD8E30">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附：委托代理人有效身份证正反面复印件</w:t>
      </w:r>
    </w:p>
    <w:p w14:paraId="237BA83A">
      <w:pPr>
        <w:spacing w:line="360" w:lineRule="auto"/>
        <w:ind w:firstLine="560" w:firstLineChars="200"/>
        <w:rPr>
          <w:rFonts w:ascii="宋体" w:hAnsi="宋体" w:eastAsia="宋体" w:cs="宋体"/>
          <w:color w:val="auto"/>
          <w:sz w:val="28"/>
          <w:szCs w:val="28"/>
          <w:highlight w:val="none"/>
        </w:rPr>
      </w:pPr>
    </w:p>
    <w:p w14:paraId="1A450C77">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委托代理人（签字）：             法定代表人（签字或盖章）：                    </w:t>
      </w:r>
    </w:p>
    <w:p w14:paraId="08F6652E">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委托代理人身份证号码：                              </w:t>
      </w:r>
    </w:p>
    <w:p w14:paraId="29718CEA">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6BF1F28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334AE83D">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服务商（盖公章）：                      </w:t>
      </w:r>
    </w:p>
    <w:p w14:paraId="5E6A5D01">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6E9B2346">
      <w:pPr>
        <w:spacing w:line="360" w:lineRule="auto"/>
        <w:rPr>
          <w:rFonts w:ascii="宋体" w:hAnsi="宋体" w:eastAsia="宋体" w:cs="宋体"/>
          <w:color w:val="auto"/>
          <w:sz w:val="32"/>
          <w:szCs w:val="32"/>
          <w:highlight w:val="none"/>
        </w:rPr>
      </w:pPr>
      <w:r>
        <w:rPr>
          <w:rFonts w:hint="eastAsia" w:ascii="宋体" w:hAnsi="宋体" w:eastAsia="宋体"/>
          <w:color w:val="auto"/>
          <w:highlight w:val="none"/>
        </w:rPr>
        <w:br w:type="page"/>
      </w:r>
      <w:r>
        <w:rPr>
          <w:rFonts w:hint="eastAsia" w:ascii="宋体" w:hAnsi="宋体" w:eastAsia="宋体" w:cs="宋体"/>
          <w:color w:val="auto"/>
          <w:sz w:val="32"/>
          <w:szCs w:val="32"/>
          <w:highlight w:val="none"/>
        </w:rPr>
        <w:t>二、报价商务技术文件格式</w:t>
      </w:r>
    </w:p>
    <w:p w14:paraId="360ECF8F">
      <w:pPr>
        <w:snapToGrid w:val="0"/>
        <w:spacing w:before="156" w:beforeLines="50" w:after="50" w:line="360" w:lineRule="auto"/>
        <w:jc w:val="left"/>
        <w:rPr>
          <w:rFonts w:ascii="宋体" w:hAnsi="宋体" w:eastAsia="宋体" w:cs="宋体"/>
          <w:color w:val="auto"/>
          <w:sz w:val="32"/>
          <w:szCs w:val="32"/>
          <w:highlight w:val="none"/>
        </w:rPr>
      </w:pPr>
      <w:r>
        <w:rPr>
          <w:rFonts w:ascii="宋体" w:hAnsi="宋体" w:eastAsia="宋体" w:cs="Times New Roman"/>
          <w:color w:val="auto"/>
          <w:sz w:val="32"/>
          <w:szCs w:val="32"/>
          <w:highlight w:val="none"/>
        </w:rPr>
        <w:t>1</w:t>
      </w:r>
      <w:r>
        <w:rPr>
          <w:rFonts w:hint="eastAsia" w:ascii="宋体" w:hAnsi="宋体" w:eastAsia="宋体" w:cs="宋体"/>
          <w:color w:val="auto"/>
          <w:sz w:val="32"/>
          <w:szCs w:val="32"/>
          <w:highlight w:val="none"/>
        </w:rPr>
        <w:t>.报价商务技术文件封面格式</w:t>
      </w:r>
    </w:p>
    <w:p w14:paraId="516B4441">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498081F1">
      <w:pPr>
        <w:snapToGrid w:val="0"/>
        <w:spacing w:before="156" w:beforeLines="50" w:after="50" w:line="360" w:lineRule="auto"/>
        <w:rPr>
          <w:rFonts w:ascii="宋体" w:hAnsi="宋体" w:eastAsia="宋体" w:cs="宋体"/>
          <w:color w:val="auto"/>
          <w:sz w:val="32"/>
          <w:szCs w:val="32"/>
          <w:highlight w:val="none"/>
        </w:rPr>
      </w:pPr>
    </w:p>
    <w:p w14:paraId="40A35B23">
      <w:pPr>
        <w:snapToGrid w:val="0"/>
        <w:spacing w:before="156" w:beforeLines="50" w:after="50" w:line="360" w:lineRule="auto"/>
        <w:rPr>
          <w:rFonts w:ascii="宋体" w:hAnsi="宋体" w:eastAsia="宋体" w:cs="宋体"/>
          <w:color w:val="auto"/>
          <w:sz w:val="32"/>
          <w:szCs w:val="32"/>
          <w:highlight w:val="none"/>
        </w:rPr>
      </w:pPr>
    </w:p>
    <w:p w14:paraId="34971450">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报价商务技术文件</w:t>
      </w:r>
    </w:p>
    <w:p w14:paraId="22D9FC0E">
      <w:pPr>
        <w:snapToGrid w:val="0"/>
        <w:spacing w:before="156" w:beforeLines="50" w:after="50" w:line="360" w:lineRule="auto"/>
        <w:rPr>
          <w:rFonts w:ascii="宋体" w:hAnsi="宋体" w:eastAsia="宋体" w:cs="宋体"/>
          <w:bCs/>
          <w:color w:val="auto"/>
          <w:sz w:val="32"/>
          <w:szCs w:val="32"/>
          <w:highlight w:val="none"/>
        </w:rPr>
      </w:pPr>
    </w:p>
    <w:p w14:paraId="3F0E6AF6">
      <w:pPr>
        <w:snapToGrid w:val="0"/>
        <w:spacing w:before="156" w:beforeLines="50" w:after="50" w:line="360" w:lineRule="auto"/>
        <w:rPr>
          <w:rFonts w:ascii="宋体" w:hAnsi="宋体" w:eastAsia="宋体" w:cs="宋体"/>
          <w:bCs/>
          <w:color w:val="auto"/>
          <w:sz w:val="32"/>
          <w:szCs w:val="32"/>
          <w:highlight w:val="none"/>
        </w:rPr>
      </w:pPr>
    </w:p>
    <w:p w14:paraId="06B0CDFA">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6842040A">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2A7470D5">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073A5B8C">
      <w:pPr>
        <w:pStyle w:val="2"/>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01320E96">
      <w:pPr>
        <w:pStyle w:val="2"/>
        <w:snapToGrid w:val="0"/>
        <w:spacing w:before="50" w:after="50" w:line="360" w:lineRule="auto"/>
        <w:ind w:firstLine="1280" w:firstLineChars="400"/>
        <w:rPr>
          <w:rFonts w:ascii="宋体" w:hAnsi="宋体" w:eastAsia="宋体" w:cs="宋体"/>
          <w:bCs/>
          <w:color w:val="auto"/>
          <w:sz w:val="32"/>
          <w:szCs w:val="32"/>
          <w:highlight w:val="none"/>
        </w:rPr>
      </w:pPr>
    </w:p>
    <w:p w14:paraId="086A6F90">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36EDE26A">
      <w:pPr>
        <w:rPr>
          <w:rFonts w:ascii="宋体" w:hAnsi="宋体" w:eastAsia="宋体"/>
          <w:color w:val="auto"/>
          <w:highlight w:val="none"/>
        </w:rPr>
      </w:pPr>
    </w:p>
    <w:p w14:paraId="643A6AF5">
      <w:pPr>
        <w:spacing w:line="360" w:lineRule="auto"/>
        <w:rPr>
          <w:rFonts w:ascii="宋体" w:hAnsi="宋体" w:eastAsia="宋体" w:cs="宋体"/>
          <w:color w:val="auto"/>
          <w:sz w:val="32"/>
          <w:szCs w:val="32"/>
          <w:highlight w:val="none"/>
        </w:rPr>
      </w:pPr>
      <w:r>
        <w:rPr>
          <w:rFonts w:ascii="宋体" w:hAnsi="宋体" w:eastAsia="宋体" w:cs="Times New Roman"/>
          <w:color w:val="auto"/>
          <w:sz w:val="32"/>
          <w:szCs w:val="32"/>
          <w:highlight w:val="none"/>
        </w:rPr>
        <w:t>2</w:t>
      </w:r>
      <w:r>
        <w:rPr>
          <w:rFonts w:hint="eastAsia" w:ascii="宋体" w:hAnsi="宋体" w:eastAsia="宋体" w:cs="宋体"/>
          <w:color w:val="auto"/>
          <w:sz w:val="32"/>
          <w:szCs w:val="32"/>
          <w:highlight w:val="none"/>
        </w:rPr>
        <w:t>.报价商务技术文件目录</w:t>
      </w:r>
    </w:p>
    <w:p w14:paraId="0F29D67C">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根据采购文件规定及服务商提供的材料自行编写目录。</w:t>
      </w:r>
    </w:p>
    <w:p w14:paraId="4F7F86E1">
      <w:pPr>
        <w:rPr>
          <w:rFonts w:ascii="宋体" w:hAnsi="宋体" w:eastAsia="宋体"/>
          <w:color w:val="auto"/>
          <w:highlight w:val="none"/>
        </w:rPr>
      </w:pPr>
      <w:r>
        <w:rPr>
          <w:rFonts w:hint="eastAsia" w:ascii="宋体" w:hAnsi="宋体" w:eastAsia="宋体" w:cs="宋体"/>
          <w:color w:val="auto"/>
          <w:sz w:val="32"/>
          <w:szCs w:val="32"/>
          <w:highlight w:val="none"/>
        </w:rPr>
        <w:br w:type="page"/>
      </w:r>
    </w:p>
    <w:p w14:paraId="39B1D2F7">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竞标报价表</w:t>
      </w:r>
    </w:p>
    <w:p w14:paraId="34176B6C">
      <w:pPr>
        <w:pStyle w:val="11"/>
        <w:widowControl/>
        <w:spacing w:beforeAutospacing="0" w:afterAutospacing="0"/>
        <w:rPr>
          <w:rFonts w:ascii="宋体" w:hAnsi="宋体" w:eastAsia="宋体" w:cs="宋体"/>
          <w:bCs/>
          <w:color w:val="auto"/>
          <w:kern w:val="2"/>
          <w:highlight w:val="none"/>
        </w:rPr>
      </w:pPr>
    </w:p>
    <w:p w14:paraId="3C05B37F">
      <w:pPr>
        <w:adjustRightInd w:val="0"/>
        <w:snapToGrid w:val="0"/>
        <w:spacing w:line="240" w:lineRule="atLeas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bCs/>
          <w:color w:val="auto"/>
          <w:sz w:val="24"/>
          <w:szCs w:val="24"/>
          <w:highlight w:val="none"/>
          <w:u w:val="single"/>
          <w:lang w:val="en-US" w:eastAsia="zh-CN"/>
        </w:rPr>
        <w:t>综合保税区仓储板块消防维保服务</w:t>
      </w:r>
      <w:r>
        <w:rPr>
          <w:rFonts w:hint="eastAsia" w:ascii="宋体" w:hAnsi="宋体" w:eastAsia="宋体" w:cs="宋体"/>
          <w:bCs/>
          <w:color w:val="auto"/>
          <w:sz w:val="24"/>
          <w:szCs w:val="24"/>
          <w:highlight w:val="none"/>
          <w:u w:val="single"/>
          <w:lang w:eastAsia="zh-CN"/>
        </w:rPr>
        <w:t>项目</w:t>
      </w:r>
    </w:p>
    <w:tbl>
      <w:tblPr>
        <w:tblStyle w:val="12"/>
        <w:tblW w:w="8435" w:type="dxa"/>
        <w:tblInd w:w="-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4396"/>
        <w:gridCol w:w="1105"/>
        <w:gridCol w:w="859"/>
        <w:gridCol w:w="1244"/>
      </w:tblGrid>
      <w:tr w14:paraId="7B4E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831" w:type="dxa"/>
            <w:noWrap/>
            <w:vAlign w:val="center"/>
          </w:tcPr>
          <w:p w14:paraId="452B6A2A">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类别</w:t>
            </w:r>
          </w:p>
        </w:tc>
        <w:tc>
          <w:tcPr>
            <w:tcW w:w="4396" w:type="dxa"/>
            <w:noWrap/>
            <w:vAlign w:val="center"/>
          </w:tcPr>
          <w:p w14:paraId="7A527664">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项目名称</w:t>
            </w:r>
          </w:p>
        </w:tc>
        <w:tc>
          <w:tcPr>
            <w:tcW w:w="1105" w:type="dxa"/>
            <w:noWrap/>
            <w:vAlign w:val="center"/>
          </w:tcPr>
          <w:p w14:paraId="69035BCA">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单价</w:t>
            </w:r>
          </w:p>
        </w:tc>
        <w:tc>
          <w:tcPr>
            <w:tcW w:w="859" w:type="dxa"/>
            <w:noWrap w:val="0"/>
            <w:vAlign w:val="center"/>
          </w:tcPr>
          <w:p w14:paraId="32940A33">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检测</w:t>
            </w:r>
          </w:p>
          <w:p w14:paraId="359A8B1D">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 次数）</w:t>
            </w:r>
          </w:p>
        </w:tc>
        <w:tc>
          <w:tcPr>
            <w:tcW w:w="1244" w:type="dxa"/>
            <w:noWrap/>
            <w:vAlign w:val="center"/>
          </w:tcPr>
          <w:p w14:paraId="332390B1">
            <w:pPr>
              <w:widowControl/>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费用(元)</w:t>
            </w:r>
          </w:p>
        </w:tc>
      </w:tr>
      <w:tr w14:paraId="7535F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8" w:hRule="atLeast"/>
        </w:trPr>
        <w:tc>
          <w:tcPr>
            <w:tcW w:w="831" w:type="dxa"/>
            <w:noWrap w:val="0"/>
            <w:textDirection w:val="tbRlV"/>
            <w:vAlign w:val="center"/>
          </w:tcPr>
          <w:p w14:paraId="669E436D">
            <w:pPr>
              <w:widowControl/>
              <w:jc w:val="center"/>
              <w:rPr>
                <w:rFonts w:hint="eastAsia" w:ascii="宋体" w:hAnsi="宋体" w:eastAsia="宋体" w:cs="宋体"/>
                <w:bCs/>
                <w:color w:val="auto"/>
                <w:kern w:val="0"/>
                <w:sz w:val="24"/>
                <w:szCs w:val="24"/>
                <w:lang w:val="en-US" w:eastAsia="zh-CN"/>
              </w:rPr>
            </w:pPr>
            <w:r>
              <w:rPr>
                <w:rFonts w:hint="eastAsia" w:ascii="宋体" w:hAnsi="宋体" w:eastAsia="宋体" w:cs="宋体"/>
                <w:b w:val="0"/>
                <w:bCs w:val="0"/>
                <w:i w:val="0"/>
                <w:iCs w:val="0"/>
                <w:caps w:val="0"/>
                <w:color w:val="auto"/>
                <w:spacing w:val="0"/>
                <w:kern w:val="0"/>
                <w:sz w:val="24"/>
                <w:szCs w:val="24"/>
                <w:lang w:val="en-US" w:eastAsia="zh-CN" w:bidi="ar"/>
              </w:rPr>
              <w:t>消防供配电设施</w:t>
            </w:r>
          </w:p>
        </w:tc>
        <w:tc>
          <w:tcPr>
            <w:tcW w:w="4396" w:type="dxa"/>
            <w:noWrap/>
            <w:vAlign w:val="center"/>
          </w:tcPr>
          <w:p w14:paraId="4B06B79B">
            <w:pPr>
              <w:pStyle w:val="20"/>
              <w:spacing w:before="62" w:line="235" w:lineRule="auto"/>
              <w:jc w:val="left"/>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5"/>
                <w:sz w:val="24"/>
                <w:szCs w:val="24"/>
                <w:lang w:val="en-US" w:eastAsia="zh-CN"/>
              </w:rPr>
              <w:t>1、</w:t>
            </w:r>
            <w:r>
              <w:rPr>
                <w:rFonts w:hint="eastAsia" w:ascii="宋体" w:hAnsi="宋体" w:eastAsia="宋体" w:cs="宋体"/>
                <w:b w:val="0"/>
                <w:bCs w:val="0"/>
                <w:color w:val="auto"/>
                <w:spacing w:val="-6"/>
                <w:sz w:val="24"/>
                <w:szCs w:val="24"/>
              </w:rPr>
              <w:t>检查消防配电柜(箱)盘面的仪表、指示灯及控制按钮、消防配电设备标志等。</w:t>
            </w:r>
          </w:p>
          <w:p w14:paraId="5374246A">
            <w:pPr>
              <w:pStyle w:val="20"/>
              <w:spacing w:before="62" w:line="235" w:lineRule="auto"/>
              <w:jc w:val="left"/>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2、</w:t>
            </w:r>
            <w:r>
              <w:rPr>
                <w:rFonts w:hint="eastAsia" w:ascii="宋体" w:hAnsi="宋体" w:eastAsia="宋体" w:cs="宋体"/>
                <w:b w:val="0"/>
                <w:bCs w:val="0"/>
                <w:color w:val="auto"/>
                <w:spacing w:val="-6"/>
                <w:sz w:val="24"/>
                <w:szCs w:val="24"/>
              </w:rPr>
              <w:t>进行主备电切换功能</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主备电源供电能力检查测试。</w:t>
            </w:r>
          </w:p>
          <w:p w14:paraId="3FF6C0D1">
            <w:pPr>
              <w:pStyle w:val="20"/>
              <w:spacing w:before="62" w:line="235" w:lineRule="auto"/>
              <w:jc w:val="left"/>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3、</w:t>
            </w:r>
            <w:r>
              <w:rPr>
                <w:rFonts w:hint="eastAsia" w:ascii="宋体" w:hAnsi="宋体" w:eastAsia="宋体" w:cs="宋体"/>
                <w:b w:val="0"/>
                <w:bCs w:val="0"/>
                <w:color w:val="auto"/>
                <w:spacing w:val="-6"/>
                <w:sz w:val="24"/>
                <w:szCs w:val="24"/>
              </w:rPr>
              <w:t>对箱(柜)内各配件、端子进行温度测试及牢固检查。</w:t>
            </w:r>
          </w:p>
          <w:p w14:paraId="69BE9C68">
            <w:pPr>
              <w:pStyle w:val="20"/>
              <w:spacing w:before="62" w:line="235" w:lineRule="auto"/>
              <w:jc w:val="left"/>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4、</w:t>
            </w:r>
            <w:r>
              <w:rPr>
                <w:rFonts w:hint="eastAsia" w:ascii="宋体" w:hAnsi="宋体" w:eastAsia="宋体" w:cs="宋体"/>
                <w:b w:val="0"/>
                <w:bCs w:val="0"/>
                <w:color w:val="auto"/>
                <w:spacing w:val="-6"/>
                <w:sz w:val="24"/>
                <w:szCs w:val="24"/>
              </w:rPr>
              <w:t>检查应急电源的工作状态，仪表、开关和控制按钮。</w:t>
            </w:r>
          </w:p>
          <w:p w14:paraId="7FA8DDF2">
            <w:pPr>
              <w:pStyle w:val="20"/>
              <w:spacing w:before="62" w:line="235" w:lineRule="auto"/>
              <w:jc w:val="left"/>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5、</w:t>
            </w:r>
            <w:r>
              <w:rPr>
                <w:rFonts w:hint="eastAsia" w:ascii="宋体" w:hAnsi="宋体" w:eastAsia="宋体" w:cs="宋体"/>
                <w:b w:val="0"/>
                <w:bCs w:val="0"/>
                <w:color w:val="auto"/>
                <w:spacing w:val="-6"/>
                <w:sz w:val="24"/>
                <w:szCs w:val="24"/>
              </w:rPr>
              <w:t>对主电源和备用电源进行自动、手动切换实验并对电池进行充放电测试。</w:t>
            </w:r>
          </w:p>
          <w:p w14:paraId="05C1D155">
            <w:pPr>
              <w:pStyle w:val="20"/>
              <w:spacing w:before="62" w:line="235" w:lineRule="auto"/>
              <w:jc w:val="left"/>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6、</w:t>
            </w:r>
            <w:r>
              <w:rPr>
                <w:rFonts w:hint="eastAsia" w:ascii="宋体" w:hAnsi="宋体" w:eastAsia="宋体" w:cs="宋体"/>
                <w:b w:val="0"/>
                <w:bCs w:val="0"/>
                <w:color w:val="auto"/>
                <w:spacing w:val="-6"/>
                <w:sz w:val="24"/>
                <w:szCs w:val="24"/>
              </w:rPr>
              <w:t>对箱(柜)内清洁并对各接线端子进行牢固检查。</w:t>
            </w:r>
          </w:p>
          <w:p w14:paraId="1413F8E7">
            <w:pPr>
              <w:pStyle w:val="20"/>
              <w:spacing w:before="62" w:line="235" w:lineRule="auto"/>
              <w:jc w:val="left"/>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7、</w:t>
            </w:r>
            <w:r>
              <w:rPr>
                <w:rFonts w:hint="eastAsia" w:ascii="宋体" w:hAnsi="宋体" w:eastAsia="宋体" w:cs="宋体"/>
                <w:b w:val="0"/>
                <w:bCs w:val="0"/>
                <w:color w:val="auto"/>
                <w:spacing w:val="-6"/>
                <w:sz w:val="24"/>
                <w:szCs w:val="24"/>
              </w:rPr>
              <w:t>检查备用发电机组的工作状态，发电机组的铭牌、仪表、指示灯及控制按钮等。</w:t>
            </w:r>
          </w:p>
          <w:p w14:paraId="5737F60C">
            <w:pPr>
              <w:pStyle w:val="20"/>
              <w:spacing w:before="62" w:line="235" w:lineRule="auto"/>
              <w:jc w:val="left"/>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8、</w:t>
            </w:r>
            <w:r>
              <w:rPr>
                <w:rFonts w:hint="eastAsia" w:ascii="宋体" w:hAnsi="宋体" w:eastAsia="宋体" w:cs="宋体"/>
                <w:b w:val="0"/>
                <w:bCs w:val="0"/>
                <w:color w:val="auto"/>
                <w:spacing w:val="-6"/>
                <w:sz w:val="24"/>
                <w:szCs w:val="24"/>
              </w:rPr>
              <w:t>对发电机组启动电池进行充放电测试，对油箱的储油量进行核对。</w:t>
            </w:r>
          </w:p>
          <w:p w14:paraId="7960A3C5">
            <w:pPr>
              <w:pStyle w:val="20"/>
              <w:spacing w:before="62" w:line="235" w:lineRule="auto"/>
              <w:jc w:val="left"/>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9、</w:t>
            </w:r>
            <w:r>
              <w:rPr>
                <w:rFonts w:hint="eastAsia" w:ascii="宋体" w:hAnsi="宋体" w:eastAsia="宋体" w:cs="宋体"/>
                <w:b w:val="0"/>
                <w:bCs w:val="0"/>
                <w:color w:val="auto"/>
                <w:spacing w:val="-6"/>
                <w:sz w:val="24"/>
                <w:szCs w:val="24"/>
              </w:rPr>
              <w:t>测试发电机组手动</w:t>
            </w:r>
            <w:r>
              <w:rPr>
                <w:rFonts w:hint="eastAsia" w:ascii="宋体" w:hAnsi="宋体" w:eastAsia="宋体" w:cs="宋体"/>
                <w:b w:val="0"/>
                <w:bCs w:val="0"/>
                <w:color w:val="auto"/>
                <w:spacing w:val="-6"/>
                <w:sz w:val="24"/>
                <w:szCs w:val="24"/>
                <w:lang w:eastAsia="zh-CN"/>
              </w:rPr>
              <w:t>、</w:t>
            </w:r>
            <w:r>
              <w:rPr>
                <w:rFonts w:hint="eastAsia" w:ascii="宋体" w:hAnsi="宋体" w:eastAsia="宋体" w:cs="宋体"/>
                <w:b w:val="0"/>
                <w:bCs w:val="0"/>
                <w:color w:val="auto"/>
                <w:spacing w:val="-6"/>
                <w:sz w:val="24"/>
                <w:szCs w:val="24"/>
              </w:rPr>
              <w:t>自动启动功能。</w:t>
            </w:r>
          </w:p>
          <w:p w14:paraId="4BA98940">
            <w:pPr>
              <w:pStyle w:val="20"/>
              <w:spacing w:before="62" w:line="235" w:lineRule="auto"/>
              <w:jc w:val="left"/>
              <w:rPr>
                <w:rFonts w:hint="eastAsia" w:ascii="宋体" w:hAnsi="宋体" w:eastAsia="宋体" w:cs="宋体"/>
                <w:b w:val="0"/>
                <w:bCs w:val="0"/>
                <w:color w:val="auto"/>
                <w:spacing w:val="-6"/>
                <w:sz w:val="24"/>
                <w:szCs w:val="24"/>
                <w:lang w:eastAsia="zh-CN"/>
              </w:rPr>
            </w:pPr>
            <w:r>
              <w:rPr>
                <w:rFonts w:hint="eastAsia" w:ascii="宋体" w:hAnsi="宋体" w:eastAsia="宋体" w:cs="宋体"/>
                <w:b w:val="0"/>
                <w:bCs w:val="0"/>
                <w:color w:val="auto"/>
                <w:spacing w:val="-6"/>
                <w:sz w:val="24"/>
                <w:szCs w:val="24"/>
                <w:lang w:val="en-US" w:eastAsia="zh-CN"/>
              </w:rPr>
              <w:t>10、</w:t>
            </w:r>
            <w:r>
              <w:rPr>
                <w:rFonts w:hint="eastAsia" w:ascii="宋体" w:hAnsi="宋体" w:eastAsia="宋体" w:cs="宋体"/>
                <w:b w:val="0"/>
                <w:bCs w:val="0"/>
                <w:color w:val="auto"/>
                <w:spacing w:val="-6"/>
                <w:sz w:val="24"/>
                <w:szCs w:val="24"/>
              </w:rPr>
              <w:t>对进、出配电线路进行绝缘测试、接地测试</w:t>
            </w:r>
            <w:r>
              <w:rPr>
                <w:rFonts w:hint="eastAsia" w:ascii="宋体" w:hAnsi="宋体" w:eastAsia="宋体" w:cs="宋体"/>
                <w:b w:val="0"/>
                <w:bCs w:val="0"/>
                <w:color w:val="auto"/>
                <w:spacing w:val="-6"/>
                <w:sz w:val="24"/>
                <w:szCs w:val="24"/>
                <w:lang w:eastAsia="zh-CN"/>
              </w:rPr>
              <w:t>。</w:t>
            </w:r>
          </w:p>
          <w:p w14:paraId="458F0B9E">
            <w:pPr>
              <w:pStyle w:val="20"/>
              <w:spacing w:before="62" w:line="235" w:lineRule="auto"/>
              <w:jc w:val="left"/>
              <w:rPr>
                <w:rFonts w:hint="eastAsia" w:ascii="宋体" w:hAnsi="宋体" w:eastAsia="宋体" w:cs="宋体"/>
                <w:color w:val="auto"/>
                <w:kern w:val="0"/>
                <w:sz w:val="24"/>
                <w:szCs w:val="24"/>
                <w:lang w:val="en-US" w:eastAsia="zh-CN"/>
              </w:rPr>
            </w:pPr>
            <w:r>
              <w:rPr>
                <w:rFonts w:hint="eastAsia" w:ascii="宋体" w:hAnsi="宋体" w:eastAsia="宋体" w:cs="宋体"/>
                <w:b w:val="0"/>
                <w:bCs w:val="0"/>
                <w:color w:val="auto"/>
                <w:spacing w:val="-6"/>
                <w:sz w:val="24"/>
                <w:szCs w:val="24"/>
                <w:lang w:val="en-US" w:eastAsia="zh-CN"/>
              </w:rPr>
              <w:t>11、</w:t>
            </w:r>
            <w:r>
              <w:rPr>
                <w:rFonts w:hint="eastAsia" w:ascii="宋体" w:hAnsi="宋体" w:eastAsia="宋体" w:cs="宋体"/>
                <w:b w:val="0"/>
                <w:bCs w:val="0"/>
                <w:color w:val="auto"/>
                <w:spacing w:val="-6"/>
                <w:sz w:val="24"/>
                <w:szCs w:val="24"/>
              </w:rPr>
              <w:t>对配电线路防护进行检查，穿金属导管或封闭式金属槽 盒的防火保护措施应有效。</w:t>
            </w:r>
          </w:p>
        </w:tc>
        <w:tc>
          <w:tcPr>
            <w:tcW w:w="1105" w:type="dxa"/>
            <w:shd w:val="clear" w:color="auto" w:fill="auto"/>
            <w:noWrap/>
            <w:vAlign w:val="center"/>
          </w:tcPr>
          <w:p w14:paraId="6430A483">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859" w:type="dxa"/>
            <w:shd w:val="clear" w:color="auto" w:fill="auto"/>
            <w:noWrap/>
            <w:vAlign w:val="center"/>
          </w:tcPr>
          <w:p w14:paraId="72DE6959">
            <w:pPr>
              <w:widowControl/>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12</w:t>
            </w:r>
          </w:p>
        </w:tc>
        <w:tc>
          <w:tcPr>
            <w:tcW w:w="1244" w:type="dxa"/>
            <w:shd w:val="clear" w:color="auto" w:fill="auto"/>
            <w:noWrap/>
            <w:vAlign w:val="center"/>
          </w:tcPr>
          <w:p w14:paraId="0E6389EB">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bidi="ar-SA"/>
              </w:rPr>
            </w:pPr>
          </w:p>
        </w:tc>
      </w:tr>
      <w:tr w14:paraId="7357D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831" w:type="dxa"/>
            <w:noWrap w:val="0"/>
            <w:textDirection w:val="tbRlV"/>
            <w:vAlign w:val="center"/>
          </w:tcPr>
          <w:p w14:paraId="6A233756">
            <w:pPr>
              <w:widowControl/>
              <w:jc w:val="center"/>
              <w:rPr>
                <w:rFonts w:hint="eastAsia" w:ascii="宋体" w:hAnsi="宋体" w:eastAsia="宋体" w:cs="宋体"/>
                <w:bCs/>
                <w:color w:val="auto"/>
                <w:kern w:val="0"/>
                <w:sz w:val="24"/>
                <w:szCs w:val="24"/>
                <w:lang w:val="en-US" w:eastAsia="zh-CN" w:bidi="ar-SA"/>
              </w:rPr>
            </w:pPr>
            <w:r>
              <w:rPr>
                <w:rFonts w:hint="eastAsia" w:ascii="宋体" w:hAnsi="宋体" w:eastAsia="宋体" w:cs="宋体"/>
                <w:bCs/>
                <w:color w:val="auto"/>
                <w:kern w:val="0"/>
                <w:sz w:val="24"/>
                <w:szCs w:val="24"/>
                <w:lang w:val="en-US" w:eastAsia="zh-CN"/>
              </w:rPr>
              <w:t>消防水源、消防供水设施</w:t>
            </w:r>
          </w:p>
        </w:tc>
        <w:tc>
          <w:tcPr>
            <w:tcW w:w="4396" w:type="dxa"/>
            <w:noWrap/>
            <w:vAlign w:val="center"/>
          </w:tcPr>
          <w:p w14:paraId="06691A3C">
            <w:pPr>
              <w:pStyle w:val="20"/>
              <w:spacing w:before="62" w:line="235" w:lineRule="auto"/>
              <w:jc w:val="left"/>
              <w:rPr>
                <w:rFonts w:hint="eastAsia" w:ascii="宋体" w:hAnsi="宋体" w:eastAsia="宋体" w:cs="宋体"/>
                <w:b w:val="0"/>
                <w:bCs w:val="0"/>
                <w:color w:val="auto"/>
                <w:spacing w:val="-6"/>
                <w:sz w:val="24"/>
                <w:szCs w:val="24"/>
                <w:lang w:eastAsia="zh-CN"/>
              </w:rPr>
            </w:pPr>
            <w:r>
              <w:rPr>
                <w:rFonts w:hint="eastAsia" w:ascii="宋体" w:hAnsi="宋体" w:eastAsia="宋体" w:cs="宋体"/>
                <w:b w:val="0"/>
                <w:bCs w:val="0"/>
                <w:color w:val="auto"/>
                <w:spacing w:val="-6"/>
                <w:sz w:val="24"/>
                <w:szCs w:val="24"/>
              </w:rPr>
              <w:t>1、消防水池</w:t>
            </w:r>
            <w:r>
              <w:rPr>
                <w:rFonts w:hint="eastAsia" w:ascii="宋体" w:hAnsi="宋体" w:eastAsia="宋体" w:cs="宋体"/>
                <w:b w:val="0"/>
                <w:bCs w:val="0"/>
                <w:color w:val="auto"/>
                <w:spacing w:val="-6"/>
                <w:sz w:val="24"/>
                <w:szCs w:val="24"/>
                <w:lang w:val="en-US" w:eastAsia="zh-CN"/>
              </w:rPr>
              <w:t>外观</w:t>
            </w:r>
            <w:r>
              <w:rPr>
                <w:rFonts w:hint="eastAsia" w:ascii="宋体" w:hAnsi="宋体" w:eastAsia="宋体" w:cs="宋体"/>
                <w:b w:val="0"/>
                <w:bCs w:val="0"/>
                <w:color w:val="auto"/>
                <w:spacing w:val="-6"/>
                <w:sz w:val="24"/>
                <w:szCs w:val="24"/>
              </w:rPr>
              <w:t>检查</w:t>
            </w:r>
            <w:r>
              <w:rPr>
                <w:rFonts w:hint="eastAsia" w:ascii="宋体" w:hAnsi="宋体" w:eastAsia="宋体" w:cs="宋体"/>
                <w:b w:val="0"/>
                <w:bCs w:val="0"/>
                <w:color w:val="auto"/>
                <w:spacing w:val="-6"/>
                <w:sz w:val="24"/>
                <w:szCs w:val="24"/>
                <w:lang w:eastAsia="zh-CN"/>
              </w:rPr>
              <w:t>。</w:t>
            </w:r>
          </w:p>
          <w:p w14:paraId="302B8B09">
            <w:pPr>
              <w:pStyle w:val="20"/>
              <w:spacing w:before="62" w:line="235" w:lineRule="auto"/>
              <w:jc w:val="left"/>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spacing w:val="-6"/>
                <w:sz w:val="24"/>
                <w:szCs w:val="24"/>
                <w:lang w:val="en-US" w:eastAsia="zh-CN"/>
              </w:rPr>
              <w:t>2、消防水箱水位及浮球阀/电磁阀动作检查。</w:t>
            </w:r>
          </w:p>
          <w:p w14:paraId="60C5AD36">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3、消防水池水位及自动补水功能测试。</w:t>
            </w:r>
          </w:p>
          <w:p w14:paraId="5BF33341">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4、消防水泵手动/自动启动及运行平稳性测试。</w:t>
            </w:r>
          </w:p>
          <w:p w14:paraId="59E2EE7E">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5、水泵控制柜手自动转换、指示灯、故障报警功能。</w:t>
            </w:r>
          </w:p>
          <w:p w14:paraId="338B2F31">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6、水泵接合器外观、密封性及单向阀功能检查。</w:t>
            </w:r>
          </w:p>
          <w:p w14:paraId="1AB1A164">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7、管网最不利点静压/动压测试。</w:t>
            </w:r>
          </w:p>
          <w:p w14:paraId="2079F89A">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8、稳压泵启停压力值及运行频率检测。</w:t>
            </w:r>
          </w:p>
          <w:p w14:paraId="776BF1C7">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9、水泵出口压力表、流量计读数校核。</w:t>
            </w:r>
          </w:p>
          <w:p w14:paraId="528CFED4">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10</w:t>
            </w:r>
            <w:r>
              <w:rPr>
                <w:rFonts w:hint="eastAsia" w:ascii="宋体" w:hAnsi="宋体" w:eastAsia="宋体" w:cs="宋体"/>
                <w:b w:val="0"/>
                <w:bCs w:val="0"/>
                <w:color w:val="auto"/>
                <w:spacing w:val="-6"/>
                <w:sz w:val="24"/>
                <w:szCs w:val="24"/>
              </w:rPr>
              <w:t>、消防水池补水装置维护</w:t>
            </w:r>
            <w:r>
              <w:rPr>
                <w:rFonts w:hint="eastAsia" w:ascii="宋体" w:hAnsi="宋体" w:eastAsia="宋体" w:cs="宋体"/>
                <w:b w:val="0"/>
                <w:bCs w:val="0"/>
                <w:color w:val="auto"/>
                <w:spacing w:val="-6"/>
                <w:sz w:val="24"/>
                <w:szCs w:val="24"/>
                <w:lang w:eastAsia="zh-CN"/>
              </w:rPr>
              <w:t>。</w:t>
            </w:r>
          </w:p>
          <w:p w14:paraId="454DDE0B">
            <w:pPr>
              <w:pStyle w:val="20"/>
              <w:spacing w:before="62" w:line="235" w:lineRule="auto"/>
              <w:jc w:val="left"/>
              <w:rPr>
                <w:rFonts w:hint="eastAsia" w:ascii="宋体" w:hAnsi="宋体" w:eastAsia="宋体" w:cs="宋体"/>
                <w:color w:val="auto"/>
                <w:kern w:val="0"/>
                <w:sz w:val="24"/>
                <w:szCs w:val="24"/>
                <w:lang w:val="en-US" w:eastAsia="zh-CN" w:bidi="ar-SA"/>
              </w:rPr>
            </w:pPr>
            <w:r>
              <w:rPr>
                <w:rFonts w:hint="eastAsia" w:ascii="宋体" w:hAnsi="宋体" w:eastAsia="宋体" w:cs="宋体"/>
                <w:b w:val="0"/>
                <w:bCs w:val="0"/>
                <w:color w:val="auto"/>
                <w:spacing w:val="-6"/>
                <w:sz w:val="24"/>
                <w:szCs w:val="24"/>
                <w:lang w:val="en-US" w:eastAsia="zh-CN"/>
              </w:rPr>
              <w:t>11、消防供水设施</w:t>
            </w:r>
            <w:r>
              <w:rPr>
                <w:rFonts w:hint="eastAsia" w:ascii="宋体" w:hAnsi="宋体" w:eastAsia="宋体" w:cs="宋体"/>
                <w:b w:val="0"/>
                <w:bCs w:val="0"/>
                <w:color w:val="auto"/>
                <w:spacing w:val="-6"/>
                <w:sz w:val="24"/>
                <w:szCs w:val="24"/>
              </w:rPr>
              <w:t>维护</w:t>
            </w:r>
            <w:r>
              <w:rPr>
                <w:rFonts w:hint="eastAsia" w:ascii="宋体" w:hAnsi="宋体" w:eastAsia="宋体" w:cs="宋体"/>
                <w:b w:val="0"/>
                <w:bCs w:val="0"/>
                <w:color w:val="auto"/>
                <w:spacing w:val="-6"/>
                <w:sz w:val="24"/>
                <w:szCs w:val="24"/>
                <w:lang w:eastAsia="zh-CN"/>
              </w:rPr>
              <w:t>。</w:t>
            </w:r>
          </w:p>
        </w:tc>
        <w:tc>
          <w:tcPr>
            <w:tcW w:w="1105" w:type="dxa"/>
            <w:noWrap/>
            <w:vAlign w:val="center"/>
          </w:tcPr>
          <w:p w14:paraId="4C1A3955">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c>
          <w:tcPr>
            <w:tcW w:w="859" w:type="dxa"/>
            <w:noWrap/>
            <w:vAlign w:val="center"/>
          </w:tcPr>
          <w:p w14:paraId="213B3E8B">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12</w:t>
            </w:r>
          </w:p>
        </w:tc>
        <w:tc>
          <w:tcPr>
            <w:tcW w:w="1244" w:type="dxa"/>
            <w:noWrap/>
            <w:vAlign w:val="center"/>
          </w:tcPr>
          <w:p w14:paraId="5C1B14BD">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r>
      <w:tr w14:paraId="4E44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0" w:hRule="atLeast"/>
        </w:trPr>
        <w:tc>
          <w:tcPr>
            <w:tcW w:w="831" w:type="dxa"/>
            <w:noWrap w:val="0"/>
            <w:textDirection w:val="tbRlV"/>
            <w:vAlign w:val="center"/>
          </w:tcPr>
          <w:p w14:paraId="221CAF64">
            <w:pPr>
              <w:widowControl/>
              <w:jc w:val="center"/>
              <w:rPr>
                <w:rFonts w:hint="eastAsia" w:ascii="宋体" w:hAnsi="宋体" w:eastAsia="宋体" w:cs="宋体"/>
                <w:color w:val="auto"/>
                <w:kern w:val="0"/>
                <w:sz w:val="24"/>
                <w:szCs w:val="24"/>
              </w:rPr>
            </w:pPr>
            <w:r>
              <w:rPr>
                <w:rFonts w:hint="eastAsia" w:ascii="宋体" w:hAnsi="宋体" w:eastAsia="宋体" w:cs="宋体"/>
                <w:bCs/>
                <w:color w:val="auto"/>
                <w:kern w:val="0"/>
                <w:sz w:val="24"/>
                <w:szCs w:val="24"/>
              </w:rPr>
              <w:t>火灾自动报警系统</w:t>
            </w:r>
          </w:p>
        </w:tc>
        <w:tc>
          <w:tcPr>
            <w:tcW w:w="4396" w:type="dxa"/>
            <w:noWrap/>
            <w:vAlign w:val="center"/>
          </w:tcPr>
          <w:p w14:paraId="27908B7B">
            <w:pPr>
              <w:pStyle w:val="20"/>
              <w:numPr>
                <w:ilvl w:val="0"/>
                <w:numId w:val="10"/>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火灾报警控制器自检、报警、打印、故障诊断功能。</w:t>
            </w:r>
          </w:p>
          <w:p w14:paraId="688E0CB1">
            <w:pPr>
              <w:pStyle w:val="20"/>
              <w:numPr>
                <w:ilvl w:val="0"/>
                <w:numId w:val="10"/>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报警控制器配电及其消防电源。</w:t>
            </w:r>
          </w:p>
          <w:p w14:paraId="147CAB4E">
            <w:pPr>
              <w:pStyle w:val="20"/>
              <w:numPr>
                <w:ilvl w:val="0"/>
                <w:numId w:val="10"/>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消防广播强切至应急广播功能测试。</w:t>
            </w:r>
          </w:p>
          <w:p w14:paraId="086E54B7">
            <w:pPr>
              <w:pStyle w:val="20"/>
              <w:numPr>
                <w:ilvl w:val="0"/>
                <w:numId w:val="10"/>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广播分区音量及清晰度检测。</w:t>
            </w:r>
          </w:p>
          <w:p w14:paraId="12E53A87">
            <w:pPr>
              <w:pStyle w:val="20"/>
              <w:numPr>
                <w:ilvl w:val="0"/>
                <w:numId w:val="10"/>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烟感探测器加烟/加温报警测试。</w:t>
            </w:r>
          </w:p>
          <w:p w14:paraId="5543EEAF">
            <w:pPr>
              <w:pStyle w:val="20"/>
              <w:numPr>
                <w:ilvl w:val="0"/>
                <w:numId w:val="10"/>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温感探测器报警响应时间测试。</w:t>
            </w:r>
          </w:p>
          <w:p w14:paraId="43322E8A">
            <w:pPr>
              <w:pStyle w:val="20"/>
              <w:numPr>
                <w:ilvl w:val="0"/>
                <w:numId w:val="10"/>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手动报警按钮报警及复位功能。</w:t>
            </w:r>
          </w:p>
          <w:p w14:paraId="11DD76A1">
            <w:pPr>
              <w:pStyle w:val="20"/>
              <w:numPr>
                <w:ilvl w:val="0"/>
                <w:numId w:val="10"/>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楼层显示器信号显示及报警同步功能。</w:t>
            </w:r>
          </w:p>
          <w:p w14:paraId="28C53023">
            <w:pPr>
              <w:pStyle w:val="20"/>
              <w:numPr>
                <w:ilvl w:val="0"/>
                <w:numId w:val="10"/>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消防电话分机与主机通话质量及插孔通话测试。</w:t>
            </w:r>
          </w:p>
          <w:p w14:paraId="0DE9B272">
            <w:pPr>
              <w:pStyle w:val="20"/>
              <w:numPr>
                <w:ilvl w:val="0"/>
                <w:numId w:val="10"/>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主机联动逻辑编程验证（烟感→广播→卷帘→风机等）。</w:t>
            </w:r>
          </w:p>
          <w:p w14:paraId="4818EBF4">
            <w:pPr>
              <w:pStyle w:val="20"/>
              <w:numPr>
                <w:ilvl w:val="0"/>
                <w:numId w:val="10"/>
              </w:numPr>
              <w:spacing w:before="62" w:line="235" w:lineRule="auto"/>
              <w:jc w:val="left"/>
              <w:rPr>
                <w:rFonts w:hint="eastAsia" w:ascii="宋体" w:hAnsi="宋体" w:eastAsia="宋体" w:cs="宋体"/>
                <w:color w:val="auto"/>
                <w:kern w:val="0"/>
                <w:sz w:val="24"/>
                <w:szCs w:val="24"/>
                <w:lang w:val="en-US" w:eastAsia="zh-CN" w:bidi="ar-SA"/>
              </w:rPr>
            </w:pPr>
            <w:r>
              <w:rPr>
                <w:rFonts w:hint="eastAsia" w:ascii="宋体" w:hAnsi="宋体" w:eastAsia="宋体" w:cs="宋体"/>
                <w:b w:val="0"/>
                <w:bCs w:val="0"/>
                <w:color w:val="auto"/>
                <w:spacing w:val="-6"/>
                <w:sz w:val="24"/>
                <w:szCs w:val="24"/>
                <w:lang w:val="en-US" w:eastAsia="zh-CN"/>
              </w:rPr>
              <w:t>备用电源电池容量及自动切换测试。</w:t>
            </w:r>
          </w:p>
          <w:p w14:paraId="0E9AB70D">
            <w:pPr>
              <w:pStyle w:val="20"/>
              <w:numPr>
                <w:ilvl w:val="0"/>
                <w:numId w:val="10"/>
              </w:numPr>
              <w:spacing w:before="62" w:line="235" w:lineRule="auto"/>
              <w:jc w:val="left"/>
              <w:rPr>
                <w:rFonts w:hint="eastAsia" w:ascii="宋体" w:hAnsi="宋体" w:eastAsia="宋体" w:cs="宋体"/>
                <w:color w:val="auto"/>
                <w:kern w:val="0"/>
                <w:sz w:val="24"/>
                <w:szCs w:val="24"/>
                <w:lang w:val="en-US" w:eastAsia="zh-CN" w:bidi="ar-SA"/>
              </w:rPr>
            </w:pPr>
            <w:r>
              <w:rPr>
                <w:rFonts w:hint="eastAsia" w:ascii="宋体" w:hAnsi="宋体" w:eastAsia="宋体" w:cs="宋体"/>
                <w:b w:val="0"/>
                <w:bCs w:val="0"/>
                <w:color w:val="auto"/>
                <w:spacing w:val="-6"/>
                <w:sz w:val="24"/>
                <w:szCs w:val="24"/>
                <w:lang w:val="en-US" w:eastAsia="zh-CN"/>
              </w:rPr>
              <w:t>消防声光警报装置功能。</w:t>
            </w:r>
          </w:p>
        </w:tc>
        <w:tc>
          <w:tcPr>
            <w:tcW w:w="1105" w:type="dxa"/>
            <w:noWrap/>
            <w:vAlign w:val="center"/>
          </w:tcPr>
          <w:p w14:paraId="628805F4">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c>
          <w:tcPr>
            <w:tcW w:w="859" w:type="dxa"/>
            <w:noWrap/>
            <w:vAlign w:val="center"/>
          </w:tcPr>
          <w:p w14:paraId="782D9029">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12</w:t>
            </w:r>
          </w:p>
        </w:tc>
        <w:tc>
          <w:tcPr>
            <w:tcW w:w="1244" w:type="dxa"/>
            <w:shd w:val="clear" w:color="auto" w:fill="auto"/>
            <w:noWrap/>
            <w:vAlign w:val="center"/>
          </w:tcPr>
          <w:p w14:paraId="3FFFCA6C">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p>
        </w:tc>
      </w:tr>
      <w:tr w14:paraId="697B5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8" w:hRule="atLeast"/>
        </w:trPr>
        <w:tc>
          <w:tcPr>
            <w:tcW w:w="831" w:type="dxa"/>
            <w:noWrap w:val="0"/>
            <w:textDirection w:val="tbRlV"/>
            <w:vAlign w:val="center"/>
          </w:tcPr>
          <w:p w14:paraId="3915AA40">
            <w:pPr>
              <w:widowControl/>
              <w:jc w:val="center"/>
              <w:rPr>
                <w:rFonts w:hint="eastAsia" w:ascii="宋体" w:hAnsi="宋体" w:eastAsia="宋体" w:cs="宋体"/>
                <w:color w:val="auto"/>
                <w:kern w:val="0"/>
                <w:sz w:val="24"/>
                <w:szCs w:val="24"/>
              </w:rPr>
            </w:pPr>
            <w:r>
              <w:rPr>
                <w:rFonts w:hint="eastAsia" w:ascii="宋体" w:hAnsi="宋体" w:eastAsia="宋体" w:cs="宋体"/>
                <w:bCs/>
                <w:color w:val="auto"/>
                <w:kern w:val="0"/>
                <w:sz w:val="24"/>
                <w:szCs w:val="24"/>
              </w:rPr>
              <w:t>消火栓给水系统</w:t>
            </w:r>
          </w:p>
        </w:tc>
        <w:tc>
          <w:tcPr>
            <w:tcW w:w="4396" w:type="dxa"/>
            <w:noWrap/>
            <w:vAlign w:val="center"/>
          </w:tcPr>
          <w:p w14:paraId="50C825C2">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1、消防泵启动功能测试。</w:t>
            </w:r>
          </w:p>
          <w:p w14:paraId="4B3B25D4">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2、消防泵电控柜功能测试。</w:t>
            </w:r>
          </w:p>
          <w:p w14:paraId="008862D6">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3、气压罐外观检查，压力测试。</w:t>
            </w:r>
          </w:p>
          <w:p w14:paraId="70CD5473">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4、系统管网工作压力测试。</w:t>
            </w:r>
          </w:p>
          <w:p w14:paraId="1D4AC734">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5、消火栓系统联动功能检查。</w:t>
            </w:r>
          </w:p>
          <w:p w14:paraId="7017C5A3">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6、消火栓按钮报警信号及联动启泵功能。</w:t>
            </w:r>
          </w:p>
          <w:p w14:paraId="2798140C">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7、减压、节流装置性能。</w:t>
            </w:r>
          </w:p>
          <w:p w14:paraId="3EFF1D30">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9、室外消火栓压力测试及开关灵活性。</w:t>
            </w:r>
          </w:p>
          <w:p w14:paraId="0550DFB6">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10、水泵接合器进水试验。</w:t>
            </w:r>
          </w:p>
          <w:p w14:paraId="353CC5EA">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11、电动阀（电磁阀）功能维保。</w:t>
            </w:r>
          </w:p>
          <w:p w14:paraId="0CBAFF21">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12、室内消火栓静压测试（最不利点）。</w:t>
            </w:r>
          </w:p>
          <w:p w14:paraId="40410163">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13、室内消火栓动压及充实水柱测试（需放水）。</w:t>
            </w:r>
          </w:p>
          <w:p w14:paraId="2261F4C5">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14、水枪、水带完整性及接口密封性。</w:t>
            </w:r>
          </w:p>
          <w:p w14:paraId="5C3810BA">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15、消火栓箱门开启灵活性及内部配件齐全性。</w:t>
            </w:r>
          </w:p>
          <w:p w14:paraId="37D7CE56">
            <w:pPr>
              <w:pStyle w:val="20"/>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16、管网压力开关动作及信号反馈。</w:t>
            </w:r>
          </w:p>
          <w:p w14:paraId="2981D06A">
            <w:pPr>
              <w:pStyle w:val="20"/>
              <w:spacing w:before="62" w:line="235" w:lineRule="auto"/>
              <w:jc w:val="left"/>
              <w:rPr>
                <w:rFonts w:hint="eastAsia" w:ascii="宋体" w:hAnsi="宋体" w:eastAsia="宋体" w:cs="宋体"/>
                <w:color w:val="auto"/>
                <w:kern w:val="0"/>
                <w:sz w:val="24"/>
                <w:szCs w:val="24"/>
                <w:lang w:val="en-US" w:eastAsia="zh-CN" w:bidi="ar-SA"/>
              </w:rPr>
            </w:pPr>
            <w:r>
              <w:rPr>
                <w:rFonts w:hint="eastAsia" w:ascii="宋体" w:hAnsi="宋体" w:eastAsia="宋体" w:cs="宋体"/>
                <w:b w:val="0"/>
                <w:bCs w:val="0"/>
                <w:color w:val="auto"/>
                <w:spacing w:val="-6"/>
                <w:sz w:val="24"/>
                <w:szCs w:val="24"/>
                <w:lang w:val="en-US" w:eastAsia="zh-CN"/>
              </w:rPr>
              <w:t>17、消防软管卷盘出水测试。</w:t>
            </w:r>
          </w:p>
        </w:tc>
        <w:tc>
          <w:tcPr>
            <w:tcW w:w="1105" w:type="dxa"/>
            <w:noWrap/>
            <w:vAlign w:val="center"/>
          </w:tcPr>
          <w:p w14:paraId="31D944CA">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c>
          <w:tcPr>
            <w:tcW w:w="859" w:type="dxa"/>
            <w:noWrap/>
            <w:vAlign w:val="center"/>
          </w:tcPr>
          <w:p w14:paraId="11F7E7DD">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12</w:t>
            </w:r>
          </w:p>
        </w:tc>
        <w:tc>
          <w:tcPr>
            <w:tcW w:w="1244" w:type="dxa"/>
            <w:noWrap/>
            <w:vAlign w:val="center"/>
          </w:tcPr>
          <w:p w14:paraId="7C14E053">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r>
      <w:tr w14:paraId="1EDE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1" w:hRule="atLeast"/>
        </w:trPr>
        <w:tc>
          <w:tcPr>
            <w:tcW w:w="831" w:type="dxa"/>
            <w:noWrap w:val="0"/>
            <w:vAlign w:val="center"/>
          </w:tcPr>
          <w:p w14:paraId="067C65A5">
            <w:pPr>
              <w:widowControl/>
              <w:jc w:val="center"/>
              <w:rPr>
                <w:rFonts w:hint="eastAsia" w:ascii="宋体" w:hAnsi="宋体" w:eastAsia="宋体" w:cs="宋体"/>
                <w:bCs/>
                <w:color w:val="auto"/>
                <w:kern w:val="0"/>
                <w:sz w:val="24"/>
                <w:szCs w:val="24"/>
                <w:lang w:val="en-US" w:eastAsia="zh-CN"/>
              </w:rPr>
            </w:pPr>
            <w:r>
              <w:rPr>
                <w:rFonts w:hint="eastAsia" w:ascii="宋体" w:hAnsi="宋体" w:eastAsia="宋体" w:cs="宋体"/>
                <w:bCs/>
                <w:color w:val="auto"/>
                <w:kern w:val="0"/>
                <w:sz w:val="24"/>
                <w:szCs w:val="24"/>
                <w:lang w:val="en-US" w:eastAsia="zh-CN"/>
              </w:rPr>
              <w:t>自动喷水灭火系统</w:t>
            </w:r>
          </w:p>
        </w:tc>
        <w:tc>
          <w:tcPr>
            <w:tcW w:w="4396" w:type="dxa"/>
            <w:shd w:val="clear" w:color="auto" w:fill="auto"/>
            <w:noWrap w:val="0"/>
            <w:vAlign w:val="center"/>
          </w:tcPr>
          <w:p w14:paraId="4C56457B">
            <w:pPr>
              <w:pStyle w:val="20"/>
              <w:numPr>
                <w:ilvl w:val="0"/>
                <w:numId w:val="11"/>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检查消防泵房工作环境及消防泵、稳压设备、电源控制柜、湿式报警阀、管网阀门、喷头、水泵接合器、储水 设施等是否处于正常完好状态。</w:t>
            </w:r>
          </w:p>
          <w:p w14:paraId="40AEB8ED">
            <w:pPr>
              <w:pStyle w:val="20"/>
              <w:numPr>
                <w:ilvl w:val="0"/>
                <w:numId w:val="11"/>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试验内燃机驱动的消防泵能否正常工作。</w:t>
            </w:r>
          </w:p>
          <w:p w14:paraId="5DB5F4FC">
            <w:pPr>
              <w:pStyle w:val="20"/>
              <w:numPr>
                <w:ilvl w:val="0"/>
                <w:numId w:val="11"/>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启动消防泵，当消防泵为自动控制启动时，应模拟自动控制的条件进行启动。</w:t>
            </w:r>
          </w:p>
          <w:p w14:paraId="53CDFBF8">
            <w:pPr>
              <w:pStyle w:val="20"/>
              <w:numPr>
                <w:ilvl w:val="0"/>
                <w:numId w:val="11"/>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设备用泵时，应同时试验主、备 泵的切换功能。</w:t>
            </w:r>
          </w:p>
          <w:p w14:paraId="27BADE37">
            <w:pPr>
              <w:pStyle w:val="20"/>
              <w:numPr>
                <w:ilvl w:val="0"/>
                <w:numId w:val="11"/>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水力警铃声响强度及停止功能。</w:t>
            </w:r>
          </w:p>
          <w:p w14:paraId="5B40983D">
            <w:pPr>
              <w:pStyle w:val="20"/>
              <w:numPr>
                <w:ilvl w:val="0"/>
                <w:numId w:val="11"/>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水流指示器动作后报警信号及复位功能。</w:t>
            </w:r>
          </w:p>
          <w:p w14:paraId="0D96F7A1">
            <w:pPr>
              <w:pStyle w:val="20"/>
              <w:numPr>
                <w:ilvl w:val="0"/>
                <w:numId w:val="11"/>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末端试水装置压力表读数及放水联动测试。</w:t>
            </w:r>
          </w:p>
          <w:p w14:paraId="387A69E4">
            <w:pPr>
              <w:pStyle w:val="20"/>
              <w:numPr>
                <w:ilvl w:val="0"/>
                <w:numId w:val="11"/>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喷头外观污染、锈蚀、玻璃泡色标检查。</w:t>
            </w:r>
          </w:p>
          <w:p w14:paraId="33F32229">
            <w:pPr>
              <w:pStyle w:val="20"/>
              <w:numPr>
                <w:ilvl w:val="0"/>
                <w:numId w:val="11"/>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压力开关动作后联动喷淋泵启动。</w:t>
            </w:r>
          </w:p>
          <w:p w14:paraId="3ED37AEB">
            <w:pPr>
              <w:pStyle w:val="20"/>
              <w:numPr>
                <w:ilvl w:val="0"/>
                <w:numId w:val="11"/>
              </w:numPr>
              <w:spacing w:before="62" w:line="235" w:lineRule="auto"/>
              <w:jc w:val="left"/>
              <w:rPr>
                <w:rFonts w:hint="eastAsia" w:ascii="宋体" w:hAnsi="宋体" w:eastAsia="宋体" w:cs="宋体"/>
                <w:b w:val="0"/>
                <w:bCs w:val="0"/>
                <w:color w:val="auto"/>
                <w:spacing w:val="-6"/>
                <w:sz w:val="24"/>
                <w:szCs w:val="24"/>
                <w:lang w:val="en-US" w:eastAsia="zh-CN"/>
              </w:rPr>
            </w:pPr>
            <w:r>
              <w:rPr>
                <w:rFonts w:hint="eastAsia" w:ascii="宋体" w:hAnsi="宋体" w:eastAsia="宋体" w:cs="宋体"/>
                <w:b w:val="0"/>
                <w:bCs w:val="0"/>
                <w:color w:val="auto"/>
                <w:spacing w:val="-6"/>
                <w:sz w:val="24"/>
                <w:szCs w:val="24"/>
                <w:lang w:val="en-US" w:eastAsia="zh-CN"/>
              </w:rPr>
              <w:t>喷淋泵启动后信号反馈至主机。</w:t>
            </w:r>
          </w:p>
          <w:p w14:paraId="2E613CD7">
            <w:pPr>
              <w:pStyle w:val="20"/>
              <w:numPr>
                <w:ilvl w:val="0"/>
                <w:numId w:val="11"/>
              </w:numPr>
              <w:spacing w:before="62" w:line="235" w:lineRule="auto"/>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color w:val="auto"/>
                <w:spacing w:val="-6"/>
                <w:sz w:val="24"/>
                <w:szCs w:val="24"/>
                <w:lang w:val="en-US" w:eastAsia="zh-CN"/>
              </w:rPr>
              <w:t>报警阀组排水设施及压力开关复位。</w:t>
            </w:r>
          </w:p>
          <w:p w14:paraId="09DBB093">
            <w:pPr>
              <w:pStyle w:val="20"/>
              <w:numPr>
                <w:ilvl w:val="0"/>
                <w:numId w:val="11"/>
              </w:numPr>
              <w:spacing w:before="62" w:line="235" w:lineRule="auto"/>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color w:val="auto"/>
                <w:spacing w:val="-6"/>
                <w:sz w:val="24"/>
                <w:szCs w:val="24"/>
                <w:lang w:val="en-US" w:eastAsia="zh-CN"/>
              </w:rPr>
              <w:t>湿式报警阀阀瓣开启及延时器动作测试。</w:t>
            </w:r>
          </w:p>
        </w:tc>
        <w:tc>
          <w:tcPr>
            <w:tcW w:w="1105" w:type="dxa"/>
            <w:shd w:val="clear" w:color="auto" w:fill="auto"/>
            <w:noWrap/>
            <w:vAlign w:val="center"/>
          </w:tcPr>
          <w:p w14:paraId="6447B5E1">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859" w:type="dxa"/>
            <w:shd w:val="clear" w:color="auto" w:fill="auto"/>
            <w:noWrap/>
            <w:vAlign w:val="center"/>
          </w:tcPr>
          <w:p w14:paraId="54314F80">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12</w:t>
            </w:r>
          </w:p>
        </w:tc>
        <w:tc>
          <w:tcPr>
            <w:tcW w:w="1244" w:type="dxa"/>
            <w:shd w:val="clear" w:color="auto" w:fill="auto"/>
            <w:noWrap/>
            <w:vAlign w:val="center"/>
          </w:tcPr>
          <w:p w14:paraId="7E7644F5">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r>
      <w:tr w14:paraId="5863D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6" w:hRule="atLeast"/>
        </w:trPr>
        <w:tc>
          <w:tcPr>
            <w:tcW w:w="831" w:type="dxa"/>
            <w:noWrap w:val="0"/>
            <w:vAlign w:val="center"/>
          </w:tcPr>
          <w:p w14:paraId="5F4C4335">
            <w:pPr>
              <w:keepNext w:val="0"/>
              <w:keepLines w:val="0"/>
              <w:widowControl/>
              <w:suppressLineNumbers w:val="0"/>
              <w:jc w:val="center"/>
              <w:textAlignment w:val="center"/>
              <w:rPr>
                <w:rFonts w:hint="eastAsia" w:ascii="宋体" w:hAnsi="宋体" w:eastAsia="宋体" w:cs="宋体"/>
                <w:bCs/>
                <w:color w:val="auto"/>
                <w:kern w:val="0"/>
                <w:sz w:val="24"/>
                <w:szCs w:val="24"/>
                <w:lang w:val="en-US" w:eastAsia="zh-CN"/>
              </w:rPr>
            </w:pPr>
            <w:r>
              <w:rPr>
                <w:rFonts w:hint="eastAsia" w:ascii="宋体" w:hAnsi="宋体" w:eastAsia="宋体" w:cs="宋体"/>
                <w:i w:val="0"/>
                <w:iCs w:val="0"/>
                <w:color w:val="auto"/>
                <w:kern w:val="0"/>
                <w:sz w:val="24"/>
                <w:szCs w:val="24"/>
                <w:u w:val="none"/>
                <w:lang w:val="en-US" w:eastAsia="zh-CN" w:bidi="ar"/>
              </w:rPr>
              <w:t>气体灭火系统</w:t>
            </w:r>
          </w:p>
        </w:tc>
        <w:tc>
          <w:tcPr>
            <w:tcW w:w="4396" w:type="dxa"/>
            <w:shd w:val="clear" w:color="auto" w:fill="auto"/>
            <w:noWrap w:val="0"/>
            <w:vAlign w:val="center"/>
          </w:tcPr>
          <w:p w14:paraId="26D580D5">
            <w:pPr>
              <w:widowControl/>
              <w:numPr>
                <w:ilvl w:val="0"/>
                <w:numId w:val="12"/>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检查贮瓶间及防护区的工作环境以及贮气瓶、选择阀、液体单向阀、高压软管、集流管、阀驱动装置、管网、喷嘴、紧急启动按钮、声光报警装置等是否处于正常完好状态。</w:t>
            </w:r>
          </w:p>
          <w:p w14:paraId="1AFB4748">
            <w:pPr>
              <w:widowControl/>
              <w:numPr>
                <w:ilvl w:val="0"/>
                <w:numId w:val="12"/>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气瓶压力表读数（绿区/红区判定）。</w:t>
            </w:r>
          </w:p>
          <w:p w14:paraId="2B2E444E">
            <w:pPr>
              <w:widowControl/>
              <w:numPr>
                <w:ilvl w:val="0"/>
                <w:numId w:val="12"/>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储瓶间环境温度、湿度及瓶体固定情况。</w:t>
            </w:r>
          </w:p>
          <w:p w14:paraId="7A65EEE1">
            <w:pPr>
              <w:widowControl/>
              <w:numPr>
                <w:ilvl w:val="0"/>
                <w:numId w:val="12"/>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选择阀、电磁阀手动/电动动作测试。</w:t>
            </w:r>
          </w:p>
          <w:p w14:paraId="30BA629A">
            <w:pPr>
              <w:widowControl/>
              <w:numPr>
                <w:ilvl w:val="0"/>
                <w:numId w:val="12"/>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控制主机延时启动逻辑（0-30秒可调）。</w:t>
            </w:r>
          </w:p>
          <w:p w14:paraId="6341B7AB">
            <w:pPr>
              <w:widowControl/>
              <w:numPr>
                <w:ilvl w:val="0"/>
                <w:numId w:val="12"/>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气体释放指示灯点亮及联动信号。</w:t>
            </w:r>
          </w:p>
          <w:p w14:paraId="16A8C9F2">
            <w:pPr>
              <w:widowControl/>
              <w:numPr>
                <w:ilvl w:val="0"/>
                <w:numId w:val="12"/>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紧急启停按钮功能（紧急停止优先级）。</w:t>
            </w:r>
          </w:p>
          <w:p w14:paraId="0FBD67C4">
            <w:pPr>
              <w:widowControl/>
              <w:numPr>
                <w:ilvl w:val="0"/>
                <w:numId w:val="12"/>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喷嘴外观无堵塞、无机械损伤。</w:t>
            </w:r>
          </w:p>
          <w:p w14:paraId="47E88FD9">
            <w:pPr>
              <w:widowControl/>
              <w:numPr>
                <w:ilvl w:val="0"/>
                <w:numId w:val="12"/>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防护区密闭性及泄压口状态检查。</w:t>
            </w:r>
          </w:p>
          <w:p w14:paraId="4FA58C70">
            <w:pPr>
              <w:widowControl/>
              <w:numPr>
                <w:ilvl w:val="0"/>
                <w:numId w:val="12"/>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手自动转换开关状态及报警功能。</w:t>
            </w:r>
          </w:p>
        </w:tc>
        <w:tc>
          <w:tcPr>
            <w:tcW w:w="1105" w:type="dxa"/>
            <w:shd w:val="clear" w:color="auto" w:fill="auto"/>
            <w:noWrap/>
            <w:vAlign w:val="center"/>
          </w:tcPr>
          <w:p w14:paraId="628DCDE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859" w:type="dxa"/>
            <w:shd w:val="clear" w:color="auto" w:fill="auto"/>
            <w:noWrap/>
            <w:vAlign w:val="center"/>
          </w:tcPr>
          <w:p w14:paraId="37352248">
            <w:pPr>
              <w:widowControl/>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12</w:t>
            </w:r>
          </w:p>
        </w:tc>
        <w:tc>
          <w:tcPr>
            <w:tcW w:w="1244" w:type="dxa"/>
            <w:shd w:val="clear" w:color="auto" w:fill="auto"/>
            <w:noWrap/>
            <w:vAlign w:val="center"/>
          </w:tcPr>
          <w:p w14:paraId="04F594C3">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bidi="ar-SA"/>
              </w:rPr>
            </w:pPr>
          </w:p>
        </w:tc>
      </w:tr>
      <w:tr w14:paraId="0482E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0" w:hRule="atLeast"/>
        </w:trPr>
        <w:tc>
          <w:tcPr>
            <w:tcW w:w="831" w:type="dxa"/>
            <w:noWrap w:val="0"/>
            <w:vAlign w:val="center"/>
          </w:tcPr>
          <w:p w14:paraId="29CDAF43">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电气火灾监控系统</w:t>
            </w:r>
          </w:p>
        </w:tc>
        <w:tc>
          <w:tcPr>
            <w:tcW w:w="4396" w:type="dxa"/>
            <w:shd w:val="clear" w:color="auto" w:fill="auto"/>
            <w:noWrap w:val="0"/>
            <w:vAlign w:val="center"/>
          </w:tcPr>
          <w:p w14:paraId="41871A85">
            <w:pPr>
              <w:widowControl/>
              <w:numPr>
                <w:ilvl w:val="0"/>
                <w:numId w:val="13"/>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电气火灾监控探测器报警功能测试（模拟剩余电流）。</w:t>
            </w:r>
          </w:p>
          <w:p w14:paraId="7D6D59CB">
            <w:pPr>
              <w:widowControl/>
              <w:numPr>
                <w:ilvl w:val="0"/>
                <w:numId w:val="13"/>
              </w:numPr>
              <w:jc w:val="left"/>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各回路剩余电流实时值读取及比对。</w:t>
            </w:r>
          </w:p>
          <w:p w14:paraId="65C059E1">
            <w:pPr>
              <w:widowControl/>
              <w:numPr>
                <w:ilvl w:val="0"/>
                <w:numId w:val="13"/>
              </w:numPr>
              <w:jc w:val="left"/>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测温式探测器温度报警功能测试。</w:t>
            </w:r>
          </w:p>
          <w:p w14:paraId="11F9AD61">
            <w:pPr>
              <w:widowControl/>
              <w:numPr>
                <w:ilvl w:val="0"/>
                <w:numId w:val="13"/>
              </w:numPr>
              <w:jc w:val="left"/>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监控主机自检、报警、存储、打印功能。</w:t>
            </w:r>
          </w:p>
          <w:p w14:paraId="502D6893">
            <w:pPr>
              <w:widowControl/>
              <w:numPr>
                <w:ilvl w:val="0"/>
                <w:numId w:val="13"/>
              </w:numPr>
              <w:jc w:val="left"/>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消防电源监控器主/备电电压、电流显示准确性。</w:t>
            </w:r>
          </w:p>
          <w:p w14:paraId="6DB48B7A">
            <w:pPr>
              <w:widowControl/>
              <w:numPr>
                <w:ilvl w:val="0"/>
                <w:numId w:val="13"/>
              </w:numPr>
              <w:jc w:val="left"/>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消防电源开关状态及故障报警功能。</w:t>
            </w:r>
          </w:p>
          <w:p w14:paraId="32844504">
            <w:pPr>
              <w:widowControl/>
              <w:numPr>
                <w:ilvl w:val="0"/>
                <w:numId w:val="13"/>
              </w:numPr>
              <w:jc w:val="left"/>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监控器与上位机通讯状态检查。</w:t>
            </w:r>
          </w:p>
        </w:tc>
        <w:tc>
          <w:tcPr>
            <w:tcW w:w="1105" w:type="dxa"/>
            <w:shd w:val="clear" w:color="auto" w:fill="auto"/>
            <w:noWrap/>
            <w:vAlign w:val="center"/>
          </w:tcPr>
          <w:p w14:paraId="2DCE9214">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859" w:type="dxa"/>
            <w:shd w:val="clear" w:color="auto" w:fill="auto"/>
            <w:noWrap/>
            <w:vAlign w:val="center"/>
          </w:tcPr>
          <w:p w14:paraId="14D2CEF7">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12</w:t>
            </w:r>
          </w:p>
        </w:tc>
        <w:tc>
          <w:tcPr>
            <w:tcW w:w="1244" w:type="dxa"/>
            <w:shd w:val="clear" w:color="auto" w:fill="auto"/>
            <w:noWrap/>
            <w:vAlign w:val="center"/>
          </w:tcPr>
          <w:p w14:paraId="3A53A64E">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bidi="ar-SA"/>
              </w:rPr>
            </w:pPr>
          </w:p>
        </w:tc>
      </w:tr>
      <w:tr w14:paraId="48F5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8" w:hRule="atLeast"/>
        </w:trPr>
        <w:tc>
          <w:tcPr>
            <w:tcW w:w="831" w:type="dxa"/>
            <w:noWrap w:val="0"/>
            <w:vAlign w:val="center"/>
          </w:tcPr>
          <w:p w14:paraId="5ED3AAC1">
            <w:pPr>
              <w:widowControl/>
              <w:jc w:val="center"/>
              <w:rPr>
                <w:rFonts w:hint="eastAsia" w:ascii="宋体" w:hAnsi="宋体" w:eastAsia="宋体" w:cs="宋体"/>
                <w:bCs/>
                <w:color w:val="auto"/>
                <w:kern w:val="0"/>
                <w:sz w:val="24"/>
                <w:szCs w:val="24"/>
                <w:lang w:val="en-US" w:eastAsia="zh-CN"/>
              </w:rPr>
            </w:pPr>
            <w:r>
              <w:rPr>
                <w:rFonts w:hint="eastAsia" w:ascii="宋体" w:hAnsi="宋体" w:eastAsia="宋体" w:cs="宋体"/>
                <w:bCs/>
                <w:color w:val="auto"/>
                <w:kern w:val="0"/>
                <w:sz w:val="24"/>
                <w:szCs w:val="24"/>
                <w:lang w:val="en-US" w:eastAsia="zh-CN"/>
              </w:rPr>
              <w:t>防火分隔设施</w:t>
            </w:r>
          </w:p>
        </w:tc>
        <w:tc>
          <w:tcPr>
            <w:tcW w:w="4396" w:type="dxa"/>
            <w:shd w:val="clear" w:color="auto" w:fill="auto"/>
            <w:noWrap w:val="0"/>
            <w:vAlign w:val="center"/>
          </w:tcPr>
          <w:p w14:paraId="7053459A">
            <w:pPr>
              <w:widowControl/>
              <w:numPr>
                <w:ilvl w:val="0"/>
                <w:numId w:val="14"/>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防火卷帘现场手动升降及限位开关准确性。</w:t>
            </w:r>
          </w:p>
          <w:p w14:paraId="5C91D1A5">
            <w:pPr>
              <w:widowControl/>
              <w:numPr>
                <w:ilvl w:val="0"/>
                <w:numId w:val="14"/>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防火卷帘联动下降（半降/全降）及信号反馈。</w:t>
            </w:r>
          </w:p>
          <w:p w14:paraId="669111CC">
            <w:pPr>
              <w:widowControl/>
              <w:numPr>
                <w:ilvl w:val="0"/>
                <w:numId w:val="14"/>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卷帘导轨清理及下方无障碍物检查。</w:t>
            </w:r>
          </w:p>
          <w:p w14:paraId="621BA1BD">
            <w:pPr>
              <w:widowControl/>
              <w:numPr>
                <w:ilvl w:val="0"/>
                <w:numId w:val="14"/>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检查防火卷帘的完整性和整体封隔。</w:t>
            </w:r>
          </w:p>
          <w:p w14:paraId="41A958C7">
            <w:pPr>
              <w:widowControl/>
              <w:numPr>
                <w:ilvl w:val="0"/>
                <w:numId w:val="14"/>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防火卷帘上部、周围的缝隙应采用相同耐火极限的不燃材料填充、封隔。</w:t>
            </w:r>
          </w:p>
          <w:p w14:paraId="6D96D94B">
            <w:pPr>
              <w:widowControl/>
              <w:numPr>
                <w:ilvl w:val="0"/>
                <w:numId w:val="14"/>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防火门开启/关闭灵活性及自闭功能。</w:t>
            </w:r>
          </w:p>
          <w:p w14:paraId="4CE7F395">
            <w:pPr>
              <w:widowControl/>
              <w:numPr>
                <w:ilvl w:val="0"/>
                <w:numId w:val="14"/>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闭门器、顺序器调速及无撞击关闭。</w:t>
            </w:r>
          </w:p>
          <w:p w14:paraId="17559A69">
            <w:pPr>
              <w:widowControl/>
              <w:numPr>
                <w:ilvl w:val="0"/>
                <w:numId w:val="14"/>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电动防火门火灾联动关闭测试。</w:t>
            </w:r>
          </w:p>
          <w:p w14:paraId="6B59ADC7">
            <w:pPr>
              <w:widowControl/>
              <w:numPr>
                <w:ilvl w:val="0"/>
                <w:numId w:val="14"/>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门框与门扇间隙、密封条完整性。</w:t>
            </w:r>
          </w:p>
          <w:p w14:paraId="12F0E0F1">
            <w:pPr>
              <w:widowControl/>
              <w:numPr>
                <w:ilvl w:val="0"/>
                <w:numId w:val="14"/>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防火窗自闭功能检查。</w:t>
            </w:r>
          </w:p>
          <w:p w14:paraId="56C69A17">
            <w:pPr>
              <w:widowControl/>
              <w:numPr>
                <w:ilvl w:val="0"/>
                <w:numId w:val="14"/>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定期检查“常闭式防火门，请保持关闭”等警示类标识的齐全。</w:t>
            </w:r>
          </w:p>
        </w:tc>
        <w:tc>
          <w:tcPr>
            <w:tcW w:w="1105" w:type="dxa"/>
            <w:shd w:val="clear" w:color="auto" w:fill="auto"/>
            <w:noWrap/>
            <w:vAlign w:val="center"/>
          </w:tcPr>
          <w:p w14:paraId="4AE9259F">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859" w:type="dxa"/>
            <w:shd w:val="clear" w:color="auto" w:fill="auto"/>
            <w:noWrap/>
            <w:vAlign w:val="center"/>
          </w:tcPr>
          <w:p w14:paraId="04201771">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12</w:t>
            </w:r>
          </w:p>
        </w:tc>
        <w:tc>
          <w:tcPr>
            <w:tcW w:w="1244" w:type="dxa"/>
            <w:shd w:val="clear" w:color="auto" w:fill="auto"/>
            <w:noWrap/>
            <w:vAlign w:val="center"/>
          </w:tcPr>
          <w:p w14:paraId="6A276B9D">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bidi="ar-SA"/>
              </w:rPr>
            </w:pPr>
          </w:p>
        </w:tc>
      </w:tr>
      <w:tr w14:paraId="0E82F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6" w:hRule="atLeast"/>
        </w:trPr>
        <w:tc>
          <w:tcPr>
            <w:tcW w:w="831" w:type="dxa"/>
            <w:noWrap w:val="0"/>
            <w:vAlign w:val="center"/>
          </w:tcPr>
          <w:p w14:paraId="2C9273F7">
            <w:pPr>
              <w:widowControl/>
              <w:jc w:val="center"/>
              <w:rPr>
                <w:rFonts w:hint="eastAsia" w:ascii="宋体" w:hAnsi="宋体" w:eastAsia="宋体" w:cs="宋体"/>
                <w:bCs/>
                <w:color w:val="auto"/>
                <w:kern w:val="0"/>
                <w:sz w:val="24"/>
                <w:szCs w:val="24"/>
                <w:lang w:val="en-US" w:eastAsia="zh-CN"/>
              </w:rPr>
            </w:pPr>
            <w:r>
              <w:rPr>
                <w:rFonts w:hint="eastAsia" w:ascii="宋体" w:hAnsi="宋体" w:eastAsia="宋体" w:cs="宋体"/>
                <w:bCs/>
                <w:color w:val="auto"/>
                <w:kern w:val="0"/>
                <w:sz w:val="24"/>
                <w:szCs w:val="24"/>
                <w:lang w:val="en-US" w:eastAsia="zh-CN"/>
              </w:rPr>
              <w:t>防排烟系统</w:t>
            </w:r>
          </w:p>
        </w:tc>
        <w:tc>
          <w:tcPr>
            <w:tcW w:w="4396" w:type="dxa"/>
            <w:shd w:val="clear" w:color="auto" w:fill="auto"/>
            <w:noWrap w:val="0"/>
            <w:vAlign w:val="center"/>
          </w:tcPr>
          <w:p w14:paraId="454C9DE4">
            <w:pPr>
              <w:widowControl/>
              <w:numPr>
                <w:ilvl w:val="0"/>
                <w:numId w:val="15"/>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检查送风、排烟机房工作环境以及送风机、排烟机、电源 控制柜、送风口、排烟口、防火阀等是否处于正常完好状态。</w:t>
            </w:r>
          </w:p>
          <w:p w14:paraId="4844AFCD">
            <w:pPr>
              <w:widowControl/>
              <w:numPr>
                <w:ilvl w:val="0"/>
                <w:numId w:val="15"/>
              </w:numPr>
              <w:jc w:val="left"/>
              <w:rPr>
                <w:rFonts w:hint="eastAsia" w:ascii="宋体" w:hAnsi="宋体" w:eastAsia="宋体" w:cs="宋体"/>
                <w:color w:val="auto"/>
                <w:kern w:val="0"/>
                <w:sz w:val="24"/>
                <w:szCs w:val="24"/>
                <w:lang w:val="en-US"/>
              </w:rPr>
            </w:pPr>
            <w:r>
              <w:rPr>
                <w:rFonts w:hint="eastAsia" w:ascii="宋体" w:hAnsi="宋体" w:eastAsia="宋体" w:cs="宋体"/>
                <w:b w:val="0"/>
                <w:bCs w:val="0"/>
                <w:i w:val="0"/>
                <w:iCs w:val="0"/>
                <w:caps w:val="0"/>
                <w:color w:val="auto"/>
                <w:spacing w:val="0"/>
                <w:kern w:val="0"/>
                <w:sz w:val="24"/>
                <w:szCs w:val="24"/>
                <w:lang w:val="en-US" w:eastAsia="zh-CN" w:bidi="ar"/>
              </w:rPr>
              <w:t>排烟阀/送风阀远程开启及手动复位功能。</w:t>
            </w:r>
          </w:p>
          <w:p w14:paraId="2073FAF1">
            <w:pPr>
              <w:widowControl/>
              <w:numPr>
                <w:ilvl w:val="0"/>
                <w:numId w:val="15"/>
              </w:numPr>
              <w:jc w:val="left"/>
              <w:rPr>
                <w:rFonts w:hint="eastAsia" w:ascii="宋体" w:hAnsi="宋体" w:eastAsia="宋体" w:cs="宋体"/>
                <w:color w:val="auto"/>
                <w:kern w:val="0"/>
                <w:sz w:val="24"/>
                <w:szCs w:val="24"/>
                <w:lang w:val="en-US"/>
              </w:rPr>
            </w:pPr>
            <w:r>
              <w:rPr>
                <w:rFonts w:hint="eastAsia" w:ascii="宋体" w:hAnsi="宋体" w:eastAsia="宋体" w:cs="宋体"/>
                <w:b w:val="0"/>
                <w:bCs w:val="0"/>
                <w:i w:val="0"/>
                <w:iCs w:val="0"/>
                <w:caps w:val="0"/>
                <w:color w:val="auto"/>
                <w:spacing w:val="0"/>
                <w:kern w:val="0"/>
                <w:sz w:val="24"/>
                <w:szCs w:val="24"/>
                <w:lang w:val="en-US" w:eastAsia="zh-CN" w:bidi="ar"/>
              </w:rPr>
              <w:t>排烟风机手动/自动启动及运行电流/转速检测。</w:t>
            </w:r>
          </w:p>
          <w:p w14:paraId="2B05E8F3">
            <w:pPr>
              <w:widowControl/>
              <w:numPr>
                <w:ilvl w:val="0"/>
                <w:numId w:val="15"/>
              </w:numPr>
              <w:jc w:val="left"/>
              <w:rPr>
                <w:rFonts w:hint="eastAsia" w:ascii="宋体" w:hAnsi="宋体" w:eastAsia="宋体" w:cs="宋体"/>
                <w:color w:val="auto"/>
                <w:kern w:val="0"/>
                <w:sz w:val="24"/>
                <w:szCs w:val="24"/>
                <w:lang w:val="en-US"/>
              </w:rPr>
            </w:pPr>
            <w:r>
              <w:rPr>
                <w:rFonts w:hint="eastAsia" w:ascii="宋体" w:hAnsi="宋体" w:eastAsia="宋体" w:cs="宋体"/>
                <w:b w:val="0"/>
                <w:bCs w:val="0"/>
                <w:i w:val="0"/>
                <w:iCs w:val="0"/>
                <w:caps w:val="0"/>
                <w:color w:val="auto"/>
                <w:spacing w:val="0"/>
                <w:kern w:val="0"/>
                <w:sz w:val="24"/>
                <w:szCs w:val="24"/>
                <w:lang w:val="en-US" w:eastAsia="zh-CN" w:bidi="ar"/>
              </w:rPr>
              <w:t>送风机联动启动及风管风阀同步性。</w:t>
            </w:r>
          </w:p>
          <w:p w14:paraId="4C7E490F">
            <w:pPr>
              <w:widowControl/>
              <w:numPr>
                <w:ilvl w:val="0"/>
                <w:numId w:val="15"/>
              </w:numPr>
              <w:jc w:val="left"/>
              <w:rPr>
                <w:rFonts w:hint="eastAsia" w:ascii="宋体" w:hAnsi="宋体" w:eastAsia="宋体" w:cs="宋体"/>
                <w:color w:val="auto"/>
                <w:kern w:val="0"/>
                <w:sz w:val="24"/>
                <w:szCs w:val="24"/>
                <w:lang w:val="en-US"/>
              </w:rPr>
            </w:pPr>
            <w:r>
              <w:rPr>
                <w:rFonts w:hint="eastAsia" w:ascii="宋体" w:hAnsi="宋体" w:eastAsia="宋体" w:cs="宋体"/>
                <w:b w:val="0"/>
                <w:bCs w:val="0"/>
                <w:i w:val="0"/>
                <w:iCs w:val="0"/>
                <w:caps w:val="0"/>
                <w:color w:val="auto"/>
                <w:spacing w:val="0"/>
                <w:kern w:val="0"/>
                <w:sz w:val="24"/>
                <w:szCs w:val="24"/>
                <w:lang w:val="en-US" w:eastAsia="zh-CN" w:bidi="ar"/>
              </w:rPr>
              <w:t>风机风口风速及风量测试（风量罩）。</w:t>
            </w:r>
          </w:p>
          <w:p w14:paraId="66C32EFF">
            <w:pPr>
              <w:widowControl/>
              <w:numPr>
                <w:ilvl w:val="0"/>
                <w:numId w:val="15"/>
              </w:numPr>
              <w:jc w:val="left"/>
              <w:rPr>
                <w:rFonts w:hint="eastAsia" w:ascii="宋体" w:hAnsi="宋体" w:eastAsia="宋体" w:cs="宋体"/>
                <w:color w:val="auto"/>
                <w:kern w:val="0"/>
                <w:sz w:val="24"/>
                <w:szCs w:val="24"/>
                <w:lang w:val="en-US"/>
              </w:rPr>
            </w:pPr>
            <w:r>
              <w:rPr>
                <w:rFonts w:hint="eastAsia" w:ascii="宋体" w:hAnsi="宋体" w:eastAsia="宋体" w:cs="宋体"/>
                <w:b w:val="0"/>
                <w:bCs w:val="0"/>
                <w:i w:val="0"/>
                <w:iCs w:val="0"/>
                <w:caps w:val="0"/>
                <w:color w:val="auto"/>
                <w:spacing w:val="0"/>
                <w:kern w:val="0"/>
                <w:sz w:val="24"/>
                <w:szCs w:val="24"/>
                <w:lang w:val="en-US" w:eastAsia="zh-CN" w:bidi="ar"/>
              </w:rPr>
              <w:t>排烟口/送风口实际开启数量及位置对应。</w:t>
            </w:r>
          </w:p>
          <w:p w14:paraId="1764F622">
            <w:pPr>
              <w:widowControl/>
              <w:numPr>
                <w:ilvl w:val="0"/>
                <w:numId w:val="15"/>
              </w:numPr>
              <w:jc w:val="left"/>
              <w:rPr>
                <w:rFonts w:hint="eastAsia" w:ascii="宋体" w:hAnsi="宋体" w:eastAsia="宋体" w:cs="宋体"/>
                <w:color w:val="auto"/>
                <w:kern w:val="0"/>
                <w:sz w:val="24"/>
                <w:szCs w:val="24"/>
                <w:lang w:val="en-US"/>
              </w:rPr>
            </w:pPr>
            <w:r>
              <w:rPr>
                <w:rFonts w:hint="eastAsia" w:ascii="宋体" w:hAnsi="宋体" w:eastAsia="宋体" w:cs="宋体"/>
                <w:b w:val="0"/>
                <w:bCs w:val="0"/>
                <w:i w:val="0"/>
                <w:iCs w:val="0"/>
                <w:caps w:val="0"/>
                <w:color w:val="auto"/>
                <w:spacing w:val="0"/>
                <w:kern w:val="0"/>
                <w:sz w:val="24"/>
                <w:szCs w:val="24"/>
                <w:lang w:val="en-US" w:eastAsia="zh-CN" w:bidi="ar"/>
              </w:rPr>
              <w:t>防火阀70℃/280℃熔断关闭测试（模拟）。</w:t>
            </w:r>
          </w:p>
          <w:p w14:paraId="68FC060D">
            <w:pPr>
              <w:widowControl/>
              <w:numPr>
                <w:ilvl w:val="0"/>
                <w:numId w:val="15"/>
              </w:numPr>
              <w:jc w:val="left"/>
              <w:rPr>
                <w:rFonts w:hint="eastAsia" w:ascii="宋体" w:hAnsi="宋体" w:eastAsia="宋体" w:cs="宋体"/>
                <w:color w:val="auto"/>
                <w:kern w:val="0"/>
                <w:sz w:val="24"/>
                <w:szCs w:val="24"/>
                <w:lang w:val="en-US"/>
              </w:rPr>
            </w:pPr>
            <w:r>
              <w:rPr>
                <w:rFonts w:hint="eastAsia" w:ascii="宋体" w:hAnsi="宋体" w:eastAsia="宋体" w:cs="宋体"/>
                <w:b w:val="0"/>
                <w:bCs w:val="0"/>
                <w:i w:val="0"/>
                <w:iCs w:val="0"/>
                <w:caps w:val="0"/>
                <w:color w:val="auto"/>
                <w:spacing w:val="0"/>
                <w:kern w:val="0"/>
                <w:sz w:val="24"/>
                <w:szCs w:val="24"/>
                <w:lang w:val="en-US" w:eastAsia="zh-CN" w:bidi="ar"/>
              </w:rPr>
              <w:t>风机控制柜手自动切换、信号反馈至主机。</w:t>
            </w:r>
          </w:p>
          <w:p w14:paraId="4865DB8C">
            <w:pPr>
              <w:widowControl/>
              <w:numPr>
                <w:ilvl w:val="0"/>
                <w:numId w:val="15"/>
              </w:numPr>
              <w:jc w:val="left"/>
              <w:rPr>
                <w:rFonts w:hint="eastAsia" w:ascii="宋体" w:hAnsi="宋体" w:eastAsia="宋体" w:cs="宋体"/>
                <w:color w:val="auto"/>
                <w:kern w:val="0"/>
                <w:sz w:val="24"/>
                <w:szCs w:val="24"/>
                <w:lang w:val="en-US"/>
              </w:rPr>
            </w:pPr>
            <w:r>
              <w:rPr>
                <w:rFonts w:hint="eastAsia" w:ascii="宋体" w:hAnsi="宋体" w:eastAsia="宋体" w:cs="宋体"/>
                <w:b w:val="0"/>
                <w:bCs w:val="0"/>
                <w:i w:val="0"/>
                <w:iCs w:val="0"/>
                <w:caps w:val="0"/>
                <w:color w:val="auto"/>
                <w:spacing w:val="0"/>
                <w:kern w:val="0"/>
                <w:sz w:val="24"/>
                <w:szCs w:val="24"/>
                <w:lang w:val="en-US" w:eastAsia="zh-CN" w:bidi="ar"/>
              </w:rPr>
              <w:t>风机运行噪声及振动异常检查。</w:t>
            </w:r>
          </w:p>
        </w:tc>
        <w:tc>
          <w:tcPr>
            <w:tcW w:w="1105" w:type="dxa"/>
            <w:shd w:val="clear" w:color="auto" w:fill="auto"/>
            <w:noWrap/>
            <w:vAlign w:val="center"/>
          </w:tcPr>
          <w:p w14:paraId="403EA3F8">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859" w:type="dxa"/>
            <w:shd w:val="clear" w:color="auto" w:fill="auto"/>
            <w:noWrap/>
            <w:vAlign w:val="center"/>
          </w:tcPr>
          <w:p w14:paraId="3F301DDD">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12</w:t>
            </w:r>
          </w:p>
        </w:tc>
        <w:tc>
          <w:tcPr>
            <w:tcW w:w="1244" w:type="dxa"/>
            <w:shd w:val="clear" w:color="auto" w:fill="auto"/>
            <w:noWrap/>
            <w:vAlign w:val="center"/>
          </w:tcPr>
          <w:p w14:paraId="3B8D99B6">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bidi="ar-SA"/>
              </w:rPr>
            </w:pPr>
          </w:p>
        </w:tc>
      </w:tr>
      <w:tr w14:paraId="10C7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5" w:hRule="atLeast"/>
        </w:trPr>
        <w:tc>
          <w:tcPr>
            <w:tcW w:w="831" w:type="dxa"/>
            <w:noWrap w:val="0"/>
            <w:vAlign w:val="center"/>
          </w:tcPr>
          <w:p w14:paraId="5EE9329A">
            <w:pPr>
              <w:widowControl/>
              <w:jc w:val="center"/>
              <w:rPr>
                <w:rFonts w:hint="eastAsia" w:ascii="宋体" w:hAnsi="宋体" w:eastAsia="宋体" w:cs="宋体"/>
                <w:color w:val="auto"/>
                <w:kern w:val="0"/>
                <w:sz w:val="24"/>
                <w:szCs w:val="24"/>
              </w:rPr>
            </w:pPr>
            <w:r>
              <w:rPr>
                <w:rFonts w:hint="eastAsia" w:ascii="宋体" w:hAnsi="宋体" w:eastAsia="宋体" w:cs="宋体"/>
                <w:bCs/>
                <w:color w:val="auto"/>
                <w:kern w:val="0"/>
                <w:sz w:val="24"/>
                <w:szCs w:val="24"/>
                <w:lang w:val="en-US" w:eastAsia="zh-CN"/>
              </w:rPr>
              <w:t>应急照明和</w:t>
            </w:r>
            <w:r>
              <w:rPr>
                <w:rFonts w:hint="eastAsia" w:ascii="宋体" w:hAnsi="宋体" w:eastAsia="宋体" w:cs="宋体"/>
                <w:bCs/>
                <w:color w:val="auto"/>
                <w:kern w:val="0"/>
                <w:sz w:val="24"/>
                <w:szCs w:val="24"/>
              </w:rPr>
              <w:t>疏散</w:t>
            </w:r>
            <w:r>
              <w:rPr>
                <w:rFonts w:hint="eastAsia" w:ascii="宋体" w:hAnsi="宋体" w:eastAsia="宋体" w:cs="宋体"/>
                <w:bCs/>
                <w:color w:val="auto"/>
                <w:kern w:val="0"/>
                <w:sz w:val="24"/>
                <w:szCs w:val="24"/>
                <w:lang w:val="en-US" w:eastAsia="zh-CN"/>
              </w:rPr>
              <w:t>指示</w:t>
            </w:r>
            <w:r>
              <w:rPr>
                <w:rFonts w:hint="eastAsia" w:ascii="宋体" w:hAnsi="宋体" w:eastAsia="宋体" w:cs="宋体"/>
                <w:bCs/>
                <w:color w:val="auto"/>
                <w:kern w:val="0"/>
                <w:sz w:val="24"/>
                <w:szCs w:val="24"/>
              </w:rPr>
              <w:t>系统</w:t>
            </w:r>
          </w:p>
        </w:tc>
        <w:tc>
          <w:tcPr>
            <w:tcW w:w="4396" w:type="dxa"/>
            <w:shd w:val="clear" w:color="auto" w:fill="auto"/>
            <w:noWrap w:val="0"/>
            <w:vAlign w:val="center"/>
          </w:tcPr>
          <w:p w14:paraId="079B1289">
            <w:pPr>
              <w:widowControl/>
              <w:numPr>
                <w:ilvl w:val="0"/>
                <w:numId w:val="16"/>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检查安全出口、疏散通道、重要场所的应急照明和疏散指示标志是否处于正常完好状态。</w:t>
            </w:r>
          </w:p>
          <w:p w14:paraId="217D6E03">
            <w:pPr>
              <w:widowControl/>
              <w:numPr>
                <w:ilvl w:val="0"/>
                <w:numId w:val="16"/>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应急灯主电切断后5秒内自动点亮测试。</w:t>
            </w:r>
          </w:p>
          <w:p w14:paraId="3D2E4523">
            <w:pPr>
              <w:widowControl/>
              <w:numPr>
                <w:ilvl w:val="0"/>
                <w:numId w:val="16"/>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试验应急照明和疏散指示灯的工作照度和疏散照度。</w:t>
            </w:r>
          </w:p>
          <w:p w14:paraId="7FC2CFBB">
            <w:pPr>
              <w:widowControl/>
              <w:numPr>
                <w:ilvl w:val="0"/>
                <w:numId w:val="16"/>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疏散指示标志方向正确性及亮度检查。</w:t>
            </w:r>
          </w:p>
          <w:p w14:paraId="6EEBE5A6">
            <w:pPr>
              <w:widowControl/>
              <w:numPr>
                <w:ilvl w:val="0"/>
                <w:numId w:val="16"/>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集中电源型应急灯备用电源放电时间≥90分钟。</w:t>
            </w:r>
          </w:p>
          <w:p w14:paraId="51DDC2B0">
            <w:pPr>
              <w:widowControl/>
              <w:numPr>
                <w:ilvl w:val="0"/>
                <w:numId w:val="16"/>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应急灯外观、固定牢固度及防护罩完好性。</w:t>
            </w:r>
          </w:p>
          <w:p w14:paraId="2300063C">
            <w:pPr>
              <w:widowControl/>
              <w:numPr>
                <w:ilvl w:val="0"/>
                <w:numId w:val="16"/>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疏散指示灯玻璃面板无破损、标识清晰。7. 持续型/非持续型应急灯工作模式切换。8. 每季度一次全面放电测试。</w:t>
            </w:r>
          </w:p>
          <w:p w14:paraId="46B6EDA5">
            <w:pPr>
              <w:widowControl/>
              <w:numPr>
                <w:ilvl w:val="0"/>
                <w:numId w:val="16"/>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定期检查应急照明控制器、应急照明配电箱、应急照明分配电装置的指示灯及控制按钮等的外观状态指示、标识及各接线端子。</w:t>
            </w:r>
          </w:p>
        </w:tc>
        <w:tc>
          <w:tcPr>
            <w:tcW w:w="1105" w:type="dxa"/>
            <w:shd w:val="clear" w:color="auto" w:fill="auto"/>
            <w:noWrap/>
            <w:vAlign w:val="center"/>
          </w:tcPr>
          <w:p w14:paraId="29D24814">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c>
          <w:tcPr>
            <w:tcW w:w="859" w:type="dxa"/>
            <w:shd w:val="clear" w:color="auto" w:fill="auto"/>
            <w:noWrap/>
            <w:vAlign w:val="center"/>
          </w:tcPr>
          <w:p w14:paraId="26CEDDD1">
            <w:pPr>
              <w:widowControl/>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12</w:t>
            </w:r>
          </w:p>
        </w:tc>
        <w:tc>
          <w:tcPr>
            <w:tcW w:w="1244" w:type="dxa"/>
            <w:shd w:val="clear" w:color="auto" w:fill="auto"/>
            <w:noWrap/>
            <w:vAlign w:val="center"/>
          </w:tcPr>
          <w:p w14:paraId="77AB6579">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bidi="ar-SA"/>
              </w:rPr>
            </w:pPr>
          </w:p>
        </w:tc>
      </w:tr>
      <w:tr w14:paraId="46B86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6" w:hRule="exact"/>
        </w:trPr>
        <w:tc>
          <w:tcPr>
            <w:tcW w:w="831" w:type="dxa"/>
            <w:noWrap w:val="0"/>
            <w:vAlign w:val="center"/>
          </w:tcPr>
          <w:p w14:paraId="67B672D2">
            <w:pPr>
              <w:widowControl/>
              <w:jc w:val="center"/>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灭火器</w:t>
            </w:r>
          </w:p>
        </w:tc>
        <w:tc>
          <w:tcPr>
            <w:tcW w:w="4396" w:type="dxa"/>
            <w:noWrap w:val="0"/>
            <w:vAlign w:val="center"/>
          </w:tcPr>
          <w:p w14:paraId="78A3A7C8">
            <w:pPr>
              <w:widowControl/>
              <w:numPr>
                <w:ilvl w:val="0"/>
                <w:numId w:val="17"/>
              </w:numPr>
              <w:jc w:val="left"/>
              <w:rPr>
                <w:rFonts w:hint="eastAsia" w:ascii="宋体" w:hAnsi="宋体" w:eastAsia="宋体" w:cs="宋体"/>
                <w:b w:val="0"/>
                <w:bCs w:val="0"/>
                <w:i w:val="0"/>
                <w:iCs w:val="0"/>
                <w:caps w:val="0"/>
                <w:color w:val="auto"/>
                <w:spacing w:val="0"/>
                <w:kern w:val="0"/>
                <w:sz w:val="24"/>
                <w:szCs w:val="24"/>
                <w:lang w:val="en-US" w:eastAsia="zh-CN" w:bidi="ar"/>
              </w:rPr>
            </w:pPr>
            <w:r>
              <w:rPr>
                <w:rFonts w:hint="eastAsia" w:ascii="宋体" w:hAnsi="宋体" w:eastAsia="宋体" w:cs="宋体"/>
                <w:b w:val="0"/>
                <w:bCs w:val="0"/>
                <w:i w:val="0"/>
                <w:iCs w:val="0"/>
                <w:caps w:val="0"/>
                <w:color w:val="auto"/>
                <w:spacing w:val="0"/>
                <w:kern w:val="0"/>
                <w:sz w:val="24"/>
                <w:szCs w:val="24"/>
                <w:lang w:val="en-US" w:eastAsia="zh-CN" w:bidi="ar"/>
              </w:rPr>
              <w:t>压力表指针是否在绿区（绿/红/黄判定）。</w:t>
            </w:r>
          </w:p>
          <w:p w14:paraId="0511E035">
            <w:pPr>
              <w:widowControl/>
              <w:numPr>
                <w:ilvl w:val="0"/>
                <w:numId w:val="17"/>
              </w:numPr>
              <w:jc w:val="left"/>
              <w:rPr>
                <w:rFonts w:hint="eastAsia" w:ascii="宋体" w:hAnsi="宋体" w:eastAsia="宋体" w:cs="宋体"/>
                <w:color w:val="auto"/>
                <w:kern w:val="0"/>
                <w:sz w:val="24"/>
                <w:szCs w:val="24"/>
                <w:lang w:val="en-US" w:eastAsia="zh-CN"/>
              </w:rPr>
            </w:pPr>
            <w:r>
              <w:rPr>
                <w:rFonts w:hint="eastAsia" w:ascii="宋体" w:hAnsi="宋体" w:eastAsia="宋体" w:cs="宋体"/>
                <w:b w:val="0"/>
                <w:bCs w:val="0"/>
                <w:i w:val="0"/>
                <w:iCs w:val="0"/>
                <w:caps w:val="0"/>
                <w:color w:val="auto"/>
                <w:spacing w:val="0"/>
                <w:kern w:val="0"/>
                <w:sz w:val="24"/>
                <w:szCs w:val="24"/>
                <w:lang w:val="en-US" w:eastAsia="zh-CN" w:bidi="ar"/>
              </w:rPr>
              <w:t>瓶体无严重锈蚀、变形或机械损伤。</w:t>
            </w:r>
          </w:p>
          <w:p w14:paraId="59E6DF04">
            <w:pPr>
              <w:widowControl/>
              <w:numPr>
                <w:ilvl w:val="0"/>
                <w:numId w:val="17"/>
              </w:numPr>
              <w:jc w:val="left"/>
              <w:rPr>
                <w:rFonts w:hint="eastAsia" w:ascii="宋体" w:hAnsi="宋体" w:eastAsia="宋体" w:cs="宋体"/>
                <w:color w:val="auto"/>
                <w:kern w:val="0"/>
                <w:sz w:val="24"/>
                <w:szCs w:val="24"/>
                <w:lang w:val="en-US" w:eastAsia="zh-CN"/>
              </w:rPr>
            </w:pPr>
            <w:r>
              <w:rPr>
                <w:rFonts w:hint="eastAsia" w:ascii="宋体" w:hAnsi="宋体" w:eastAsia="宋体" w:cs="宋体"/>
                <w:b w:val="0"/>
                <w:bCs w:val="0"/>
                <w:i w:val="0"/>
                <w:iCs w:val="0"/>
                <w:caps w:val="0"/>
                <w:color w:val="auto"/>
                <w:spacing w:val="0"/>
                <w:kern w:val="0"/>
                <w:sz w:val="24"/>
                <w:szCs w:val="24"/>
                <w:lang w:val="en-US" w:eastAsia="zh-CN" w:bidi="ar"/>
              </w:rPr>
              <w:t>保险销及铅封完好未松动。</w:t>
            </w:r>
          </w:p>
          <w:p w14:paraId="59297AF6">
            <w:pPr>
              <w:widowControl/>
              <w:numPr>
                <w:ilvl w:val="0"/>
                <w:numId w:val="17"/>
              </w:numPr>
              <w:jc w:val="left"/>
              <w:rPr>
                <w:rFonts w:hint="eastAsia" w:ascii="宋体" w:hAnsi="宋体" w:eastAsia="宋体" w:cs="宋体"/>
                <w:color w:val="auto"/>
                <w:kern w:val="0"/>
                <w:sz w:val="24"/>
                <w:szCs w:val="24"/>
                <w:lang w:val="en-US" w:eastAsia="zh-CN"/>
              </w:rPr>
            </w:pPr>
            <w:r>
              <w:rPr>
                <w:rFonts w:hint="eastAsia" w:ascii="宋体" w:hAnsi="宋体" w:eastAsia="宋体" w:cs="宋体"/>
                <w:b w:val="0"/>
                <w:bCs w:val="0"/>
                <w:i w:val="0"/>
                <w:iCs w:val="0"/>
                <w:caps w:val="0"/>
                <w:color w:val="auto"/>
                <w:spacing w:val="0"/>
                <w:kern w:val="0"/>
                <w:sz w:val="24"/>
                <w:szCs w:val="24"/>
                <w:lang w:val="en-US" w:eastAsia="zh-CN" w:bidi="ar"/>
              </w:rPr>
              <w:t>干粉/二氧化碳/水基灭火器有效期及维修日期。</w:t>
            </w:r>
          </w:p>
          <w:p w14:paraId="4147D8BD">
            <w:pPr>
              <w:widowControl/>
              <w:numPr>
                <w:ilvl w:val="0"/>
                <w:numId w:val="17"/>
              </w:numPr>
              <w:jc w:val="left"/>
              <w:rPr>
                <w:rFonts w:hint="eastAsia" w:ascii="宋体" w:hAnsi="宋体" w:eastAsia="宋体" w:cs="宋体"/>
                <w:color w:val="auto"/>
                <w:kern w:val="0"/>
                <w:sz w:val="24"/>
                <w:szCs w:val="24"/>
                <w:lang w:val="en-US" w:eastAsia="zh-CN"/>
              </w:rPr>
            </w:pPr>
            <w:r>
              <w:rPr>
                <w:rFonts w:hint="eastAsia" w:ascii="宋体" w:hAnsi="宋体" w:eastAsia="宋体" w:cs="宋体"/>
                <w:b w:val="0"/>
                <w:bCs w:val="0"/>
                <w:i w:val="0"/>
                <w:iCs w:val="0"/>
                <w:caps w:val="0"/>
                <w:color w:val="auto"/>
                <w:spacing w:val="0"/>
                <w:kern w:val="0"/>
                <w:sz w:val="24"/>
                <w:szCs w:val="24"/>
                <w:lang w:val="en-US" w:eastAsia="zh-CN" w:bidi="ar"/>
              </w:rPr>
              <w:t>喷射软管无老化、喷嘴无堵塞。</w:t>
            </w:r>
          </w:p>
          <w:p w14:paraId="44028048">
            <w:pPr>
              <w:widowControl/>
              <w:numPr>
                <w:ilvl w:val="0"/>
                <w:numId w:val="17"/>
              </w:numPr>
              <w:jc w:val="left"/>
              <w:rPr>
                <w:rFonts w:hint="eastAsia" w:ascii="宋体" w:hAnsi="宋体" w:eastAsia="宋体" w:cs="宋体"/>
                <w:color w:val="auto"/>
                <w:kern w:val="0"/>
                <w:sz w:val="24"/>
                <w:szCs w:val="24"/>
                <w:lang w:val="en-US" w:eastAsia="zh-CN"/>
              </w:rPr>
            </w:pPr>
            <w:r>
              <w:rPr>
                <w:rFonts w:hint="eastAsia" w:ascii="宋体" w:hAnsi="宋体" w:eastAsia="宋体" w:cs="宋体"/>
                <w:b w:val="0"/>
                <w:bCs w:val="0"/>
                <w:i w:val="0"/>
                <w:iCs w:val="0"/>
                <w:caps w:val="0"/>
                <w:color w:val="auto"/>
                <w:spacing w:val="0"/>
                <w:kern w:val="0"/>
                <w:sz w:val="24"/>
                <w:szCs w:val="24"/>
                <w:lang w:val="en-US" w:eastAsia="zh-CN" w:bidi="ar"/>
              </w:rPr>
              <w:t>摆放位置符合设计图且不被遮挡。</w:t>
            </w:r>
          </w:p>
          <w:p w14:paraId="21DF8656">
            <w:pPr>
              <w:widowControl/>
              <w:numPr>
                <w:ilvl w:val="0"/>
                <w:numId w:val="17"/>
              </w:numPr>
              <w:jc w:val="left"/>
              <w:rPr>
                <w:rFonts w:hint="eastAsia" w:ascii="宋体" w:hAnsi="宋体" w:eastAsia="宋体" w:cs="宋体"/>
                <w:color w:val="auto"/>
                <w:kern w:val="0"/>
                <w:sz w:val="24"/>
                <w:szCs w:val="24"/>
                <w:lang w:val="en-US" w:eastAsia="zh-CN"/>
              </w:rPr>
            </w:pPr>
            <w:r>
              <w:rPr>
                <w:rFonts w:hint="eastAsia" w:ascii="宋体" w:hAnsi="宋体" w:eastAsia="宋体" w:cs="宋体"/>
                <w:b w:val="0"/>
                <w:bCs w:val="0"/>
                <w:i w:val="0"/>
                <w:iCs w:val="0"/>
                <w:caps w:val="0"/>
                <w:color w:val="auto"/>
                <w:spacing w:val="0"/>
                <w:kern w:val="0"/>
                <w:sz w:val="24"/>
                <w:szCs w:val="24"/>
                <w:lang w:val="en-US" w:eastAsia="zh-CN" w:bidi="ar"/>
              </w:rPr>
              <w:t>日常管理卡（检查日期、责任人、签字）。</w:t>
            </w:r>
          </w:p>
          <w:p w14:paraId="4F76E30C">
            <w:pPr>
              <w:widowControl/>
              <w:numPr>
                <w:ilvl w:val="0"/>
                <w:numId w:val="17"/>
              </w:numPr>
              <w:jc w:val="left"/>
              <w:rPr>
                <w:rFonts w:hint="eastAsia" w:ascii="宋体" w:hAnsi="宋体" w:eastAsia="宋体" w:cs="宋体"/>
                <w:color w:val="auto"/>
                <w:kern w:val="0"/>
                <w:sz w:val="24"/>
                <w:szCs w:val="24"/>
                <w:lang w:val="en-US" w:eastAsia="zh-CN"/>
              </w:rPr>
            </w:pPr>
            <w:r>
              <w:rPr>
                <w:rFonts w:hint="eastAsia" w:ascii="宋体" w:hAnsi="宋体" w:eastAsia="宋体" w:cs="宋体"/>
                <w:b w:val="0"/>
                <w:bCs w:val="0"/>
                <w:i w:val="0"/>
                <w:iCs w:val="0"/>
                <w:caps w:val="0"/>
                <w:color w:val="auto"/>
                <w:spacing w:val="0"/>
                <w:kern w:val="0"/>
                <w:sz w:val="24"/>
                <w:szCs w:val="24"/>
                <w:lang w:val="en-US" w:eastAsia="zh-CN" w:bidi="ar"/>
              </w:rPr>
              <w:t>推车式灭火器车轮及喷管固定性。</w:t>
            </w:r>
          </w:p>
        </w:tc>
        <w:tc>
          <w:tcPr>
            <w:tcW w:w="1105" w:type="dxa"/>
            <w:noWrap/>
            <w:vAlign w:val="center"/>
          </w:tcPr>
          <w:p w14:paraId="0C762912">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c>
          <w:tcPr>
            <w:tcW w:w="859" w:type="dxa"/>
            <w:noWrap/>
            <w:vAlign w:val="center"/>
          </w:tcPr>
          <w:p w14:paraId="6A0D21D7">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12</w:t>
            </w:r>
          </w:p>
        </w:tc>
        <w:tc>
          <w:tcPr>
            <w:tcW w:w="1244" w:type="dxa"/>
            <w:noWrap/>
            <w:vAlign w:val="center"/>
          </w:tcPr>
          <w:p w14:paraId="2223D6FE">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r>
      <w:tr w14:paraId="0AC24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8" w:hRule="exact"/>
        </w:trPr>
        <w:tc>
          <w:tcPr>
            <w:tcW w:w="831" w:type="dxa"/>
            <w:noWrap w:val="0"/>
            <w:vAlign w:val="center"/>
          </w:tcPr>
          <w:p w14:paraId="5A226403">
            <w:pPr>
              <w:widowControl/>
              <w:jc w:val="center"/>
              <w:rPr>
                <w:rFonts w:hint="default" w:ascii="宋体" w:hAnsi="宋体" w:eastAsia="宋体" w:cs="宋体"/>
                <w:bCs/>
                <w:color w:val="auto"/>
                <w:kern w:val="0"/>
                <w:sz w:val="24"/>
                <w:szCs w:val="24"/>
                <w:lang w:val="en-US" w:eastAsia="zh-CN"/>
              </w:rPr>
            </w:pPr>
            <w:r>
              <w:rPr>
                <w:rFonts w:hint="eastAsia" w:ascii="宋体" w:hAnsi="宋体" w:eastAsia="宋体" w:cs="宋体"/>
                <w:bCs/>
                <w:color w:val="auto"/>
                <w:kern w:val="0"/>
                <w:sz w:val="24"/>
                <w:szCs w:val="24"/>
                <w:lang w:val="en-US" w:eastAsia="zh-CN"/>
              </w:rPr>
              <w:t>零星维修</w:t>
            </w:r>
          </w:p>
        </w:tc>
        <w:tc>
          <w:tcPr>
            <w:tcW w:w="4396" w:type="dxa"/>
            <w:noWrap w:val="0"/>
            <w:vAlign w:val="center"/>
          </w:tcPr>
          <w:p w14:paraId="49E408AC">
            <w:pPr>
              <w:widowControl/>
              <w:numPr>
                <w:ilvl w:val="0"/>
                <w:numId w:val="0"/>
              </w:numPr>
              <w:jc w:val="left"/>
              <w:rPr>
                <w:rFonts w:hint="eastAsia"/>
                <w:color w:val="auto"/>
              </w:rPr>
            </w:pPr>
            <w:r>
              <w:rPr>
                <w:rFonts w:hint="eastAsia"/>
                <w:color w:val="auto"/>
              </w:rPr>
              <w:t>1. 火灾自动报警系统</w:t>
            </w:r>
          </w:p>
          <w:p w14:paraId="23F61E99">
            <w:pPr>
              <w:widowControl/>
              <w:numPr>
                <w:ilvl w:val="0"/>
                <w:numId w:val="0"/>
              </w:numPr>
              <w:jc w:val="left"/>
              <w:rPr>
                <w:rFonts w:hint="eastAsia"/>
                <w:color w:val="auto"/>
              </w:rPr>
            </w:pPr>
            <w:r>
              <w:rPr>
                <w:rFonts w:hint="eastAsia"/>
                <w:color w:val="auto"/>
              </w:rPr>
              <w:t>烟感/温感误报、点位故障、探头脏污清洗、松动底座紧固、损坏探测器单只更换、手报按钮复位/更换、模块松动修复、线路局部断点抢修。</w:t>
            </w:r>
          </w:p>
          <w:p w14:paraId="2298971D">
            <w:pPr>
              <w:widowControl/>
              <w:numPr>
                <w:ilvl w:val="0"/>
                <w:numId w:val="0"/>
              </w:numPr>
              <w:jc w:val="left"/>
              <w:rPr>
                <w:rFonts w:hint="eastAsia"/>
                <w:color w:val="auto"/>
              </w:rPr>
            </w:pPr>
          </w:p>
          <w:p w14:paraId="77B18B17">
            <w:pPr>
              <w:widowControl/>
              <w:numPr>
                <w:ilvl w:val="0"/>
                <w:numId w:val="0"/>
              </w:numPr>
              <w:jc w:val="left"/>
              <w:rPr>
                <w:rFonts w:hint="eastAsia"/>
                <w:color w:val="auto"/>
              </w:rPr>
            </w:pPr>
            <w:r>
              <w:rPr>
                <w:rFonts w:hint="eastAsia"/>
                <w:color w:val="auto"/>
              </w:rPr>
              <w:t>2. 消火栓系统</w:t>
            </w:r>
          </w:p>
          <w:p w14:paraId="1F77EB51">
            <w:pPr>
              <w:widowControl/>
              <w:numPr>
                <w:ilvl w:val="0"/>
                <w:numId w:val="0"/>
              </w:numPr>
              <w:jc w:val="left"/>
              <w:rPr>
                <w:rFonts w:hint="eastAsia"/>
                <w:color w:val="auto"/>
              </w:rPr>
            </w:pPr>
            <w:r>
              <w:rPr>
                <w:rFonts w:hint="eastAsia"/>
                <w:color w:val="auto"/>
              </w:rPr>
              <w:t>消火栓漏水、垫圈老化更换、水带破损小修补、接口密封不严、消火栓箱门合页/锁具损坏、阀门滴水紧固。</w:t>
            </w:r>
          </w:p>
          <w:p w14:paraId="75659A1C">
            <w:pPr>
              <w:widowControl/>
              <w:numPr>
                <w:ilvl w:val="0"/>
                <w:numId w:val="0"/>
              </w:numPr>
              <w:jc w:val="left"/>
              <w:rPr>
                <w:rFonts w:hint="eastAsia"/>
                <w:color w:val="auto"/>
              </w:rPr>
            </w:pPr>
          </w:p>
          <w:p w14:paraId="5DEE92EA">
            <w:pPr>
              <w:widowControl/>
              <w:numPr>
                <w:ilvl w:val="0"/>
                <w:numId w:val="0"/>
              </w:numPr>
              <w:jc w:val="left"/>
              <w:rPr>
                <w:rFonts w:hint="eastAsia"/>
                <w:color w:val="auto"/>
              </w:rPr>
            </w:pPr>
            <w:r>
              <w:rPr>
                <w:rFonts w:hint="eastAsia"/>
                <w:color w:val="auto"/>
              </w:rPr>
              <w:t>3. 自动喷水灭火系统</w:t>
            </w:r>
          </w:p>
          <w:p w14:paraId="1FE03823">
            <w:pPr>
              <w:widowControl/>
              <w:numPr>
                <w:ilvl w:val="0"/>
                <w:numId w:val="0"/>
              </w:numPr>
              <w:jc w:val="left"/>
              <w:rPr>
                <w:rFonts w:hint="eastAsia"/>
                <w:color w:val="auto"/>
              </w:rPr>
            </w:pPr>
            <w:r>
              <w:rPr>
                <w:rFonts w:hint="eastAsia"/>
                <w:color w:val="auto"/>
              </w:rPr>
              <w:t>喷头滴水、松动紧固、小范围漏点补修、末端试水阀门检修、喷头轻微磕碰更换（单只/几只），不含管网大面积改造。</w:t>
            </w:r>
          </w:p>
          <w:p w14:paraId="4038C791">
            <w:pPr>
              <w:widowControl/>
              <w:numPr>
                <w:ilvl w:val="0"/>
                <w:numId w:val="0"/>
              </w:numPr>
              <w:jc w:val="left"/>
              <w:rPr>
                <w:rFonts w:hint="eastAsia"/>
                <w:color w:val="auto"/>
              </w:rPr>
            </w:pPr>
          </w:p>
          <w:p w14:paraId="1426D7CF">
            <w:pPr>
              <w:widowControl/>
              <w:numPr>
                <w:ilvl w:val="0"/>
                <w:numId w:val="0"/>
              </w:numPr>
              <w:jc w:val="left"/>
              <w:rPr>
                <w:rFonts w:hint="eastAsia"/>
                <w:color w:val="auto"/>
              </w:rPr>
            </w:pPr>
            <w:r>
              <w:rPr>
                <w:rFonts w:hint="eastAsia"/>
                <w:color w:val="auto"/>
              </w:rPr>
              <w:t>4. 灭火器</w:t>
            </w:r>
          </w:p>
          <w:p w14:paraId="0BB75A3E">
            <w:pPr>
              <w:widowControl/>
              <w:numPr>
                <w:ilvl w:val="0"/>
                <w:numId w:val="0"/>
              </w:numPr>
              <w:jc w:val="left"/>
              <w:rPr>
                <w:rFonts w:hint="eastAsia"/>
                <w:color w:val="auto"/>
              </w:rPr>
            </w:pPr>
            <w:r>
              <w:rPr>
                <w:rFonts w:hint="eastAsia"/>
                <w:color w:val="auto"/>
              </w:rPr>
              <w:t>压力不足补压、喷管断裂更换、瓶体磕碰检修、过期批量换粉充装（零散几只）、灭火器箱门锁/箱体修复。</w:t>
            </w:r>
          </w:p>
          <w:p w14:paraId="39EF48F5">
            <w:pPr>
              <w:widowControl/>
              <w:numPr>
                <w:ilvl w:val="0"/>
                <w:numId w:val="0"/>
              </w:numPr>
              <w:jc w:val="left"/>
              <w:rPr>
                <w:rFonts w:hint="eastAsia"/>
                <w:color w:val="auto"/>
              </w:rPr>
            </w:pPr>
          </w:p>
          <w:p w14:paraId="5FE8AB4B">
            <w:pPr>
              <w:widowControl/>
              <w:numPr>
                <w:ilvl w:val="0"/>
                <w:numId w:val="0"/>
              </w:numPr>
              <w:jc w:val="left"/>
              <w:rPr>
                <w:rFonts w:hint="eastAsia"/>
                <w:color w:val="auto"/>
              </w:rPr>
            </w:pPr>
            <w:r>
              <w:rPr>
                <w:rFonts w:hint="eastAsia"/>
                <w:color w:val="auto"/>
              </w:rPr>
              <w:t>5. 应急照明&amp;疏散指示</w:t>
            </w:r>
          </w:p>
          <w:p w14:paraId="08C276B2">
            <w:pPr>
              <w:widowControl/>
              <w:numPr>
                <w:ilvl w:val="0"/>
                <w:numId w:val="0"/>
              </w:numPr>
              <w:jc w:val="left"/>
              <w:rPr>
                <w:rFonts w:hint="eastAsia"/>
                <w:color w:val="auto"/>
              </w:rPr>
            </w:pPr>
            <w:r>
              <w:rPr>
                <w:rFonts w:hint="eastAsia"/>
                <w:color w:val="auto"/>
              </w:rPr>
              <w:t>个别灯具不亮、电池亏电更换、指示灯移位小接线、面板损坏更换、断电测试调试。</w:t>
            </w:r>
          </w:p>
          <w:p w14:paraId="6F83E9E7">
            <w:pPr>
              <w:widowControl/>
              <w:numPr>
                <w:ilvl w:val="0"/>
                <w:numId w:val="0"/>
              </w:numPr>
              <w:jc w:val="left"/>
              <w:rPr>
                <w:rFonts w:hint="eastAsia"/>
                <w:color w:val="auto"/>
              </w:rPr>
            </w:pPr>
          </w:p>
          <w:p w14:paraId="53853844">
            <w:pPr>
              <w:widowControl/>
              <w:numPr>
                <w:ilvl w:val="0"/>
                <w:numId w:val="0"/>
              </w:numPr>
              <w:jc w:val="left"/>
              <w:rPr>
                <w:rFonts w:hint="eastAsia"/>
                <w:color w:val="auto"/>
              </w:rPr>
            </w:pPr>
            <w:r>
              <w:rPr>
                <w:rFonts w:hint="eastAsia"/>
                <w:color w:val="auto"/>
              </w:rPr>
              <w:t>6. 防排烟/防火设施</w:t>
            </w:r>
          </w:p>
          <w:p w14:paraId="1931E133">
            <w:pPr>
              <w:widowControl/>
              <w:numPr>
                <w:ilvl w:val="0"/>
                <w:numId w:val="0"/>
              </w:numPr>
              <w:jc w:val="left"/>
              <w:rPr>
                <w:rFonts w:hint="eastAsia"/>
                <w:color w:val="auto"/>
              </w:rPr>
            </w:pPr>
            <w:r>
              <w:rPr>
                <w:rFonts w:hint="eastAsia"/>
                <w:color w:val="auto"/>
              </w:rPr>
              <w:t>防火门合页、闭门器、顺序器维修更换；防火密封条脱落粘贴修补；排烟口执行器小故障调试。</w:t>
            </w:r>
          </w:p>
          <w:p w14:paraId="363DF5BE">
            <w:pPr>
              <w:widowControl/>
              <w:numPr>
                <w:ilvl w:val="0"/>
                <w:numId w:val="0"/>
              </w:numPr>
              <w:jc w:val="left"/>
              <w:rPr>
                <w:rFonts w:hint="eastAsia"/>
                <w:color w:val="auto"/>
              </w:rPr>
            </w:pPr>
          </w:p>
          <w:p w14:paraId="41BBF797">
            <w:pPr>
              <w:widowControl/>
              <w:numPr>
                <w:ilvl w:val="0"/>
                <w:numId w:val="0"/>
              </w:numPr>
              <w:jc w:val="left"/>
              <w:rPr>
                <w:rFonts w:hint="eastAsia"/>
                <w:color w:val="auto"/>
              </w:rPr>
            </w:pPr>
            <w:r>
              <w:rPr>
                <w:rFonts w:hint="eastAsia"/>
                <w:color w:val="auto"/>
              </w:rPr>
              <w:t>7. 其他零散问题</w:t>
            </w:r>
          </w:p>
          <w:p w14:paraId="5DFF8B88">
            <w:pPr>
              <w:widowControl/>
              <w:numPr>
                <w:ilvl w:val="0"/>
                <w:numId w:val="0"/>
              </w:numPr>
              <w:jc w:val="left"/>
              <w:rPr>
                <w:rFonts w:hint="default" w:ascii="宋体" w:hAnsi="宋体" w:cs="宋体" w:eastAsiaTheme="minorEastAsia"/>
                <w:b w:val="0"/>
                <w:bCs w:val="0"/>
                <w:i w:val="0"/>
                <w:iCs w:val="0"/>
                <w:caps w:val="0"/>
                <w:color w:val="auto"/>
                <w:spacing w:val="0"/>
                <w:kern w:val="0"/>
                <w:sz w:val="24"/>
                <w:szCs w:val="24"/>
                <w:lang w:val="en-US" w:eastAsia="zh-CN" w:bidi="ar"/>
              </w:rPr>
            </w:pPr>
            <w:r>
              <w:rPr>
                <w:rFonts w:hint="eastAsia"/>
                <w:color w:val="auto"/>
              </w:rPr>
              <w:t>消防标识脱落补装、管道小除锈刷漆、消防线槽盖板修复、应急广播单点位杂音调试。</w:t>
            </w:r>
          </w:p>
        </w:tc>
        <w:tc>
          <w:tcPr>
            <w:tcW w:w="1105" w:type="dxa"/>
            <w:noWrap/>
            <w:vAlign w:val="center"/>
          </w:tcPr>
          <w:p w14:paraId="6FB25ED6">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c>
          <w:tcPr>
            <w:tcW w:w="859" w:type="dxa"/>
            <w:noWrap/>
            <w:vAlign w:val="center"/>
          </w:tcPr>
          <w:p w14:paraId="4C7DB788">
            <w:pPr>
              <w:widowControl/>
              <w:jc w:val="center"/>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12</w:t>
            </w:r>
          </w:p>
        </w:tc>
        <w:tc>
          <w:tcPr>
            <w:tcW w:w="1244" w:type="dxa"/>
            <w:noWrap/>
            <w:vAlign w:val="center"/>
          </w:tcPr>
          <w:p w14:paraId="36527CD0">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r>
      <w:tr w14:paraId="05971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31" w:type="dxa"/>
            <w:noWrap w:val="0"/>
            <w:vAlign w:val="center"/>
          </w:tcPr>
          <w:p w14:paraId="405E1B9C">
            <w:pPr>
              <w:widowControl/>
              <w:jc w:val="center"/>
              <w:rPr>
                <w:rFonts w:hint="eastAsia" w:ascii="宋体" w:hAnsi="宋体" w:eastAsia="宋体" w:cs="宋体"/>
                <w:bCs/>
                <w:color w:val="auto"/>
                <w:kern w:val="0"/>
                <w:sz w:val="24"/>
                <w:szCs w:val="24"/>
                <w:lang w:val="en-US" w:eastAsia="zh-CN"/>
              </w:rPr>
            </w:pPr>
            <w:r>
              <w:rPr>
                <w:rFonts w:hint="eastAsia" w:ascii="宋体" w:hAnsi="宋体" w:eastAsia="宋体" w:cs="宋体"/>
                <w:bCs/>
                <w:color w:val="auto"/>
                <w:kern w:val="0"/>
                <w:sz w:val="24"/>
                <w:szCs w:val="24"/>
                <w:lang w:val="en-US" w:eastAsia="zh-CN"/>
              </w:rPr>
              <w:t>培训</w:t>
            </w:r>
          </w:p>
        </w:tc>
        <w:tc>
          <w:tcPr>
            <w:tcW w:w="4396" w:type="dxa"/>
            <w:noWrap w:val="0"/>
            <w:vAlign w:val="center"/>
          </w:tcPr>
          <w:p w14:paraId="2D9842CD">
            <w:pPr>
              <w:widowControl/>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每年培训消控室值班人员</w:t>
            </w:r>
          </w:p>
        </w:tc>
        <w:tc>
          <w:tcPr>
            <w:tcW w:w="1105" w:type="dxa"/>
            <w:noWrap/>
            <w:vAlign w:val="center"/>
          </w:tcPr>
          <w:p w14:paraId="57877E5E">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p>
        </w:tc>
        <w:tc>
          <w:tcPr>
            <w:tcW w:w="859" w:type="dxa"/>
            <w:noWrap/>
            <w:vAlign w:val="center"/>
          </w:tcPr>
          <w:p w14:paraId="77EF8725">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w:t>
            </w:r>
          </w:p>
        </w:tc>
        <w:tc>
          <w:tcPr>
            <w:tcW w:w="1244" w:type="dxa"/>
            <w:noWrap/>
            <w:vAlign w:val="center"/>
          </w:tcPr>
          <w:p w14:paraId="54A7BD05">
            <w:pPr>
              <w:keepNext w:val="0"/>
              <w:keepLines w:val="0"/>
              <w:widowControl/>
              <w:suppressLineNumbers w:val="0"/>
              <w:jc w:val="center"/>
              <w:textAlignment w:val="center"/>
              <w:rPr>
                <w:rFonts w:hint="eastAsia" w:ascii="宋体" w:hAnsi="宋体" w:eastAsia="宋体" w:cs="宋体"/>
                <w:color w:val="auto"/>
                <w:kern w:val="0"/>
                <w:sz w:val="24"/>
                <w:szCs w:val="24"/>
                <w:lang w:val="en-US" w:eastAsia="zh-CN"/>
              </w:rPr>
            </w:pPr>
          </w:p>
        </w:tc>
      </w:tr>
      <w:tr w14:paraId="23AF9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191" w:type="dxa"/>
            <w:gridSpan w:val="4"/>
            <w:noWrap w:val="0"/>
            <w:vAlign w:val="center"/>
          </w:tcPr>
          <w:p w14:paraId="547A8CE0">
            <w:pPr>
              <w:widowControl/>
              <w:jc w:val="cente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合计：</w:t>
            </w:r>
          </w:p>
        </w:tc>
        <w:tc>
          <w:tcPr>
            <w:tcW w:w="1244" w:type="dxa"/>
            <w:noWrap/>
            <w:vAlign w:val="center"/>
          </w:tcPr>
          <w:p w14:paraId="36C19DC0">
            <w:pPr>
              <w:widowControl/>
              <w:jc w:val="center"/>
              <w:rPr>
                <w:rFonts w:hint="default" w:ascii="宋体" w:hAnsi="宋体" w:eastAsia="宋体" w:cs="宋体"/>
                <w:i w:val="0"/>
                <w:iCs w:val="0"/>
                <w:color w:val="auto"/>
                <w:kern w:val="0"/>
                <w:sz w:val="24"/>
                <w:szCs w:val="24"/>
                <w:u w:val="none"/>
                <w:lang w:val="en-US" w:eastAsia="zh-CN" w:bidi="ar"/>
              </w:rPr>
            </w:pPr>
          </w:p>
        </w:tc>
      </w:tr>
      <w:tr w14:paraId="1EEA2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8435" w:type="dxa"/>
            <w:gridSpan w:val="5"/>
            <w:noWrap/>
            <w:vAlign w:val="center"/>
          </w:tcPr>
          <w:p w14:paraId="4C968AE4">
            <w:pPr>
              <w:widowControl/>
              <w:jc w:val="left"/>
              <w:rPr>
                <w:rFonts w:hint="eastAsia" w:ascii="宋体" w:hAnsi="宋体" w:eastAsia="宋体" w:cs="宋体"/>
                <w:color w:val="auto"/>
                <w:kern w:val="0"/>
                <w:sz w:val="24"/>
                <w:szCs w:val="24"/>
                <w:lang w:val="en-US" w:eastAsia="zh-CN"/>
              </w:rPr>
            </w:pPr>
            <w:r>
              <w:rPr>
                <w:rFonts w:hint="eastAsia" w:ascii="宋体" w:hAnsi="宋体" w:eastAsia="宋体" w:cs="宋体"/>
                <w:bCs/>
                <w:color w:val="auto"/>
                <w:sz w:val="24"/>
                <w:szCs w:val="24"/>
              </w:rPr>
              <w:t>报价大写：</w:t>
            </w:r>
          </w:p>
        </w:tc>
      </w:tr>
      <w:tr w14:paraId="03BD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435" w:type="dxa"/>
            <w:gridSpan w:val="5"/>
            <w:noWrap/>
            <w:vAlign w:val="center"/>
          </w:tcPr>
          <w:p w14:paraId="773823F8">
            <w:pPr>
              <w:widowControl/>
              <w:jc w:val="left"/>
              <w:rPr>
                <w:rFonts w:hint="default" w:ascii="宋体" w:hAnsi="宋体" w:eastAsia="宋体" w:cs="宋体"/>
                <w:color w:val="auto"/>
                <w:kern w:val="0"/>
                <w:sz w:val="24"/>
                <w:szCs w:val="24"/>
                <w:lang w:val="en-US" w:eastAsia="zh-CN"/>
              </w:rPr>
            </w:pPr>
            <w:r>
              <w:rPr>
                <w:rFonts w:hint="eastAsia" w:ascii="宋体" w:hAnsi="宋体" w:eastAsia="宋体" w:cs="宋体"/>
                <w:bCs/>
                <w:color w:val="auto"/>
                <w:sz w:val="24"/>
                <w:szCs w:val="24"/>
              </w:rPr>
              <w:t>备注：</w:t>
            </w:r>
            <w:r>
              <w:rPr>
                <w:rFonts w:hint="eastAsia" w:ascii="宋体" w:hAnsi="宋体" w:eastAsia="宋体" w:cs="宋体"/>
                <w:bCs/>
                <w:color w:val="auto"/>
                <w:sz w:val="24"/>
                <w:szCs w:val="24"/>
                <w:lang w:val="en-US" w:eastAsia="zh-CN"/>
              </w:rPr>
              <w:t>总价含6%增值税发票</w:t>
            </w:r>
          </w:p>
        </w:tc>
      </w:tr>
    </w:tbl>
    <w:p w14:paraId="3E88B8E6">
      <w:pPr>
        <w:pStyle w:val="11"/>
        <w:widowControl/>
        <w:spacing w:beforeAutospacing="0" w:afterAutospacing="0"/>
        <w:rPr>
          <w:rFonts w:ascii="宋体" w:hAnsi="宋体" w:eastAsia="宋体" w:cs="宋体"/>
          <w:color w:val="auto"/>
          <w:sz w:val="28"/>
          <w:szCs w:val="28"/>
          <w:highlight w:val="none"/>
        </w:rPr>
      </w:pPr>
    </w:p>
    <w:p w14:paraId="2B6458AE">
      <w:pPr>
        <w:pStyle w:val="3"/>
        <w:rPr>
          <w:rFonts w:ascii="宋体" w:hAnsi="宋体" w:eastAsia="宋体"/>
          <w:color w:val="auto"/>
          <w:highlight w:val="none"/>
        </w:rPr>
      </w:pPr>
    </w:p>
    <w:p w14:paraId="27066EF1">
      <w:pPr>
        <w:rPr>
          <w:rFonts w:ascii="宋体" w:hAnsi="宋体" w:eastAsia="宋体"/>
          <w:color w:val="auto"/>
          <w:highlight w:val="none"/>
        </w:rPr>
      </w:pPr>
    </w:p>
    <w:p w14:paraId="3B5DF9CC">
      <w:pPr>
        <w:pStyle w:val="3"/>
        <w:rPr>
          <w:rFonts w:ascii="宋体" w:hAnsi="宋体" w:eastAsia="宋体"/>
          <w:color w:val="auto"/>
          <w:highlight w:val="none"/>
        </w:rPr>
      </w:pPr>
    </w:p>
    <w:p w14:paraId="0D5A1E4C">
      <w:pPr>
        <w:rPr>
          <w:rFonts w:ascii="宋体" w:hAnsi="宋体" w:eastAsia="宋体"/>
          <w:color w:val="auto"/>
          <w:highlight w:val="none"/>
        </w:rPr>
      </w:pPr>
    </w:p>
    <w:p w14:paraId="357E1111">
      <w:pPr>
        <w:pStyle w:val="3"/>
        <w:rPr>
          <w:rFonts w:ascii="宋体" w:hAnsi="宋体" w:eastAsia="宋体"/>
          <w:color w:val="auto"/>
          <w:highlight w:val="none"/>
        </w:rPr>
      </w:pPr>
    </w:p>
    <w:p w14:paraId="4B5FDD60">
      <w:pPr>
        <w:rPr>
          <w:rFonts w:ascii="宋体" w:hAnsi="宋体" w:eastAsia="宋体"/>
          <w:color w:val="auto"/>
          <w:highlight w:val="none"/>
        </w:rPr>
      </w:pPr>
    </w:p>
    <w:p w14:paraId="4EF5E462">
      <w:pPr>
        <w:pStyle w:val="3"/>
        <w:rPr>
          <w:rFonts w:ascii="宋体" w:hAnsi="宋体" w:eastAsia="宋体"/>
          <w:color w:val="auto"/>
          <w:highlight w:val="none"/>
        </w:rPr>
      </w:pPr>
    </w:p>
    <w:p w14:paraId="62F708AC">
      <w:pPr>
        <w:spacing w:line="360" w:lineRule="auto"/>
        <w:ind w:firstLine="3080" w:firstLineChars="11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法定代表人或者委托代理人（签字或盖章）： </w:t>
      </w:r>
    </w:p>
    <w:p w14:paraId="19903E4B">
      <w:pPr>
        <w:spacing w:line="360" w:lineRule="auto"/>
        <w:ind w:left="2520" w:leftChars="120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服务商（盖公章）：    </w:t>
      </w:r>
    </w:p>
    <w:p w14:paraId="53A5C6ED">
      <w:pPr>
        <w:spacing w:line="360" w:lineRule="auto"/>
        <w:ind w:left="2520" w:leftChars="1200"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联系电话：</w:t>
      </w:r>
      <w:r>
        <w:rPr>
          <w:rFonts w:hint="eastAsia" w:ascii="宋体" w:hAnsi="宋体" w:eastAsia="宋体" w:cs="宋体"/>
          <w:color w:val="auto"/>
          <w:sz w:val="28"/>
          <w:szCs w:val="28"/>
          <w:highlight w:val="none"/>
        </w:rPr>
        <w:t xml:space="preserve">  </w:t>
      </w:r>
    </w:p>
    <w:p w14:paraId="5217F84E">
      <w:pPr>
        <w:spacing w:line="360" w:lineRule="auto"/>
        <w:ind w:left="2520" w:leftChars="1200"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日期：   年   月   日</w:t>
      </w:r>
    </w:p>
    <w:p w14:paraId="54CE12DF">
      <w:pP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120A4A7C">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项目实施方案</w:t>
      </w:r>
    </w:p>
    <w:p w14:paraId="3A3A8BCE">
      <w:pPr>
        <w:pStyle w:val="5"/>
        <w:rPr>
          <w:color w:val="auto"/>
          <w:highlight w:val="none"/>
        </w:rPr>
      </w:pPr>
      <w:r>
        <w:rPr>
          <w:rFonts w:hint="eastAsia" w:ascii="宋体" w:hAnsi="宋体" w:eastAsia="宋体"/>
          <w:color w:val="auto"/>
          <w:highlight w:val="none"/>
        </w:rPr>
        <w:t>（格式自拟）</w:t>
      </w:r>
    </w:p>
    <w:p w14:paraId="5186A8CC">
      <w:pPr>
        <w:rPr>
          <w:color w:val="auto"/>
          <w:highlight w:val="none"/>
        </w:rPr>
      </w:pPr>
    </w:p>
    <w:p w14:paraId="5B9C7759">
      <w:pPr>
        <w:pStyle w:val="5"/>
        <w:jc w:val="both"/>
      </w:pPr>
    </w:p>
    <w:p w14:paraId="2ADABCD9">
      <w:pPr>
        <w:pStyle w:val="5"/>
        <w:jc w:val="both"/>
      </w:pPr>
    </w:p>
    <w:p w14:paraId="4BA15BF6">
      <w:pPr>
        <w:pStyle w:val="5"/>
        <w:jc w:val="both"/>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7608A2"/>
    <w:multiLevelType w:val="singleLevel"/>
    <w:tmpl w:val="877608A2"/>
    <w:lvl w:ilvl="0" w:tentative="0">
      <w:start w:val="1"/>
      <w:numFmt w:val="decimal"/>
      <w:suff w:val="nothing"/>
      <w:lvlText w:val="%1、"/>
      <w:lvlJc w:val="left"/>
    </w:lvl>
  </w:abstractNum>
  <w:abstractNum w:abstractNumId="1">
    <w:nsid w:val="89779CA7"/>
    <w:multiLevelType w:val="singleLevel"/>
    <w:tmpl w:val="89779CA7"/>
    <w:lvl w:ilvl="0" w:tentative="0">
      <w:start w:val="1"/>
      <w:numFmt w:val="decimal"/>
      <w:suff w:val="nothing"/>
      <w:lvlText w:val="%1、"/>
      <w:lvlJc w:val="left"/>
    </w:lvl>
  </w:abstractNum>
  <w:abstractNum w:abstractNumId="2">
    <w:nsid w:val="94D1A392"/>
    <w:multiLevelType w:val="singleLevel"/>
    <w:tmpl w:val="94D1A392"/>
    <w:lvl w:ilvl="0" w:tentative="0">
      <w:start w:val="1"/>
      <w:numFmt w:val="decimal"/>
      <w:suff w:val="nothing"/>
      <w:lvlText w:val="%1、"/>
      <w:lvlJc w:val="left"/>
    </w:lvl>
  </w:abstractNum>
  <w:abstractNum w:abstractNumId="3">
    <w:nsid w:val="A21DA2E7"/>
    <w:multiLevelType w:val="singleLevel"/>
    <w:tmpl w:val="A21DA2E7"/>
    <w:lvl w:ilvl="0" w:tentative="0">
      <w:start w:val="1"/>
      <w:numFmt w:val="decimal"/>
      <w:suff w:val="nothing"/>
      <w:lvlText w:val="%1、"/>
      <w:lvlJc w:val="left"/>
    </w:lvl>
  </w:abstractNum>
  <w:abstractNum w:abstractNumId="4">
    <w:nsid w:val="B6A0DB4B"/>
    <w:multiLevelType w:val="singleLevel"/>
    <w:tmpl w:val="B6A0DB4B"/>
    <w:lvl w:ilvl="0" w:tentative="0">
      <w:start w:val="1"/>
      <w:numFmt w:val="decimal"/>
      <w:suff w:val="nothing"/>
      <w:lvlText w:val="%1、"/>
      <w:lvlJc w:val="left"/>
    </w:lvl>
  </w:abstractNum>
  <w:abstractNum w:abstractNumId="5">
    <w:nsid w:val="C40A277D"/>
    <w:multiLevelType w:val="singleLevel"/>
    <w:tmpl w:val="C40A277D"/>
    <w:lvl w:ilvl="0" w:tentative="0">
      <w:start w:val="1"/>
      <w:numFmt w:val="decimal"/>
      <w:suff w:val="nothing"/>
      <w:lvlText w:val="%1、"/>
      <w:lvlJc w:val="left"/>
    </w:lvl>
  </w:abstractNum>
  <w:abstractNum w:abstractNumId="6">
    <w:nsid w:val="E47CE0F3"/>
    <w:multiLevelType w:val="singleLevel"/>
    <w:tmpl w:val="E47CE0F3"/>
    <w:lvl w:ilvl="0" w:tentative="0">
      <w:start w:val="1"/>
      <w:numFmt w:val="decimal"/>
      <w:suff w:val="nothing"/>
      <w:lvlText w:val="%1、"/>
      <w:lvlJc w:val="left"/>
    </w:lvl>
  </w:abstractNum>
  <w:abstractNum w:abstractNumId="7">
    <w:nsid w:val="E7893704"/>
    <w:multiLevelType w:val="singleLevel"/>
    <w:tmpl w:val="E7893704"/>
    <w:lvl w:ilvl="0" w:tentative="0">
      <w:start w:val="1"/>
      <w:numFmt w:val="decimal"/>
      <w:suff w:val="nothing"/>
      <w:lvlText w:val="%1、"/>
      <w:lvlJc w:val="left"/>
    </w:lvl>
  </w:abstractNum>
  <w:abstractNum w:abstractNumId="8">
    <w:nsid w:val="EC501D60"/>
    <w:multiLevelType w:val="singleLevel"/>
    <w:tmpl w:val="EC501D60"/>
    <w:lvl w:ilvl="0" w:tentative="0">
      <w:start w:val="1"/>
      <w:numFmt w:val="decimal"/>
      <w:suff w:val="nothing"/>
      <w:lvlText w:val="%1、"/>
      <w:lvlJc w:val="left"/>
    </w:lvl>
  </w:abstractNum>
  <w:abstractNum w:abstractNumId="9">
    <w:nsid w:val="02F50E32"/>
    <w:multiLevelType w:val="singleLevel"/>
    <w:tmpl w:val="02F50E32"/>
    <w:lvl w:ilvl="0" w:tentative="0">
      <w:start w:val="1"/>
      <w:numFmt w:val="decimal"/>
      <w:suff w:val="nothing"/>
      <w:lvlText w:val="%1、"/>
      <w:lvlJc w:val="left"/>
    </w:lvl>
  </w:abstractNum>
  <w:abstractNum w:abstractNumId="10">
    <w:nsid w:val="0502E020"/>
    <w:multiLevelType w:val="singleLevel"/>
    <w:tmpl w:val="0502E020"/>
    <w:lvl w:ilvl="0" w:tentative="0">
      <w:start w:val="1"/>
      <w:numFmt w:val="decimal"/>
      <w:suff w:val="nothing"/>
      <w:lvlText w:val="%1、"/>
      <w:lvlJc w:val="left"/>
    </w:lvl>
  </w:abstractNum>
  <w:abstractNum w:abstractNumId="11">
    <w:nsid w:val="3242ED4E"/>
    <w:multiLevelType w:val="singleLevel"/>
    <w:tmpl w:val="3242ED4E"/>
    <w:lvl w:ilvl="0" w:tentative="0">
      <w:start w:val="1"/>
      <w:numFmt w:val="decimal"/>
      <w:suff w:val="nothing"/>
      <w:lvlText w:val="%1、"/>
      <w:lvlJc w:val="left"/>
    </w:lvl>
  </w:abstractNum>
  <w:abstractNum w:abstractNumId="12">
    <w:nsid w:val="41CB9BDD"/>
    <w:multiLevelType w:val="singleLevel"/>
    <w:tmpl w:val="41CB9BDD"/>
    <w:lvl w:ilvl="0" w:tentative="0">
      <w:start w:val="1"/>
      <w:numFmt w:val="decimal"/>
      <w:suff w:val="nothing"/>
      <w:lvlText w:val="%1、"/>
      <w:lvlJc w:val="left"/>
    </w:lvl>
  </w:abstractNum>
  <w:abstractNum w:abstractNumId="13">
    <w:nsid w:val="439F28AE"/>
    <w:multiLevelType w:val="singleLevel"/>
    <w:tmpl w:val="439F28AE"/>
    <w:lvl w:ilvl="0" w:tentative="0">
      <w:start w:val="1"/>
      <w:numFmt w:val="decimal"/>
      <w:suff w:val="nothing"/>
      <w:lvlText w:val="%1、"/>
      <w:lvlJc w:val="left"/>
    </w:lvl>
  </w:abstractNum>
  <w:abstractNum w:abstractNumId="14">
    <w:nsid w:val="4B3FF63B"/>
    <w:multiLevelType w:val="singleLevel"/>
    <w:tmpl w:val="4B3FF63B"/>
    <w:lvl w:ilvl="0" w:tentative="0">
      <w:start w:val="1"/>
      <w:numFmt w:val="decimal"/>
      <w:suff w:val="nothing"/>
      <w:lvlText w:val="%1、"/>
      <w:lvlJc w:val="left"/>
    </w:lvl>
  </w:abstractNum>
  <w:abstractNum w:abstractNumId="15">
    <w:nsid w:val="747C4EB0"/>
    <w:multiLevelType w:val="singleLevel"/>
    <w:tmpl w:val="747C4EB0"/>
    <w:lvl w:ilvl="0" w:tentative="0">
      <w:start w:val="1"/>
      <w:numFmt w:val="decimal"/>
      <w:suff w:val="nothing"/>
      <w:lvlText w:val="%1、"/>
      <w:lvlJc w:val="left"/>
    </w:lvl>
  </w:abstractNum>
  <w:abstractNum w:abstractNumId="16">
    <w:nsid w:val="7C22BAFD"/>
    <w:multiLevelType w:val="singleLevel"/>
    <w:tmpl w:val="7C22BAFD"/>
    <w:lvl w:ilvl="0" w:tentative="0">
      <w:start w:val="1"/>
      <w:numFmt w:val="decimal"/>
      <w:suff w:val="nothing"/>
      <w:lvlText w:val="%1、"/>
      <w:lvlJc w:val="left"/>
    </w:lvl>
  </w:abstractNum>
  <w:num w:numId="1">
    <w:abstractNumId w:val="5"/>
  </w:num>
  <w:num w:numId="2">
    <w:abstractNumId w:val="0"/>
  </w:num>
  <w:num w:numId="3">
    <w:abstractNumId w:val="7"/>
  </w:num>
  <w:num w:numId="4">
    <w:abstractNumId w:val="6"/>
  </w:num>
  <w:num w:numId="5">
    <w:abstractNumId w:val="4"/>
  </w:num>
  <w:num w:numId="6">
    <w:abstractNumId w:val="15"/>
  </w:num>
  <w:num w:numId="7">
    <w:abstractNumId w:val="3"/>
  </w:num>
  <w:num w:numId="8">
    <w:abstractNumId w:val="13"/>
  </w:num>
  <w:num w:numId="9">
    <w:abstractNumId w:val="10"/>
  </w:num>
  <w:num w:numId="10">
    <w:abstractNumId w:val="16"/>
  </w:num>
  <w:num w:numId="11">
    <w:abstractNumId w:val="2"/>
  </w:num>
  <w:num w:numId="12">
    <w:abstractNumId w:val="11"/>
  </w:num>
  <w:num w:numId="13">
    <w:abstractNumId w:val="1"/>
  </w:num>
  <w:num w:numId="14">
    <w:abstractNumId w:val="8"/>
  </w:num>
  <w:num w:numId="15">
    <w:abstractNumId w:val="12"/>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NTc2NjI2NTQ4OWQxMGNmMWFjMWUwNWYxNjg1ZTEifQ=="/>
  </w:docVars>
  <w:rsids>
    <w:rsidRoot w:val="44686C1D"/>
    <w:rsid w:val="00EB5583"/>
    <w:rsid w:val="050A46A4"/>
    <w:rsid w:val="0A053460"/>
    <w:rsid w:val="0AEA26EB"/>
    <w:rsid w:val="0BAB1A1B"/>
    <w:rsid w:val="0D9A21F2"/>
    <w:rsid w:val="0FDC19E8"/>
    <w:rsid w:val="129077DE"/>
    <w:rsid w:val="138D0D04"/>
    <w:rsid w:val="1CD203FA"/>
    <w:rsid w:val="1CDE301D"/>
    <w:rsid w:val="1F6415A5"/>
    <w:rsid w:val="28AF642E"/>
    <w:rsid w:val="2ACF3ADF"/>
    <w:rsid w:val="2B470D43"/>
    <w:rsid w:val="2B482CE6"/>
    <w:rsid w:val="2BD31A99"/>
    <w:rsid w:val="2F327354"/>
    <w:rsid w:val="2F831838"/>
    <w:rsid w:val="33525999"/>
    <w:rsid w:val="364C2B74"/>
    <w:rsid w:val="389D76B7"/>
    <w:rsid w:val="3DC75184"/>
    <w:rsid w:val="3E522CF1"/>
    <w:rsid w:val="3FC10A9F"/>
    <w:rsid w:val="44686C1D"/>
    <w:rsid w:val="47DD63C8"/>
    <w:rsid w:val="48667BB4"/>
    <w:rsid w:val="4A1D5B25"/>
    <w:rsid w:val="4BF70A34"/>
    <w:rsid w:val="4D680EC2"/>
    <w:rsid w:val="4EA34421"/>
    <w:rsid w:val="4F165675"/>
    <w:rsid w:val="536410A5"/>
    <w:rsid w:val="55642252"/>
    <w:rsid w:val="5812294D"/>
    <w:rsid w:val="596B005B"/>
    <w:rsid w:val="5B694D7F"/>
    <w:rsid w:val="5CEB4D37"/>
    <w:rsid w:val="5D3F66DF"/>
    <w:rsid w:val="5DC015CE"/>
    <w:rsid w:val="5F122687"/>
    <w:rsid w:val="60EC3F40"/>
    <w:rsid w:val="62DF24F6"/>
    <w:rsid w:val="632B0233"/>
    <w:rsid w:val="63493E13"/>
    <w:rsid w:val="637A491C"/>
    <w:rsid w:val="66347F13"/>
    <w:rsid w:val="68B67896"/>
    <w:rsid w:val="69D770B2"/>
    <w:rsid w:val="6A5E63F6"/>
    <w:rsid w:val="6E0D2B81"/>
    <w:rsid w:val="6EDF387E"/>
    <w:rsid w:val="6FBB7E47"/>
    <w:rsid w:val="6FBE7937"/>
    <w:rsid w:val="70EF78C3"/>
    <w:rsid w:val="73C44DF0"/>
    <w:rsid w:val="786D599F"/>
    <w:rsid w:val="79433319"/>
    <w:rsid w:val="7B6B1C4D"/>
    <w:rsid w:val="7C295470"/>
    <w:rsid w:val="7C6921B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toa heading"/>
    <w:basedOn w:val="1"/>
    <w:next w:val="1"/>
    <w:unhideWhenUsed/>
    <w:qFormat/>
    <w:uiPriority w:val="99"/>
    <w:pPr>
      <w:spacing w:before="120"/>
    </w:pPr>
    <w:rPr>
      <w:rFonts w:ascii="Arial" w:hAnsi="Arial"/>
      <w:sz w:val="24"/>
    </w:rPr>
  </w:style>
  <w:style w:type="paragraph" w:styleId="4">
    <w:name w:val="annotation text"/>
    <w:basedOn w:val="1"/>
    <w:qFormat/>
    <w:uiPriority w:val="0"/>
    <w:pPr>
      <w:jc w:val="left"/>
    </w:pPr>
  </w:style>
  <w:style w:type="paragraph" w:styleId="5">
    <w:name w:val="Body Text 3"/>
    <w:unhideWhenUsed/>
    <w:qFormat/>
    <w:uiPriority w:val="99"/>
    <w:pPr>
      <w:widowControl w:val="0"/>
      <w:spacing w:after="312"/>
      <w:jc w:val="center"/>
    </w:pPr>
    <w:rPr>
      <w:rFonts w:ascii="Times New Roman" w:hAnsi="Times New Roman" w:eastAsia="仿宋_GB2312" w:cs="Times New Roman"/>
      <w:b/>
      <w:kern w:val="2"/>
      <w:sz w:val="28"/>
      <w:szCs w:val="16"/>
      <w:lang w:val="en-US" w:eastAsia="zh-CN" w:bidi="ar-SA"/>
    </w:rPr>
  </w:style>
  <w:style w:type="paragraph" w:styleId="6">
    <w:name w:val="Body Text"/>
    <w:basedOn w:val="1"/>
    <w:semiHidden/>
    <w:qFormat/>
    <w:uiPriority w:val="0"/>
    <w:rPr>
      <w:rFonts w:ascii="宋体" w:hAnsi="宋体" w:eastAsia="宋体" w:cs="宋体"/>
      <w:sz w:val="15"/>
      <w:szCs w:val="15"/>
      <w:lang w:val="en-US" w:eastAsia="en-US" w:bidi="ar-SA"/>
    </w:rPr>
  </w:style>
  <w:style w:type="paragraph" w:styleId="7">
    <w:name w:val="Plain Text"/>
    <w:basedOn w:val="1"/>
    <w:next w:val="8"/>
    <w:qFormat/>
    <w:uiPriority w:val="0"/>
    <w:rPr>
      <w:rFonts w:ascii="宋体" w:eastAsia="宋体" w:cs="Courier New"/>
      <w:szCs w:val="21"/>
    </w:rPr>
  </w:style>
  <w:style w:type="paragraph" w:styleId="8">
    <w:name w:val="Date"/>
    <w:basedOn w:val="1"/>
    <w:next w:val="1"/>
    <w:qFormat/>
    <w:uiPriority w:val="0"/>
    <w:pPr>
      <w:ind w:left="100" w:leftChars="2500"/>
    </w:p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FollowedHyperlink"/>
    <w:basedOn w:val="13"/>
    <w:semiHidden/>
    <w:unhideWhenUsed/>
    <w:qFormat/>
    <w:uiPriority w:val="99"/>
    <w:rPr>
      <w:color w:val="800080"/>
      <w:u w:val="single"/>
    </w:rPr>
  </w:style>
  <w:style w:type="paragraph" w:customStyle="1" w:styleId="15">
    <w:name w:val="表格文字"/>
    <w:basedOn w:val="1"/>
    <w:autoRedefine/>
    <w:qFormat/>
    <w:uiPriority w:val="0"/>
    <w:pPr>
      <w:autoSpaceDE/>
      <w:autoSpaceDN/>
      <w:adjustRightInd/>
      <w:spacing w:before="25" w:after="25"/>
    </w:pPr>
    <w:rPr>
      <w:rFonts w:ascii="Times New Roman"/>
      <w:bCs/>
      <w:spacing w:val="10"/>
      <w:szCs w:val="20"/>
    </w:rPr>
  </w:style>
  <w:style w:type="paragraph" w:customStyle="1" w:styleId="16">
    <w:name w:val="采购一"/>
    <w:basedOn w:val="1"/>
    <w:autoRedefine/>
    <w:qFormat/>
    <w:uiPriority w:val="0"/>
    <w:pPr>
      <w:adjustRightInd w:val="0"/>
      <w:snapToGrid w:val="0"/>
      <w:spacing w:after="312" w:afterLines="100" w:line="240" w:lineRule="atLeast"/>
      <w:jc w:val="center"/>
      <w:outlineLvl w:val="0"/>
    </w:pPr>
    <w:rPr>
      <w:rFonts w:hint="eastAsia" w:ascii="宋体" w:hAnsi="宋体" w:eastAsia="宋体" w:cs="宋体"/>
      <w:b/>
      <w:bCs/>
      <w:sz w:val="32"/>
      <w:szCs w:val="32"/>
    </w:rPr>
  </w:style>
  <w:style w:type="character" w:customStyle="1" w:styleId="17">
    <w:name w:val="font51"/>
    <w:basedOn w:val="13"/>
    <w:autoRedefine/>
    <w:qFormat/>
    <w:uiPriority w:val="0"/>
    <w:rPr>
      <w:rFonts w:hint="eastAsia" w:ascii="宋体" w:hAnsi="宋体" w:eastAsia="宋体" w:cs="宋体"/>
      <w:color w:val="000000"/>
      <w:sz w:val="32"/>
      <w:szCs w:val="32"/>
      <w:u w:val="none"/>
    </w:rPr>
  </w:style>
  <w:style w:type="character" w:customStyle="1" w:styleId="18">
    <w:name w:val="font31"/>
    <w:basedOn w:val="13"/>
    <w:autoRedefine/>
    <w:qFormat/>
    <w:uiPriority w:val="0"/>
    <w:rPr>
      <w:rFonts w:ascii="宋体" w:hAnsi="宋体" w:eastAsia="宋体" w:cs="宋体"/>
      <w:color w:val="000000"/>
      <w:sz w:val="32"/>
      <w:szCs w:val="32"/>
      <w:u w:val="single"/>
    </w:rPr>
  </w:style>
  <w:style w:type="character" w:customStyle="1" w:styleId="19">
    <w:name w:val="font21"/>
    <w:basedOn w:val="13"/>
    <w:autoRedefine/>
    <w:qFormat/>
    <w:uiPriority w:val="0"/>
    <w:rPr>
      <w:rFonts w:ascii="宋体" w:hAnsi="宋体" w:eastAsia="宋体" w:cs="宋体"/>
      <w:color w:val="000000"/>
      <w:sz w:val="32"/>
      <w:szCs w:val="32"/>
      <w:u w:val="none"/>
    </w:rPr>
  </w:style>
  <w:style w:type="paragraph" w:customStyle="1" w:styleId="20">
    <w:name w:val="Table Text"/>
    <w:basedOn w:val="1"/>
    <w:semiHidden/>
    <w:qFormat/>
    <w:uiPriority w:val="0"/>
    <w:rPr>
      <w:rFonts w:ascii="宋体" w:hAnsi="宋体" w:eastAsia="宋体" w:cs="宋体"/>
      <w:sz w:val="54"/>
      <w:szCs w:val="5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36</Pages>
  <Words>11254</Words>
  <Characters>11860</Characters>
  <Lines>0</Lines>
  <Paragraphs>0</Paragraphs>
  <TotalTime>19</TotalTime>
  <ScaleCrop>false</ScaleCrop>
  <LinksUpToDate>false</LinksUpToDate>
  <CharactersWithSpaces>11919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2025-05-16T14:50:00Z</dcterms:created>
  <dc:creator>鱼头星星</dc:creator>
  <cp:lastModifiedBy>小钟</cp:lastModifiedBy>
  <cp:lastPrinted>2025-05-19T16:35:00Z</cp:lastPrinted>
  <dcterms:modified xsi:type="dcterms:W3CDTF">2026-08-03T03:07:36Z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6D477B521D31631C2B75686A0EF49D5E_43</vt:lpwstr>
  </property>
  <property fmtid="{D5CDD505-2E9C-101B-9397-08002B2CF9AE}" pid="4" name="KSOTemplateDocerSaveRecord">
    <vt:lpwstr>eyJoZGlkIjoiNTMxYzIzYjcyODJiZWM1MjZlYTlkZTMyNzJkZTMwNTAiLCJ1c2VySWQiOiI0MDk4NTQ1MDgifQ==</vt:lpwstr>
  </property>
</Properties>
</file>