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7"/>
        <w:rPr>
          <w:color w:val="auto"/>
          <w:highlight w:val="none"/>
        </w:rPr>
      </w:pPr>
    </w:p>
    <w:p w14:paraId="45357185">
      <w:pPr>
        <w:rPr>
          <w:color w:val="auto"/>
          <w:highlight w:val="none"/>
        </w:rPr>
      </w:pPr>
    </w:p>
    <w:p w14:paraId="05A43E03">
      <w:pPr>
        <w:pStyle w:val="4"/>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7"/>
        <w:rPr>
          <w:rFonts w:ascii="宋体" w:hAnsi="宋体" w:eastAsia="宋体" w:cs="宋体"/>
          <w:b/>
          <w:bCs/>
          <w:color w:val="auto"/>
          <w:sz w:val="36"/>
          <w:szCs w:val="36"/>
          <w:highlight w:val="none"/>
        </w:rPr>
      </w:pPr>
    </w:p>
    <w:p w14:paraId="4A4543D8">
      <w:pPr>
        <w:rPr>
          <w:color w:val="auto"/>
          <w:highlight w:val="none"/>
        </w:rPr>
      </w:pPr>
    </w:p>
    <w:p w14:paraId="141D8E4C">
      <w:pPr>
        <w:pStyle w:val="4"/>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eastAsia="zh-CN"/>
        </w:rPr>
        <w:t>对</w:t>
      </w:r>
      <w:r>
        <w:rPr>
          <w:rFonts w:hint="eastAsia" w:ascii="宋体" w:hAnsi="宋体" w:eastAsia="宋体" w:cs="宋体"/>
          <w:b/>
          <w:bCs/>
          <w:color w:val="auto"/>
          <w:sz w:val="36"/>
          <w:szCs w:val="36"/>
          <w:highlight w:val="none"/>
          <w:u w:val="single"/>
        </w:rPr>
        <w:t>广西金石房地产开发有限公司</w:t>
      </w:r>
      <w:r>
        <w:rPr>
          <w:rFonts w:hint="eastAsia" w:ascii="宋体" w:hAnsi="宋体" w:eastAsia="宋体" w:cs="宋体"/>
          <w:b/>
          <w:bCs/>
          <w:color w:val="auto"/>
          <w:sz w:val="36"/>
          <w:szCs w:val="36"/>
          <w:highlight w:val="none"/>
          <w:u w:val="single"/>
          <w:lang w:eastAsia="zh-CN"/>
        </w:rPr>
        <w:t>开展法律尽职调查</w:t>
      </w:r>
      <w:r>
        <w:rPr>
          <w:rFonts w:hint="eastAsia" w:ascii="宋体" w:hAnsi="宋体" w:eastAsia="宋体" w:cs="宋体"/>
          <w:b/>
          <w:bCs/>
          <w:color w:val="auto"/>
          <w:sz w:val="36"/>
          <w:szCs w:val="36"/>
          <w:highlight w:val="none"/>
          <w:u w:val="single"/>
          <w:lang w:val="en-US" w:eastAsia="zh-CN"/>
        </w:rPr>
        <w:t>及</w:t>
      </w:r>
      <w:r>
        <w:rPr>
          <w:rFonts w:hint="eastAsia" w:ascii="宋体" w:hAnsi="宋体" w:eastAsia="宋体" w:cs="宋体"/>
          <w:b/>
          <w:bCs/>
          <w:color w:val="auto"/>
          <w:sz w:val="36"/>
          <w:szCs w:val="36"/>
          <w:highlight w:val="none"/>
          <w:u w:val="single"/>
          <w:lang w:eastAsia="zh-CN"/>
        </w:rPr>
        <w:t>法律意见书服务采购项目</w:t>
      </w:r>
    </w:p>
    <w:p w14:paraId="2461ED43">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w:t>
      </w:r>
      <w:r>
        <w:rPr>
          <w:rFonts w:hint="eastAsia" w:ascii="宋体" w:hAnsi="宋体" w:eastAsia="宋体" w:cs="宋体"/>
          <w:b/>
          <w:bCs/>
          <w:color w:val="auto"/>
          <w:sz w:val="36"/>
          <w:szCs w:val="36"/>
          <w:highlight w:val="none"/>
          <w:u w:val="single"/>
          <w:lang w:val="en-US" w:eastAsia="zh-CN"/>
        </w:rPr>
        <w:t>钦保置业有限</w:t>
      </w:r>
      <w:r>
        <w:rPr>
          <w:rFonts w:hint="eastAsia" w:ascii="宋体" w:hAnsi="宋体" w:eastAsia="宋体" w:cs="宋体"/>
          <w:b/>
          <w:bCs/>
          <w:color w:val="auto"/>
          <w:sz w:val="36"/>
          <w:szCs w:val="36"/>
          <w:highlight w:val="none"/>
          <w:u w:val="single"/>
        </w:rPr>
        <w:t>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10月</w:t>
      </w:r>
    </w:p>
    <w:p w14:paraId="5D1447BD">
      <w:pPr>
        <w:rPr>
          <w:rFonts w:ascii="宋体" w:hAnsi="宋体" w:eastAsia="宋体" w:cs="宋体"/>
          <w:b/>
          <w:bCs/>
          <w:color w:val="auto"/>
          <w:sz w:val="32"/>
          <w:szCs w:val="32"/>
          <w:highlight w:val="none"/>
          <w:shd w:val="clear" w:color="auto" w:fill="FFFFFF"/>
        </w:rPr>
      </w:pPr>
    </w:p>
    <w:p w14:paraId="757D12AA">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41EC6D83">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eastAsia="zh-CN"/>
        </w:rPr>
        <w:t>对</w:t>
      </w:r>
      <w:r>
        <w:rPr>
          <w:rFonts w:hint="eastAsia" w:ascii="宋体" w:hAnsi="宋体" w:eastAsia="宋体" w:cs="宋体"/>
          <w:bCs/>
          <w:color w:val="auto"/>
          <w:sz w:val="24"/>
          <w:szCs w:val="24"/>
          <w:highlight w:val="none"/>
          <w:u w:val="single"/>
        </w:rPr>
        <w:t>广西金石房地产开发有限公司</w:t>
      </w:r>
      <w:r>
        <w:rPr>
          <w:rFonts w:hint="eastAsia" w:ascii="宋体" w:hAnsi="宋体" w:eastAsia="宋体" w:cs="宋体"/>
          <w:bCs/>
          <w:color w:val="auto"/>
          <w:sz w:val="24"/>
          <w:szCs w:val="24"/>
          <w:highlight w:val="none"/>
          <w:u w:val="single"/>
          <w:lang w:eastAsia="zh-CN"/>
        </w:rPr>
        <w:t>开展法律尽职调查</w:t>
      </w:r>
      <w:r>
        <w:rPr>
          <w:rFonts w:hint="eastAsia" w:ascii="宋体" w:hAnsi="宋体" w:eastAsia="宋体" w:cs="宋体"/>
          <w:bCs/>
          <w:color w:val="auto"/>
          <w:sz w:val="24"/>
          <w:szCs w:val="24"/>
          <w:highlight w:val="none"/>
          <w:u w:val="single"/>
          <w:lang w:val="en-US" w:eastAsia="zh-CN"/>
        </w:rPr>
        <w:t>及</w:t>
      </w:r>
      <w:r>
        <w:rPr>
          <w:rFonts w:hint="eastAsia" w:ascii="宋体" w:hAnsi="宋体" w:eastAsia="宋体" w:cs="宋体"/>
          <w:bCs/>
          <w:color w:val="auto"/>
          <w:sz w:val="24"/>
          <w:szCs w:val="24"/>
          <w:highlight w:val="none"/>
          <w:u w:val="single"/>
          <w:lang w:eastAsia="zh-CN"/>
        </w:rPr>
        <w:t>法律意见书服务采购项目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10月16</w:t>
      </w:r>
      <w:bookmarkStart w:id="10" w:name="_GoBack"/>
      <w:bookmarkEnd w:id="10"/>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3FA385B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eastAsia="zh-CN"/>
        </w:rPr>
        <w:t>对</w:t>
      </w:r>
      <w:r>
        <w:rPr>
          <w:rFonts w:hint="eastAsia" w:ascii="宋体" w:hAnsi="宋体" w:eastAsia="宋体" w:cs="宋体"/>
          <w:bCs/>
          <w:color w:val="auto"/>
          <w:sz w:val="24"/>
          <w:szCs w:val="24"/>
          <w:highlight w:val="none"/>
          <w:u w:val="single"/>
        </w:rPr>
        <w:t>广西金石房地产开发有限公司</w:t>
      </w:r>
      <w:r>
        <w:rPr>
          <w:rFonts w:hint="eastAsia" w:ascii="宋体" w:hAnsi="宋体" w:eastAsia="宋体" w:cs="宋体"/>
          <w:bCs/>
          <w:color w:val="auto"/>
          <w:sz w:val="24"/>
          <w:szCs w:val="24"/>
          <w:highlight w:val="none"/>
          <w:u w:val="single"/>
          <w:lang w:eastAsia="zh-CN"/>
        </w:rPr>
        <w:t>开展法律尽职调查</w:t>
      </w:r>
      <w:r>
        <w:rPr>
          <w:rFonts w:hint="eastAsia" w:ascii="宋体" w:hAnsi="宋体" w:eastAsia="宋体" w:cs="宋体"/>
          <w:bCs/>
          <w:color w:val="auto"/>
          <w:sz w:val="24"/>
          <w:szCs w:val="24"/>
          <w:highlight w:val="none"/>
          <w:u w:val="single"/>
          <w:lang w:val="en-US" w:eastAsia="zh-CN"/>
        </w:rPr>
        <w:t>及</w:t>
      </w:r>
      <w:r>
        <w:rPr>
          <w:rFonts w:hint="eastAsia" w:ascii="宋体" w:hAnsi="宋体" w:eastAsia="宋体" w:cs="宋体"/>
          <w:bCs/>
          <w:color w:val="auto"/>
          <w:sz w:val="24"/>
          <w:szCs w:val="24"/>
          <w:highlight w:val="none"/>
          <w:u w:val="single"/>
          <w:lang w:eastAsia="zh-CN"/>
        </w:rPr>
        <w:t>法律意见书服务采购项目</w:t>
      </w:r>
    </w:p>
    <w:p w14:paraId="19C6A218">
      <w:pPr>
        <w:pStyle w:val="10"/>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w:t>
      </w:r>
      <w:r>
        <w:rPr>
          <w:rFonts w:hint="eastAsia" w:ascii="宋体" w:hAnsi="宋体" w:eastAsia="宋体" w:cs="宋体"/>
          <w:bCs/>
          <w:color w:val="auto"/>
          <w:sz w:val="24"/>
          <w:szCs w:val="24"/>
          <w:highlight w:val="none"/>
          <w:lang w:eastAsia="zh-CN"/>
        </w:rPr>
        <w:t>满足采购文件的实质性要求</w:t>
      </w:r>
      <w:r>
        <w:rPr>
          <w:rFonts w:hint="eastAsia" w:ascii="宋体" w:hAnsi="宋体" w:eastAsia="宋体" w:cs="宋体"/>
          <w:bCs/>
          <w:color w:val="auto"/>
          <w:sz w:val="24"/>
          <w:szCs w:val="24"/>
          <w:highlight w:val="none"/>
        </w:rPr>
        <w:t>，且经评审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肆万贰仟元整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42000.00</w:t>
      </w:r>
      <w:r>
        <w:rPr>
          <w:rFonts w:hint="eastAsia" w:ascii="宋体" w:hAnsi="宋体" w:eastAsia="宋体" w:cs="宋体"/>
          <w:bCs/>
          <w:color w:val="auto"/>
          <w:sz w:val="24"/>
          <w:szCs w:val="24"/>
          <w:highlight w:val="none"/>
        </w:rPr>
        <w:t>元）</w:t>
      </w:r>
      <w:bookmarkEnd w:id="2"/>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肆万贰仟元整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42000.00</w:t>
      </w:r>
      <w:r>
        <w:rPr>
          <w:rFonts w:hint="eastAsia" w:ascii="宋体" w:hAnsi="宋体" w:eastAsia="宋体" w:cs="宋体"/>
          <w:bCs/>
          <w:color w:val="auto"/>
          <w:sz w:val="24"/>
          <w:szCs w:val="24"/>
          <w:highlight w:val="none"/>
        </w:rPr>
        <w:t>元）</w:t>
      </w:r>
    </w:p>
    <w:p w14:paraId="6E1B34CD">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合同签订后，服务单位收到编制报告所需的相关资料之日起，</w:t>
      </w:r>
      <w:r>
        <w:rPr>
          <w:rFonts w:hint="eastAsia" w:ascii="宋体" w:hAnsi="宋体" w:eastAsia="宋体" w:cs="宋体"/>
          <w:bCs/>
          <w:color w:val="auto"/>
          <w:sz w:val="24"/>
          <w:szCs w:val="24"/>
          <w:highlight w:val="none"/>
          <w:lang w:val="en-US" w:eastAsia="zh-CN"/>
        </w:rPr>
        <w:t>15</w:t>
      </w:r>
      <w:r>
        <w:rPr>
          <w:rFonts w:ascii="宋体" w:hAnsi="宋体" w:eastAsia="宋体" w:cs="宋体"/>
          <w:bCs/>
          <w:color w:val="auto"/>
          <w:sz w:val="24"/>
          <w:szCs w:val="24"/>
          <w:highlight w:val="none"/>
        </w:rPr>
        <w:t>个日历天完成项目</w:t>
      </w:r>
      <w:r>
        <w:rPr>
          <w:rFonts w:hint="eastAsia" w:ascii="宋体" w:hAnsi="宋体" w:eastAsia="宋体" w:cs="宋体"/>
          <w:bCs/>
          <w:color w:val="auto"/>
          <w:sz w:val="24"/>
          <w:szCs w:val="24"/>
          <w:highlight w:val="none"/>
          <w:lang w:val="en-US" w:eastAsia="zh-CN"/>
        </w:rPr>
        <w:t>可行性研究</w:t>
      </w:r>
      <w:r>
        <w:rPr>
          <w:rFonts w:ascii="宋体" w:hAnsi="宋体" w:eastAsia="宋体" w:cs="宋体"/>
          <w:bCs/>
          <w:color w:val="auto"/>
          <w:sz w:val="24"/>
          <w:szCs w:val="24"/>
          <w:highlight w:val="none"/>
        </w:rPr>
        <w:t>报告编制并上报。</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508E163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E00823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76E9885C">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63660A0">
      <w:pPr>
        <w:spacing w:line="240" w:lineRule="atLeast"/>
        <w:ind w:firstLine="480" w:firstLineChars="200"/>
        <w:rPr>
          <w:rFonts w:ascii="宋体" w:hAnsi="宋体" w:eastAsia="宋体" w:cs="宋体"/>
          <w:bCs/>
          <w:color w:val="auto"/>
          <w:sz w:val="24"/>
          <w:highlight w:val="none"/>
        </w:rPr>
      </w:pPr>
      <w:bookmarkStart w:id="3" w:name="OLE_LINK7"/>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w:t>
      </w:r>
      <w:bookmarkEnd w:id="3"/>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10ED96D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D6E1D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1E37891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6CEF77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14</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45457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50E3BBCB">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w:t>
      </w:r>
      <w:r>
        <w:rPr>
          <w:rFonts w:hint="eastAsia" w:ascii="宋体" w:hAnsi="宋体" w:eastAsia="宋体" w:cs="宋体"/>
          <w:bCs/>
          <w:color w:val="auto"/>
          <w:szCs w:val="24"/>
          <w:highlight w:val="none"/>
          <w:u w:val="single"/>
          <w:lang w:val="en-US" w:eastAsia="zh-CN"/>
        </w:rPr>
        <w:t>钦保置业有限</w:t>
      </w:r>
      <w:r>
        <w:rPr>
          <w:rFonts w:hint="eastAsia" w:ascii="宋体" w:hAnsi="宋体" w:eastAsia="宋体" w:cs="宋体"/>
          <w:bCs/>
          <w:color w:val="auto"/>
          <w:szCs w:val="24"/>
          <w:highlight w:val="none"/>
          <w:u w:val="single"/>
        </w:rPr>
        <w:t>公司</w:t>
      </w:r>
    </w:p>
    <w:p w14:paraId="7C0D040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广西钦州市钦南区子材东大街与扬帆北大道辅路交叉口西360米阳光曼哈顿3座605房 </w:t>
      </w:r>
    </w:p>
    <w:p w14:paraId="34BAC019">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kern w:val="0"/>
          <w:sz w:val="24"/>
          <w:szCs w:val="24"/>
          <w:u w:val="single"/>
          <w:lang w:val="en-US" w:eastAsia="zh-CN" w:bidi="ar"/>
        </w:rPr>
        <w:t>0777-2361333</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古雁玲</w:t>
      </w:r>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33"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11"/>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合同签订后，服务单位收到编制报告所需的相关资料之日起，</w:t>
            </w:r>
            <w:r>
              <w:rPr>
                <w:rFonts w:hint="eastAsia" w:ascii="宋体" w:hAnsi="宋体" w:eastAsia="宋体" w:cs="宋体"/>
                <w:bCs/>
                <w:color w:val="auto"/>
                <w:szCs w:val="21"/>
                <w:highlight w:val="none"/>
                <w:lang w:val="en-US" w:eastAsia="zh-CN"/>
              </w:rPr>
              <w:t>10</w:t>
            </w:r>
            <w:r>
              <w:rPr>
                <w:rFonts w:ascii="宋体" w:hAnsi="宋体" w:eastAsia="宋体" w:cs="宋体"/>
                <w:bCs/>
                <w:color w:val="auto"/>
                <w:szCs w:val="21"/>
                <w:highlight w:val="none"/>
              </w:rPr>
              <w:t xml:space="preserve"> 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 w:val="21"/>
                <w:szCs w:val="21"/>
                <w:highlight w:val="none"/>
                <w:u w:val="none"/>
                <w:lang w:eastAsia="zh-CN"/>
              </w:rPr>
              <w:t>法律尽职调查</w:t>
            </w:r>
            <w:r>
              <w:rPr>
                <w:rFonts w:hint="eastAsia" w:ascii="宋体" w:hAnsi="宋体" w:eastAsia="宋体" w:cs="宋体"/>
                <w:bCs/>
                <w:color w:val="auto"/>
                <w:sz w:val="21"/>
                <w:szCs w:val="21"/>
                <w:highlight w:val="none"/>
                <w:u w:val="none"/>
                <w:lang w:val="en-US" w:eastAsia="zh-CN"/>
              </w:rPr>
              <w:t>及</w:t>
            </w:r>
            <w:r>
              <w:rPr>
                <w:rFonts w:hint="eastAsia" w:ascii="宋体" w:hAnsi="宋体" w:eastAsia="宋体" w:cs="宋体"/>
                <w:bCs/>
                <w:color w:val="auto"/>
                <w:sz w:val="21"/>
                <w:szCs w:val="21"/>
                <w:highlight w:val="none"/>
                <w:u w:val="none"/>
                <w:lang w:eastAsia="zh-CN"/>
              </w:rPr>
              <w:t>法律意见书服务</w:t>
            </w:r>
            <w:r>
              <w:rPr>
                <w:rFonts w:hint="eastAsia" w:ascii="宋体" w:hAnsi="宋体" w:eastAsia="宋体" w:cs="宋体"/>
                <w:bCs/>
                <w:color w:val="auto"/>
                <w:szCs w:val="21"/>
                <w:highlight w:val="none"/>
                <w:lang w:val="en-US" w:eastAsia="zh-CN"/>
              </w:rPr>
              <w:t>工作并出具成果</w:t>
            </w:r>
            <w:r>
              <w:rPr>
                <w:rFonts w:hint="eastAsia" w:ascii="宋体" w:hAnsi="宋体" w:eastAsia="宋体" w:cs="宋体"/>
                <w:bCs/>
                <w:color w:val="auto"/>
                <w:szCs w:val="21"/>
                <w:highlight w:val="none"/>
              </w:rPr>
              <w:t>并上报。</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2A72">
            <w:pPr>
              <w:pStyle w:val="11"/>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A44D">
            <w:pPr>
              <w:pStyle w:val="11"/>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1.本项目无预付款。乙方向甲方提交项目</w:t>
            </w:r>
            <w:r>
              <w:rPr>
                <w:rFonts w:hint="eastAsia" w:ascii="宋体" w:hAnsi="宋体" w:eastAsia="宋体" w:cs="宋体"/>
                <w:bCs/>
                <w:color w:val="auto"/>
                <w:sz w:val="21"/>
                <w:szCs w:val="21"/>
                <w:highlight w:val="none"/>
                <w:u w:val="none"/>
                <w:lang w:eastAsia="zh-CN"/>
              </w:rPr>
              <w:t>法律尽职调查</w:t>
            </w:r>
            <w:r>
              <w:rPr>
                <w:rFonts w:hint="eastAsia" w:ascii="宋体" w:hAnsi="宋体" w:eastAsia="宋体" w:cs="宋体"/>
                <w:bCs/>
                <w:color w:val="auto"/>
                <w:sz w:val="21"/>
                <w:szCs w:val="21"/>
                <w:highlight w:val="none"/>
                <w:u w:val="none"/>
                <w:lang w:val="en-US" w:eastAsia="zh-CN"/>
              </w:rPr>
              <w:t>及</w:t>
            </w:r>
            <w:r>
              <w:rPr>
                <w:rFonts w:hint="eastAsia" w:ascii="宋体" w:hAnsi="宋体" w:eastAsia="宋体" w:cs="宋体"/>
                <w:bCs/>
                <w:color w:val="auto"/>
                <w:sz w:val="21"/>
                <w:szCs w:val="21"/>
                <w:highlight w:val="none"/>
                <w:u w:val="none"/>
                <w:lang w:eastAsia="zh-CN"/>
              </w:rPr>
              <w:t>法律意见书</w:t>
            </w:r>
            <w:r>
              <w:rPr>
                <w:rFonts w:hint="eastAsia" w:ascii="宋体" w:hAnsi="宋体" w:eastAsia="宋体" w:cs="宋体"/>
                <w:bCs/>
                <w:color w:val="auto"/>
                <w:szCs w:val="21"/>
                <w:highlight w:val="none"/>
                <w:lang w:val="en-US" w:eastAsia="zh-CN"/>
              </w:rPr>
              <w:t>成果终稿</w:t>
            </w:r>
            <w:r>
              <w:rPr>
                <w:rFonts w:hint="eastAsia" w:ascii="宋体" w:hAnsi="宋体" w:eastAsia="宋体" w:cs="宋体"/>
                <w:bCs/>
                <w:color w:val="auto"/>
                <w:szCs w:val="21"/>
                <w:highlight w:val="none"/>
              </w:rPr>
              <w:t>并经甲方</w:t>
            </w:r>
            <w:r>
              <w:rPr>
                <w:rFonts w:hint="eastAsia" w:ascii="宋体" w:hAnsi="宋体" w:eastAsia="宋体" w:cs="宋体"/>
                <w:bCs/>
                <w:color w:val="auto"/>
                <w:szCs w:val="21"/>
                <w:highlight w:val="none"/>
                <w:lang w:val="en-US" w:eastAsia="zh-CN"/>
              </w:rPr>
              <w:t>审核</w:t>
            </w:r>
            <w:r>
              <w:rPr>
                <w:rFonts w:hint="eastAsia" w:ascii="宋体" w:hAnsi="宋体" w:eastAsia="宋体" w:cs="宋体"/>
                <w:bCs/>
                <w:color w:val="auto"/>
                <w:szCs w:val="21"/>
                <w:highlight w:val="none"/>
              </w:rPr>
              <w:t>合格后，</w:t>
            </w:r>
            <w:r>
              <w:rPr>
                <w:rFonts w:hint="eastAsia" w:ascii="宋体" w:hAnsi="宋体" w:eastAsia="宋体" w:cs="宋体"/>
                <w:bCs/>
                <w:color w:val="auto"/>
                <w:szCs w:val="21"/>
                <w:highlight w:val="none"/>
                <w:lang w:val="en-US" w:eastAsia="zh-CN"/>
              </w:rPr>
              <w:t>20</w:t>
            </w:r>
            <w:r>
              <w:rPr>
                <w:rFonts w:hint="eastAsia" w:ascii="宋体" w:hAnsi="宋体" w:eastAsia="宋体" w:cs="宋体"/>
                <w:bCs/>
                <w:color w:val="auto"/>
                <w:szCs w:val="21"/>
                <w:highlight w:val="none"/>
              </w:rPr>
              <w:t>个工作日内甲方向乙方支付合同金额的</w:t>
            </w:r>
            <w:r>
              <w:rPr>
                <w:rFonts w:hint="eastAsia" w:ascii="宋体" w:hAnsi="宋体" w:eastAsia="宋体" w:cs="宋体"/>
                <w:bCs/>
                <w:color w:val="auto"/>
                <w:szCs w:val="21"/>
                <w:highlight w:val="none"/>
                <w:lang w:val="en-US" w:eastAsia="zh-CN"/>
              </w:rPr>
              <w:t>100</w:t>
            </w:r>
            <w:r>
              <w:rPr>
                <w:rFonts w:hint="eastAsia" w:ascii="宋体" w:hAnsi="宋体" w:eastAsia="宋体" w:cs="宋体"/>
                <w:bCs/>
                <w:color w:val="auto"/>
                <w:szCs w:val="21"/>
                <w:highlight w:val="none"/>
              </w:rPr>
              <w:t>%。乙方应在甲方付款前提供合格、有效且等额发票给甲方。</w:t>
            </w:r>
          </w:p>
          <w:p w14:paraId="0C8597E9">
            <w:pPr>
              <w:pStyle w:val="11"/>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FE45">
            <w:pPr>
              <w:pStyle w:val="11"/>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4"/>
        <w:spacing w:after="312"/>
        <w:rPr>
          <w:rFonts w:hint="default"/>
          <w:color w:val="auto"/>
          <w:highlight w:val="none"/>
        </w:rPr>
      </w:pPr>
      <w:r>
        <w:rPr>
          <w:color w:val="auto"/>
          <w:highlight w:val="none"/>
        </w:rPr>
        <w:t>第二章  服务商须知</w:t>
      </w:r>
    </w:p>
    <w:p w14:paraId="3F1E1C5F">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FE6DFB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w:t>
            </w:r>
            <w:r>
              <w:rPr>
                <w:rFonts w:hint="eastAsia" w:hAnsi="宋体" w:cs="宋体"/>
                <w:bCs/>
                <w:color w:val="auto"/>
                <w:sz w:val="24"/>
                <w:szCs w:val="24"/>
                <w:highlight w:val="none"/>
                <w:lang w:val="en-US" w:eastAsia="zh-CN"/>
              </w:rPr>
              <w:t>钦保置业有限</w:t>
            </w:r>
            <w:r>
              <w:rPr>
                <w:rFonts w:hint="eastAsia" w:hAnsi="宋体" w:cs="宋体"/>
                <w:bCs/>
                <w:color w:val="auto"/>
                <w:sz w:val="24"/>
                <w:szCs w:val="24"/>
                <w:highlight w:val="none"/>
              </w:rPr>
              <w:t>公司</w:t>
            </w:r>
          </w:p>
          <w:p w14:paraId="5B35EDE7">
            <w:pPr>
              <w:pStyle w:val="13"/>
              <w:spacing w:line="360" w:lineRule="exact"/>
              <w:jc w:val="left"/>
              <w:rPr>
                <w:rFonts w:hAnsi="宋体" w:cs="宋体"/>
                <w:color w:val="auto"/>
                <w:highlight w:val="none"/>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eastAsia="zh-CN"/>
              </w:rPr>
              <w:t>：</w:t>
            </w:r>
            <w:r>
              <w:rPr>
                <w:rFonts w:hint="eastAsia" w:hAnsi="宋体" w:cs="宋体"/>
                <w:bCs/>
                <w:color w:val="auto"/>
                <w:kern w:val="2"/>
                <w:sz w:val="24"/>
                <w:szCs w:val="24"/>
                <w:highlight w:val="none"/>
                <w:lang w:val="en-US" w:eastAsia="zh-CN" w:bidi="ar"/>
              </w:rPr>
              <w:t>0777-2361333</w:t>
            </w:r>
            <w:r>
              <w:rPr>
                <w:rFonts w:hint="eastAsia" w:ascii="宋体" w:hAnsi="宋体" w:eastAsia="宋体" w:cs="宋体"/>
                <w:bCs/>
                <w:color w:val="auto"/>
                <w:sz w:val="24"/>
                <w:szCs w:val="24"/>
                <w:highlight w:val="none"/>
                <w:u w:val="none"/>
              </w:rPr>
              <w:t>（</w:t>
            </w:r>
            <w:r>
              <w:rPr>
                <w:rFonts w:hint="eastAsia" w:hAnsi="宋体" w:cs="宋体"/>
                <w:bCs/>
                <w:color w:val="auto"/>
                <w:sz w:val="24"/>
                <w:szCs w:val="24"/>
                <w:highlight w:val="none"/>
                <w:u w:val="none"/>
                <w:lang w:val="en-US" w:eastAsia="zh-CN"/>
              </w:rPr>
              <w:t>古雁玲</w:t>
            </w:r>
            <w:r>
              <w:rPr>
                <w:rFonts w:hint="eastAsia" w:ascii="宋体" w:hAnsi="宋体" w:eastAsia="宋体" w:cs="宋体"/>
                <w:bCs/>
                <w:color w:val="auto"/>
                <w:sz w:val="24"/>
                <w:szCs w:val="24"/>
                <w:highlight w:val="none"/>
                <w:u w:val="none"/>
              </w:rPr>
              <w:t>）</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2DC4DF02">
            <w:pPr>
              <w:spacing w:line="400" w:lineRule="exact"/>
              <w:rPr>
                <w:rFonts w:hAnsi="宋体" w:cs="宋体"/>
                <w:color w:val="auto"/>
                <w:highlight w:val="none"/>
              </w:rPr>
            </w:pPr>
            <w:r>
              <w:rPr>
                <w:rFonts w:hint="eastAsia" w:ascii="宋体" w:hAnsi="宋体" w:eastAsia="宋体" w:cs="宋体"/>
                <w:bCs/>
                <w:color w:val="auto"/>
                <w:sz w:val="24"/>
                <w:szCs w:val="24"/>
                <w:highlight w:val="none"/>
                <w:u w:val="single"/>
              </w:rPr>
              <w:t>对广西金石房地产开发有限公司开展法律尽职调查及法律意见书服务采购项目</w:t>
            </w:r>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42000.00</w:t>
            </w:r>
            <w:r>
              <w:rPr>
                <w:rFonts w:hint="eastAsia" w:ascii="宋体" w:hAnsi="宋体" w:eastAsia="宋体" w:cs="宋体"/>
                <w:bCs/>
                <w:color w:val="auto"/>
                <w:sz w:val="24"/>
                <w:szCs w:val="24"/>
                <w:highlight w:val="none"/>
              </w:rPr>
              <w:t>元）</w:t>
            </w:r>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4ECBF8E">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42000.00</w:t>
            </w:r>
            <w:r>
              <w:rPr>
                <w:rFonts w:hint="eastAsia" w:ascii="宋体" w:hAnsi="宋体" w:eastAsia="宋体" w:cs="宋体"/>
                <w:bCs/>
                <w:color w:val="auto"/>
                <w:sz w:val="24"/>
                <w:szCs w:val="24"/>
                <w:highlight w:val="none"/>
              </w:rPr>
              <w:t>元）</w:t>
            </w:r>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10E6D68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47CDD58B">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3FC64B4B">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3837D96">
            <w:pPr>
              <w:pStyle w:val="11"/>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9C7ABD7">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3228A86B">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170AE4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3AB1303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0B494EA2">
            <w:pPr>
              <w:spacing w:line="400" w:lineRule="exact"/>
              <w:jc w:val="left"/>
              <w:rPr>
                <w:rFonts w:hAnsi="宋体" w:cs="宋体"/>
                <w:color w:val="auto"/>
                <w:spacing w:val="6"/>
                <w:kern w:val="48"/>
                <w:highlight w:val="none"/>
              </w:rPr>
            </w:pP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3"/>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5"/>
        <w:spacing w:before="156"/>
        <w:jc w:val="both"/>
        <w:rPr>
          <w:rFonts w:hint="default"/>
          <w:color w:val="auto"/>
          <w:highlight w:val="none"/>
          <w:lang w:bidi="zh-CN"/>
        </w:rPr>
      </w:pPr>
    </w:p>
    <w:p w14:paraId="6232926F">
      <w:pPr>
        <w:pStyle w:val="45"/>
        <w:spacing w:before="156"/>
        <w:rPr>
          <w:rFonts w:hint="default"/>
          <w:color w:val="auto"/>
          <w:highlight w:val="none"/>
          <w:lang w:bidi="zh-CN"/>
        </w:rPr>
      </w:pPr>
      <w:r>
        <w:rPr>
          <w:color w:val="auto"/>
          <w:highlight w:val="none"/>
          <w:lang w:bidi="zh-CN"/>
        </w:rPr>
        <w:t>二、响应文件的编制</w:t>
      </w:r>
    </w:p>
    <w:p w14:paraId="66F67340">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4"/>
        <w:spacing w:after="312"/>
        <w:rPr>
          <w:rFonts w:hint="default"/>
          <w:color w:val="auto"/>
          <w:highlight w:val="none"/>
        </w:rPr>
      </w:pPr>
      <w:r>
        <w:rPr>
          <w:color w:val="auto"/>
          <w:highlight w:val="none"/>
        </w:rPr>
        <w:t>第三章 评审办法</w:t>
      </w:r>
    </w:p>
    <w:p w14:paraId="1FF936EA">
      <w:pPr>
        <w:pStyle w:val="46"/>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6"/>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6"/>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6"/>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p w14:paraId="28A3C45F">
      <w:pPr>
        <w:pStyle w:val="2"/>
        <w:rPr>
          <w:rFonts w:hint="eastAsia" w:ascii="宋体" w:hAnsi="宋体" w:eastAsia="宋体" w:cs="宋体"/>
          <w:color w:val="auto"/>
          <w:sz w:val="24"/>
          <w:szCs w:val="24"/>
          <w:highlight w:val="none"/>
          <w:lang w:bidi="zh-CN"/>
        </w:rPr>
      </w:pPr>
    </w:p>
    <w:p w14:paraId="3514BD9A">
      <w:pPr>
        <w:pStyle w:val="3"/>
        <w:rPr>
          <w:rFonts w:hint="eastAsia" w:ascii="宋体" w:hAnsi="宋体" w:eastAsia="宋体" w:cs="宋体"/>
          <w:color w:val="auto"/>
          <w:sz w:val="24"/>
          <w:szCs w:val="24"/>
          <w:highlight w:val="none"/>
          <w:lang w:bidi="zh-CN"/>
        </w:rPr>
      </w:pPr>
    </w:p>
    <w:tbl>
      <w:tblPr>
        <w:tblStyle w:val="25"/>
        <w:tblW w:w="8899" w:type="dxa"/>
        <w:tblInd w:w="93" w:type="dxa"/>
        <w:tblLayout w:type="autofit"/>
        <w:tblCellMar>
          <w:top w:w="0" w:type="dxa"/>
          <w:left w:w="108" w:type="dxa"/>
          <w:bottom w:w="0" w:type="dxa"/>
          <w:right w:w="108" w:type="dxa"/>
        </w:tblCellMar>
      </w:tblPr>
      <w:tblGrid>
        <w:gridCol w:w="1043"/>
        <w:gridCol w:w="846"/>
        <w:gridCol w:w="5683"/>
        <w:gridCol w:w="1327"/>
      </w:tblGrid>
      <w:tr w14:paraId="784037E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7889A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CDA495F">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6F3E1D6">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84C6FA">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162E4D7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4CC89F7">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3EC947D0">
        <w:tblPrEx>
          <w:tblCellMar>
            <w:top w:w="0" w:type="dxa"/>
            <w:left w:w="108" w:type="dxa"/>
            <w:bottom w:w="0" w:type="dxa"/>
            <w:right w:w="108" w:type="dxa"/>
          </w:tblCellMar>
        </w:tblPrEx>
        <w:trPr>
          <w:trHeight w:val="1040" w:hRule="atLeast"/>
        </w:trPr>
        <w:tc>
          <w:tcPr>
            <w:tcW w:w="1043" w:type="dxa"/>
            <w:vMerge w:val="restart"/>
            <w:tcBorders>
              <w:top w:val="single" w:color="auto" w:sz="4" w:space="0"/>
              <w:left w:val="single" w:color="auto" w:sz="4" w:space="0"/>
              <w:bottom w:val="single" w:color="auto" w:sz="4" w:space="0"/>
              <w:right w:val="single" w:color="auto" w:sz="4" w:space="0"/>
            </w:tcBorders>
            <w:vAlign w:val="center"/>
          </w:tcPr>
          <w:p w14:paraId="3A25713A">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w:t>
            </w:r>
            <w:r>
              <w:rPr>
                <w:rFonts w:hint="eastAsia" w:ascii="宋体" w:hAnsi="宋体" w:eastAsia="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0C605FE7">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35</w:t>
            </w:r>
          </w:p>
        </w:tc>
        <w:tc>
          <w:tcPr>
            <w:tcW w:w="5683" w:type="dxa"/>
            <w:tcBorders>
              <w:top w:val="single" w:color="000000" w:sz="4" w:space="0"/>
              <w:left w:val="single" w:color="auto" w:sz="4" w:space="0"/>
              <w:bottom w:val="single" w:color="000000" w:sz="4" w:space="0"/>
              <w:right w:val="single" w:color="auto" w:sz="4" w:space="0"/>
            </w:tcBorders>
            <w:vAlign w:val="center"/>
          </w:tcPr>
          <w:p w14:paraId="3E5D612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auto" w:sz="4" w:space="0"/>
              <w:left w:val="single" w:color="auto" w:sz="4" w:space="0"/>
              <w:bottom w:val="single" w:color="auto" w:sz="4" w:space="0"/>
              <w:right w:val="single" w:color="auto" w:sz="4" w:space="0"/>
            </w:tcBorders>
            <w:vAlign w:val="center"/>
          </w:tcPr>
          <w:p w14:paraId="124D6D0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C61A86F">
        <w:tblPrEx>
          <w:tblCellMar>
            <w:top w:w="0" w:type="dxa"/>
            <w:left w:w="108" w:type="dxa"/>
            <w:bottom w:w="0" w:type="dxa"/>
            <w:right w:w="108" w:type="dxa"/>
          </w:tblCellMar>
        </w:tblPrEx>
        <w:trPr>
          <w:trHeight w:val="920" w:hRule="atLeast"/>
        </w:trPr>
        <w:tc>
          <w:tcPr>
            <w:tcW w:w="1043" w:type="dxa"/>
            <w:vMerge w:val="continue"/>
            <w:tcBorders>
              <w:top w:val="single" w:color="auto" w:sz="4" w:space="0"/>
              <w:left w:val="single" w:color="auto" w:sz="4" w:space="0"/>
              <w:bottom w:val="single" w:color="auto" w:sz="4" w:space="0"/>
              <w:right w:val="single" w:color="auto" w:sz="4" w:space="0"/>
            </w:tcBorders>
            <w:vAlign w:val="center"/>
          </w:tcPr>
          <w:p w14:paraId="682853E2">
            <w:pPr>
              <w:jc w:val="center"/>
              <w:rPr>
                <w:rFonts w:ascii="宋体" w:hAnsi="宋体" w:eastAsia="宋体" w:cs="宋体"/>
                <w:color w:val="auto"/>
                <w:sz w:val="22"/>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24985B5">
            <w:pPr>
              <w:jc w:val="center"/>
              <w:rPr>
                <w:rFonts w:ascii="宋体" w:hAnsi="宋体" w:eastAsia="宋体" w:cs="宋体"/>
                <w:color w:val="auto"/>
                <w:sz w:val="22"/>
                <w:highlight w:val="none"/>
              </w:rPr>
            </w:pPr>
          </w:p>
        </w:tc>
        <w:tc>
          <w:tcPr>
            <w:tcW w:w="5683" w:type="dxa"/>
            <w:tcBorders>
              <w:top w:val="single" w:color="000000" w:sz="4" w:space="0"/>
              <w:left w:val="single" w:color="auto" w:sz="4" w:space="0"/>
              <w:bottom w:val="single" w:color="000000" w:sz="4" w:space="0"/>
              <w:right w:val="single" w:color="auto" w:sz="4" w:space="0"/>
            </w:tcBorders>
            <w:vAlign w:val="center"/>
          </w:tcPr>
          <w:p w14:paraId="318EBE55">
            <w:pPr>
              <w:pStyle w:val="21"/>
              <w:widowControl/>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w:t>
            </w:r>
            <w:r>
              <w:rPr>
                <w:rFonts w:hint="eastAsia" w:ascii="宋体" w:hAnsi="宋体" w:eastAsia="宋体" w:cs="宋体"/>
                <w:color w:val="auto"/>
                <w:kern w:val="2"/>
                <w:szCs w:val="24"/>
                <w:highlight w:val="none"/>
                <w:lang w:val="en-US" w:bidi="zh-CN"/>
              </w:rPr>
              <w:t>3—35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auto" w:sz="4" w:space="0"/>
              <w:left w:val="single" w:color="auto" w:sz="4" w:space="0"/>
              <w:bottom w:val="single" w:color="auto" w:sz="4" w:space="0"/>
              <w:right w:val="single" w:color="auto" w:sz="4" w:space="0"/>
            </w:tcBorders>
            <w:vAlign w:val="center"/>
          </w:tcPr>
          <w:p w14:paraId="38C4BAAD">
            <w:pPr>
              <w:jc w:val="center"/>
              <w:rPr>
                <w:rFonts w:ascii="宋体" w:hAnsi="宋体" w:eastAsia="宋体" w:cs="宋体"/>
                <w:color w:val="auto"/>
                <w:sz w:val="22"/>
                <w:highlight w:val="none"/>
              </w:rPr>
            </w:pPr>
          </w:p>
        </w:tc>
      </w:tr>
      <w:tr w14:paraId="7600E988">
        <w:tblPrEx>
          <w:tblCellMar>
            <w:top w:w="0" w:type="dxa"/>
            <w:left w:w="108" w:type="dxa"/>
            <w:bottom w:w="0" w:type="dxa"/>
            <w:right w:w="108" w:type="dxa"/>
          </w:tblCellMar>
        </w:tblPrEx>
        <w:trPr>
          <w:trHeight w:val="90" w:hRule="atLeast"/>
        </w:trPr>
        <w:tc>
          <w:tcPr>
            <w:tcW w:w="1043" w:type="dxa"/>
            <w:vMerge w:val="continue"/>
            <w:tcBorders>
              <w:top w:val="single" w:color="auto" w:sz="4" w:space="0"/>
              <w:left w:val="single" w:color="auto" w:sz="4" w:space="0"/>
              <w:bottom w:val="single" w:color="auto" w:sz="4" w:space="0"/>
              <w:right w:val="single" w:color="auto" w:sz="4" w:space="0"/>
            </w:tcBorders>
            <w:vAlign w:val="center"/>
          </w:tcPr>
          <w:p w14:paraId="35A6698D">
            <w:pPr>
              <w:jc w:val="center"/>
              <w:rPr>
                <w:rFonts w:ascii="宋体" w:hAnsi="宋体" w:eastAsia="宋体" w:cs="宋体"/>
                <w:color w:val="auto"/>
                <w:sz w:val="22"/>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2FC9720">
            <w:pPr>
              <w:jc w:val="center"/>
              <w:rPr>
                <w:rFonts w:ascii="宋体" w:hAnsi="宋体" w:eastAsia="宋体" w:cs="宋体"/>
                <w:color w:val="auto"/>
                <w:sz w:val="22"/>
                <w:highlight w:val="none"/>
              </w:rPr>
            </w:pPr>
          </w:p>
        </w:tc>
        <w:tc>
          <w:tcPr>
            <w:tcW w:w="5683" w:type="dxa"/>
            <w:tcBorders>
              <w:top w:val="single" w:color="000000" w:sz="4" w:space="0"/>
              <w:left w:val="single" w:color="auto" w:sz="4" w:space="0"/>
              <w:bottom w:val="single" w:color="000000" w:sz="4" w:space="0"/>
              <w:right w:val="single" w:color="auto" w:sz="4" w:space="0"/>
            </w:tcBorders>
            <w:vAlign w:val="center"/>
          </w:tcPr>
          <w:p w14:paraId="784C223A">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2</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auto" w:sz="4" w:space="0"/>
              <w:left w:val="single" w:color="auto" w:sz="4" w:space="0"/>
              <w:bottom w:val="single" w:color="auto" w:sz="4" w:space="0"/>
              <w:right w:val="single" w:color="auto" w:sz="4" w:space="0"/>
            </w:tcBorders>
            <w:vAlign w:val="center"/>
          </w:tcPr>
          <w:p w14:paraId="1B6BAC1E">
            <w:pPr>
              <w:jc w:val="center"/>
              <w:rPr>
                <w:rFonts w:ascii="宋体" w:hAnsi="宋体" w:eastAsia="宋体" w:cs="宋体"/>
                <w:color w:val="auto"/>
                <w:sz w:val="22"/>
                <w:highlight w:val="none"/>
              </w:rPr>
            </w:pPr>
          </w:p>
        </w:tc>
      </w:tr>
      <w:tr w14:paraId="737BDC80">
        <w:tblPrEx>
          <w:tblCellMar>
            <w:top w:w="0" w:type="dxa"/>
            <w:left w:w="108" w:type="dxa"/>
            <w:bottom w:w="0" w:type="dxa"/>
            <w:right w:w="108" w:type="dxa"/>
          </w:tblCellMar>
        </w:tblPrEx>
        <w:trPr>
          <w:trHeight w:val="920" w:hRule="atLeast"/>
        </w:trPr>
        <w:tc>
          <w:tcPr>
            <w:tcW w:w="1043" w:type="dxa"/>
            <w:vMerge w:val="continue"/>
            <w:tcBorders>
              <w:top w:val="single" w:color="auto" w:sz="4" w:space="0"/>
              <w:left w:val="single" w:color="auto" w:sz="4" w:space="0"/>
              <w:bottom w:val="single" w:color="auto" w:sz="4" w:space="0"/>
              <w:right w:val="single" w:color="auto" w:sz="4" w:space="0"/>
            </w:tcBorders>
            <w:vAlign w:val="center"/>
          </w:tcPr>
          <w:p w14:paraId="48DE263D">
            <w:pPr>
              <w:jc w:val="center"/>
              <w:rPr>
                <w:rFonts w:ascii="宋体" w:hAnsi="宋体" w:eastAsia="宋体" w:cs="宋体"/>
                <w:color w:val="auto"/>
                <w:sz w:val="22"/>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31714B6">
            <w:pPr>
              <w:jc w:val="center"/>
              <w:rPr>
                <w:rFonts w:ascii="宋体" w:hAnsi="宋体" w:eastAsia="宋体" w:cs="宋体"/>
                <w:color w:val="auto"/>
                <w:sz w:val="22"/>
                <w:highlight w:val="none"/>
              </w:rPr>
            </w:pPr>
          </w:p>
        </w:tc>
        <w:tc>
          <w:tcPr>
            <w:tcW w:w="5683" w:type="dxa"/>
            <w:tcBorders>
              <w:top w:val="single" w:color="000000" w:sz="4" w:space="0"/>
              <w:left w:val="single" w:color="auto" w:sz="4" w:space="0"/>
              <w:bottom w:val="single" w:color="000000" w:sz="4" w:space="0"/>
              <w:right w:val="single" w:color="auto" w:sz="4" w:space="0"/>
            </w:tcBorders>
            <w:vAlign w:val="center"/>
          </w:tcPr>
          <w:p w14:paraId="59CA3D4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分）：服务方案基本满足采购需求，内容较为简单；能根据采购人要求，量身定做服务团队和服务模式。服务质量保障措施不能全面满足采购文件要求。</w:t>
            </w:r>
          </w:p>
        </w:tc>
        <w:tc>
          <w:tcPr>
            <w:tcW w:w="1327" w:type="dxa"/>
            <w:vMerge w:val="continue"/>
            <w:tcBorders>
              <w:top w:val="single" w:color="auto" w:sz="4" w:space="0"/>
              <w:left w:val="single" w:color="auto" w:sz="4" w:space="0"/>
              <w:bottom w:val="single" w:color="auto" w:sz="4" w:space="0"/>
              <w:right w:val="single" w:color="auto" w:sz="4" w:space="0"/>
            </w:tcBorders>
            <w:vAlign w:val="center"/>
          </w:tcPr>
          <w:p w14:paraId="23D50DFA">
            <w:pPr>
              <w:jc w:val="center"/>
              <w:rPr>
                <w:rFonts w:ascii="宋体" w:hAnsi="宋体" w:eastAsia="宋体" w:cs="宋体"/>
                <w:color w:val="auto"/>
                <w:sz w:val="22"/>
                <w:highlight w:val="none"/>
              </w:rPr>
            </w:pPr>
          </w:p>
        </w:tc>
      </w:tr>
      <w:tr w14:paraId="23666A95">
        <w:tblPrEx>
          <w:tblCellMar>
            <w:top w:w="0" w:type="dxa"/>
            <w:left w:w="108" w:type="dxa"/>
            <w:bottom w:w="0" w:type="dxa"/>
            <w:right w:w="108" w:type="dxa"/>
          </w:tblCellMar>
        </w:tblPrEx>
        <w:trPr>
          <w:trHeight w:val="920" w:hRule="atLeast"/>
        </w:trPr>
        <w:tc>
          <w:tcPr>
            <w:tcW w:w="1043" w:type="dxa"/>
            <w:vMerge w:val="restart"/>
            <w:tcBorders>
              <w:top w:val="single" w:color="auto" w:sz="4" w:space="0"/>
              <w:left w:val="single" w:color="000000" w:sz="4" w:space="0"/>
              <w:bottom w:val="single" w:color="auto" w:sz="4" w:space="0"/>
              <w:right w:val="single" w:color="auto" w:sz="4" w:space="0"/>
            </w:tcBorders>
            <w:vAlign w:val="center"/>
          </w:tcPr>
          <w:p w14:paraId="4D97FD6A">
            <w:pPr>
              <w:jc w:val="center"/>
              <w:rPr>
                <w:rFonts w:hint="default" w:ascii="宋体" w:hAnsi="宋体" w:eastAsia="宋体" w:cs="宋体"/>
                <w:color w:val="auto"/>
                <w:sz w:val="22"/>
                <w:highlight w:val="none"/>
                <w:lang w:val="en-US" w:eastAsia="zh-CN"/>
              </w:rPr>
            </w:pPr>
            <w:r>
              <w:rPr>
                <w:rFonts w:hint="eastAsia" w:ascii="宋体" w:hAnsi="宋体" w:eastAsia="宋体" w:cs="宋体"/>
                <w:b/>
                <w:bCs/>
                <w:color w:val="auto"/>
                <w:kern w:val="0"/>
                <w:sz w:val="22"/>
                <w:highlight w:val="none"/>
                <w:lang w:eastAsia="zh-CN"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eastAsia="zh-CN" w:bidi="ar"/>
              </w:rPr>
              <w:t>）</w:t>
            </w:r>
            <w:r>
              <w:rPr>
                <w:rFonts w:hint="eastAsia" w:ascii="宋体" w:hAnsi="宋体" w:eastAsia="宋体" w:cs="宋体"/>
                <w:b/>
                <w:bCs/>
                <w:color w:val="auto"/>
                <w:kern w:val="0"/>
                <w:sz w:val="22"/>
                <w:highlight w:val="none"/>
                <w:lang w:val="en-US" w:eastAsia="zh-CN" w:bidi="ar"/>
              </w:rPr>
              <w:t>拟投入项目人员配置</w:t>
            </w:r>
          </w:p>
        </w:tc>
        <w:tc>
          <w:tcPr>
            <w:tcW w:w="846" w:type="dxa"/>
            <w:vMerge w:val="restart"/>
            <w:tcBorders>
              <w:top w:val="single" w:color="auto" w:sz="4" w:space="0"/>
              <w:left w:val="single" w:color="auto" w:sz="4" w:space="0"/>
              <w:right w:val="single" w:color="auto" w:sz="4" w:space="0"/>
            </w:tcBorders>
            <w:vAlign w:val="center"/>
          </w:tcPr>
          <w:p w14:paraId="1486ECB1">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20</w:t>
            </w:r>
          </w:p>
        </w:tc>
        <w:tc>
          <w:tcPr>
            <w:tcW w:w="5683" w:type="dxa"/>
            <w:tcBorders>
              <w:top w:val="single" w:color="000000" w:sz="4" w:space="0"/>
              <w:left w:val="single" w:color="auto" w:sz="4" w:space="0"/>
              <w:bottom w:val="single" w:color="000000" w:sz="4" w:space="0"/>
              <w:right w:val="single" w:color="000000" w:sz="4" w:space="0"/>
            </w:tcBorders>
            <w:vAlign w:val="center"/>
          </w:tcPr>
          <w:p w14:paraId="5F51B9D3">
            <w:pPr>
              <w:widowControl/>
              <w:jc w:val="left"/>
              <w:textAlignment w:val="center"/>
              <w:rPr>
                <w:rFonts w:hint="eastAsia"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拟投入本服务项目的</w:t>
            </w:r>
            <w:r>
              <w:rPr>
                <w:rFonts w:hint="eastAsia" w:ascii="宋体" w:hAnsi="宋体" w:eastAsia="宋体" w:cs="宋体"/>
                <w:color w:val="auto"/>
                <w:sz w:val="24"/>
                <w:szCs w:val="24"/>
                <w:highlight w:val="none"/>
                <w:lang w:bidi="zh-CN"/>
              </w:rPr>
              <w:t>编制</w:t>
            </w:r>
            <w:r>
              <w:rPr>
                <w:rFonts w:ascii="宋体" w:hAnsi="宋体" w:eastAsia="宋体" w:cs="宋体"/>
                <w:color w:val="auto"/>
                <w:sz w:val="24"/>
                <w:szCs w:val="24"/>
                <w:highlight w:val="none"/>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highlight w:val="none"/>
                <w:lang w:val="en-US" w:bidi="zh-CN"/>
              </w:rPr>
              <w:t>0</w:t>
            </w:r>
            <w:r>
              <w:rPr>
                <w:rFonts w:ascii="宋体" w:hAnsi="宋体" w:eastAsia="宋体" w:cs="宋体"/>
                <w:color w:val="auto"/>
                <w:sz w:val="24"/>
                <w:szCs w:val="24"/>
                <w:highlight w:val="none"/>
                <w:lang w:bidi="zh-CN"/>
              </w:rPr>
              <w:t>分。</w:t>
            </w:r>
          </w:p>
        </w:tc>
        <w:tc>
          <w:tcPr>
            <w:tcW w:w="1327" w:type="dxa"/>
            <w:vMerge w:val="restart"/>
            <w:tcBorders>
              <w:top w:val="single" w:color="auto" w:sz="4" w:space="0"/>
              <w:left w:val="single" w:color="000000" w:sz="4" w:space="0"/>
              <w:bottom w:val="single" w:color="auto" w:sz="4" w:space="0"/>
              <w:right w:val="single" w:color="000000" w:sz="4" w:space="0"/>
            </w:tcBorders>
            <w:vAlign w:val="center"/>
          </w:tcPr>
          <w:p w14:paraId="665BFEDB">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0-20</w:t>
            </w:r>
          </w:p>
        </w:tc>
      </w:tr>
      <w:tr w14:paraId="466B5B5F">
        <w:tblPrEx>
          <w:tblCellMar>
            <w:top w:w="0" w:type="dxa"/>
            <w:left w:w="108" w:type="dxa"/>
            <w:bottom w:w="0" w:type="dxa"/>
            <w:right w:w="108" w:type="dxa"/>
          </w:tblCellMar>
        </w:tblPrEx>
        <w:trPr>
          <w:trHeight w:val="1260" w:hRule="atLeast"/>
        </w:trPr>
        <w:tc>
          <w:tcPr>
            <w:tcW w:w="1043" w:type="dxa"/>
            <w:vMerge w:val="continue"/>
            <w:tcBorders>
              <w:top w:val="single" w:color="auto" w:sz="4" w:space="0"/>
              <w:left w:val="single" w:color="000000" w:sz="4" w:space="0"/>
              <w:bottom w:val="single" w:color="auto" w:sz="4" w:space="0"/>
              <w:right w:val="single" w:color="auto" w:sz="4" w:space="0"/>
            </w:tcBorders>
            <w:vAlign w:val="center"/>
          </w:tcPr>
          <w:p w14:paraId="17A16D50">
            <w:pPr>
              <w:jc w:val="center"/>
              <w:rPr>
                <w:rFonts w:ascii="宋体" w:hAnsi="宋体" w:eastAsia="宋体" w:cs="宋体"/>
                <w:color w:val="auto"/>
                <w:sz w:val="22"/>
                <w:highlight w:val="none"/>
              </w:rPr>
            </w:pPr>
          </w:p>
        </w:tc>
        <w:tc>
          <w:tcPr>
            <w:tcW w:w="846" w:type="dxa"/>
            <w:vMerge w:val="continue"/>
            <w:tcBorders>
              <w:left w:val="single" w:color="auto" w:sz="4" w:space="0"/>
              <w:bottom w:val="single" w:color="000000" w:sz="4" w:space="0"/>
              <w:right w:val="single" w:color="auto" w:sz="4" w:space="0"/>
            </w:tcBorders>
            <w:vAlign w:val="center"/>
          </w:tcPr>
          <w:p w14:paraId="6F719AB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80B935C">
            <w:pPr>
              <w:widowControl/>
              <w:jc w:val="left"/>
              <w:textAlignment w:val="center"/>
              <w:rPr>
                <w:rFonts w:hint="default" w:ascii="宋体" w:hAnsi="宋体" w:eastAsia="宋体" w:cs="宋体"/>
                <w:b w:val="0"/>
                <w:bCs w:val="0"/>
                <w:color w:val="auto"/>
                <w:sz w:val="24"/>
                <w:szCs w:val="24"/>
                <w:highlight w:val="none"/>
                <w:lang w:bidi="zh-CN"/>
              </w:rPr>
            </w:pPr>
            <w:r>
              <w:rPr>
                <w:rFonts w:hint="eastAsia" w:ascii="宋体" w:hAnsi="宋体" w:eastAsia="宋体" w:cs="宋体"/>
                <w:b w:val="0"/>
                <w:bCs w:val="0"/>
                <w:color w:val="auto"/>
                <w:sz w:val="24"/>
                <w:szCs w:val="24"/>
                <w:highlight w:val="none"/>
                <w:lang w:bidi="zh-CN"/>
              </w:rPr>
              <w:t>（</w:t>
            </w:r>
            <w:r>
              <w:rPr>
                <w:rFonts w:hint="eastAsia" w:ascii="宋体" w:hAnsi="宋体" w:eastAsia="宋体" w:cs="宋体"/>
                <w:b w:val="0"/>
                <w:bCs w:val="0"/>
                <w:color w:val="auto"/>
                <w:sz w:val="24"/>
                <w:szCs w:val="24"/>
                <w:highlight w:val="none"/>
                <w:lang w:val="en-US" w:bidi="zh-CN"/>
              </w:rPr>
              <w:t>一</w:t>
            </w:r>
            <w:r>
              <w:rPr>
                <w:rFonts w:hint="eastAsia" w:ascii="宋体" w:hAnsi="宋体" w:eastAsia="宋体" w:cs="宋体"/>
                <w:b w:val="0"/>
                <w:bCs w:val="0"/>
                <w:color w:val="auto"/>
                <w:sz w:val="24"/>
                <w:szCs w:val="24"/>
                <w:highlight w:val="none"/>
                <w:lang w:bidi="zh-CN"/>
              </w:rPr>
              <w:t>）</w:t>
            </w:r>
            <w:r>
              <w:rPr>
                <w:rFonts w:hint="default" w:ascii="宋体" w:hAnsi="宋体" w:eastAsia="宋体" w:cs="宋体"/>
                <w:b w:val="0"/>
                <w:bCs w:val="0"/>
                <w:color w:val="auto"/>
                <w:sz w:val="24"/>
                <w:szCs w:val="24"/>
                <w:highlight w:val="none"/>
                <w:lang w:bidi="zh-CN"/>
              </w:rPr>
              <w:t>项目负责人（此项满分10分）：</w:t>
            </w:r>
          </w:p>
          <w:p w14:paraId="01F3672E">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a.项目负责人具备律师执业资格，执业年限满8年及以上，近3年主导过≥5个同类法律尽职调查专项项目：10 分；近3年主导同类法律尽职调查专项项目3</w:t>
            </w:r>
            <w:r>
              <w:rPr>
                <w:rFonts w:hint="eastAsia" w:ascii="宋体" w:hAnsi="宋体" w:eastAsia="宋体" w:cs="宋体"/>
                <w:b w:val="0"/>
                <w:bCs w:val="0"/>
                <w:color w:val="auto"/>
                <w:sz w:val="24"/>
                <w:szCs w:val="24"/>
                <w:highlight w:val="none"/>
                <w:lang w:bidi="zh-CN"/>
              </w:rPr>
              <w:t>个以上</w:t>
            </w:r>
            <w:r>
              <w:rPr>
                <w:rFonts w:hint="default" w:ascii="宋体" w:hAnsi="宋体" w:eastAsia="宋体" w:cs="宋体"/>
                <w:b w:val="0"/>
                <w:bCs w:val="0"/>
                <w:color w:val="auto"/>
                <w:sz w:val="24"/>
                <w:szCs w:val="24"/>
                <w:highlight w:val="none"/>
                <w:lang w:bidi="zh-CN"/>
              </w:rPr>
              <w:t>不足5个的：8分；近3年主导同类法律尽职调查专项项目不足3个的：7分。</w:t>
            </w:r>
          </w:p>
          <w:p w14:paraId="4A2218B7">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b.项目负责人具备律师执业资格，执业年限已满5年不满8年，近3年主导过≥5个同类法律尽职调查专项项目：6分；近3年主导同类法律尽职调查专项项目3以上不足5个的：5分；近3年主导同类法律尽职调查专项项目不足3个的：4分。</w:t>
            </w:r>
          </w:p>
          <w:p w14:paraId="28A68BCB">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c.项目负责人具备律师执业资格，执业年限已满3年不满5年，近3年主导过≥5个同类法律尽职调查专项项目：3分；近3年主导同类法律尽职调查专项项目3以上不足5个的：2分；近3年主导同类法律尽职调查专项项目不足3个的：1分。</w:t>
            </w:r>
          </w:p>
          <w:p w14:paraId="5D0BC3A7">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d.项目负责人具备律师执业资格，执业年限不满3年或团队无相关专业背景或项目经验：0分。</w:t>
            </w:r>
          </w:p>
          <w:p w14:paraId="02BF944F">
            <w:pPr>
              <w:pStyle w:val="2"/>
              <w:rPr>
                <w:rFonts w:hint="default"/>
                <w:color w:val="auto"/>
              </w:rPr>
            </w:pPr>
          </w:p>
          <w:p w14:paraId="5F377CD1">
            <w:pPr>
              <w:widowControl/>
              <w:jc w:val="left"/>
              <w:textAlignment w:val="center"/>
              <w:rPr>
                <w:rFonts w:hint="default" w:ascii="宋体" w:hAnsi="宋体" w:eastAsia="宋体" w:cs="宋体"/>
                <w:b w:val="0"/>
                <w:bCs w:val="0"/>
                <w:color w:val="auto"/>
                <w:sz w:val="24"/>
                <w:szCs w:val="24"/>
                <w:highlight w:val="none"/>
                <w:lang w:bidi="zh-CN"/>
              </w:rPr>
            </w:pPr>
            <w:r>
              <w:rPr>
                <w:rFonts w:hint="eastAsia" w:ascii="宋体" w:hAnsi="宋体" w:eastAsia="宋体" w:cs="宋体"/>
                <w:b w:val="0"/>
                <w:bCs w:val="0"/>
                <w:color w:val="auto"/>
                <w:sz w:val="24"/>
                <w:szCs w:val="24"/>
                <w:highlight w:val="none"/>
                <w:lang w:bidi="zh-CN"/>
              </w:rPr>
              <w:t>（</w:t>
            </w:r>
            <w:r>
              <w:rPr>
                <w:rFonts w:hint="eastAsia" w:ascii="宋体" w:hAnsi="宋体" w:eastAsia="宋体" w:cs="宋体"/>
                <w:b w:val="0"/>
                <w:bCs w:val="0"/>
                <w:color w:val="auto"/>
                <w:sz w:val="24"/>
                <w:szCs w:val="24"/>
                <w:highlight w:val="none"/>
                <w:lang w:val="en-US" w:bidi="zh-CN"/>
              </w:rPr>
              <w:t>二</w:t>
            </w:r>
            <w:r>
              <w:rPr>
                <w:rFonts w:hint="eastAsia" w:ascii="宋体" w:hAnsi="宋体" w:eastAsia="宋体" w:cs="宋体"/>
                <w:b w:val="0"/>
                <w:bCs w:val="0"/>
                <w:color w:val="auto"/>
                <w:sz w:val="24"/>
                <w:szCs w:val="24"/>
                <w:highlight w:val="none"/>
                <w:lang w:bidi="zh-CN"/>
              </w:rPr>
              <w:t>）</w:t>
            </w:r>
            <w:r>
              <w:rPr>
                <w:rFonts w:hint="default" w:ascii="宋体" w:hAnsi="宋体" w:eastAsia="宋体" w:cs="宋体"/>
                <w:b w:val="0"/>
                <w:bCs w:val="0"/>
                <w:color w:val="auto"/>
                <w:sz w:val="24"/>
                <w:szCs w:val="24"/>
                <w:highlight w:val="none"/>
                <w:lang w:bidi="zh-CN"/>
              </w:rPr>
              <w:t>项目组成员（此项满分10分）：</w:t>
            </w:r>
          </w:p>
          <w:p w14:paraId="148B5FF7">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a.拟投入本项目成员具备律师执业资格，执业满5年以上，每人得3分；此项满分6分。</w:t>
            </w:r>
          </w:p>
          <w:p w14:paraId="13863AEF">
            <w:pPr>
              <w:widowControl/>
              <w:jc w:val="left"/>
              <w:textAlignment w:val="center"/>
              <w:rPr>
                <w:rFonts w:hint="default" w:ascii="宋体" w:hAnsi="宋体" w:eastAsia="宋体" w:cs="宋体"/>
                <w:b w:val="0"/>
                <w:bCs w:val="0"/>
                <w:color w:val="auto"/>
                <w:sz w:val="24"/>
                <w:szCs w:val="24"/>
                <w:highlight w:val="none"/>
                <w:lang w:bidi="zh-CN"/>
              </w:rPr>
            </w:pPr>
            <w:r>
              <w:rPr>
                <w:rFonts w:hint="default" w:ascii="宋体" w:hAnsi="宋体" w:eastAsia="宋体" w:cs="宋体"/>
                <w:b w:val="0"/>
                <w:bCs w:val="0"/>
                <w:color w:val="auto"/>
                <w:sz w:val="24"/>
                <w:szCs w:val="24"/>
                <w:highlight w:val="none"/>
                <w:lang w:bidi="zh-CN"/>
              </w:rPr>
              <w:t>b.拟投入本项目成员具备律师执业资格，执业满2年以上，每人得2分；此项满分4分。</w:t>
            </w:r>
          </w:p>
          <w:p w14:paraId="459D196F">
            <w:pPr>
              <w:widowControl/>
              <w:jc w:val="left"/>
              <w:textAlignment w:val="center"/>
              <w:rPr>
                <w:rFonts w:hint="default" w:ascii="宋体" w:hAnsi="宋体" w:eastAsia="宋体" w:cs="宋体"/>
                <w:b w:val="0"/>
                <w:bCs w:val="0"/>
                <w:color w:val="auto"/>
                <w:kern w:val="2"/>
                <w:sz w:val="24"/>
                <w:szCs w:val="24"/>
                <w:highlight w:val="none"/>
                <w:lang w:bidi="zh-CN"/>
              </w:rPr>
            </w:pPr>
            <w:r>
              <w:rPr>
                <w:rFonts w:hint="default" w:ascii="宋体" w:hAnsi="宋体" w:eastAsia="宋体" w:cs="宋体"/>
                <w:b w:val="0"/>
                <w:bCs w:val="0"/>
                <w:color w:val="auto"/>
                <w:sz w:val="24"/>
                <w:szCs w:val="24"/>
                <w:highlight w:val="none"/>
                <w:lang w:bidi="zh-CN"/>
              </w:rPr>
              <w:t>注：人员证明材料需提供对应律师执业资格证书复印件以及供应商为其缴纳社保的证明（近半年连续3个月社保），方可计分。</w:t>
            </w:r>
          </w:p>
        </w:tc>
        <w:tc>
          <w:tcPr>
            <w:tcW w:w="1327" w:type="dxa"/>
            <w:vMerge w:val="continue"/>
            <w:tcBorders>
              <w:top w:val="single" w:color="auto" w:sz="4" w:space="0"/>
              <w:left w:val="single" w:color="000000" w:sz="4" w:space="0"/>
              <w:bottom w:val="single" w:color="auto" w:sz="4" w:space="0"/>
              <w:right w:val="single" w:color="000000" w:sz="4" w:space="0"/>
            </w:tcBorders>
            <w:vAlign w:val="center"/>
          </w:tcPr>
          <w:p w14:paraId="1661FDE9">
            <w:pPr>
              <w:widowControl/>
              <w:jc w:val="center"/>
              <w:textAlignment w:val="center"/>
              <w:rPr>
                <w:rFonts w:ascii="宋体" w:hAnsi="宋体" w:eastAsia="宋体" w:cs="宋体"/>
                <w:color w:val="auto"/>
                <w:sz w:val="22"/>
                <w:highlight w:val="none"/>
              </w:rPr>
            </w:pPr>
          </w:p>
        </w:tc>
      </w:tr>
      <w:tr w14:paraId="4471F35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143D453">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38BEA05B">
        <w:tblPrEx>
          <w:tblCellMar>
            <w:top w:w="0" w:type="dxa"/>
            <w:left w:w="108" w:type="dxa"/>
            <w:bottom w:w="0" w:type="dxa"/>
            <w:right w:w="108" w:type="dxa"/>
          </w:tblCellMar>
        </w:tblPrEx>
        <w:trPr>
          <w:trHeight w:val="1508"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618AF57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28728BF">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096B5342">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val="en-US" w:bidi="zh-CN"/>
              </w:rPr>
              <w:t>满足供应商资格要求后，</w:t>
            </w:r>
            <w:r>
              <w:rPr>
                <w:rFonts w:hint="default" w:ascii="宋体" w:hAnsi="宋体" w:eastAsia="宋体" w:cs="宋体"/>
                <w:color w:val="auto"/>
                <w:sz w:val="24"/>
                <w:szCs w:val="24"/>
                <w:highlight w:val="none"/>
                <w:lang w:bidi="zh-CN"/>
              </w:rPr>
              <w:t>自2022年1月1日以来，每</w:t>
            </w:r>
            <w:r>
              <w:rPr>
                <w:rFonts w:hint="default" w:ascii="宋体" w:hAnsi="宋体" w:eastAsia="宋体" w:cs="宋体"/>
                <w:color w:val="auto"/>
                <w:sz w:val="24"/>
                <w:szCs w:val="24"/>
                <w:highlight w:val="none"/>
                <w:lang w:val="en-US" w:bidi="zh-CN"/>
              </w:rPr>
              <w:t>增加</w:t>
            </w:r>
            <w:r>
              <w:rPr>
                <w:rFonts w:hint="default" w:ascii="宋体" w:hAnsi="宋体" w:eastAsia="宋体" w:cs="宋体"/>
                <w:color w:val="auto"/>
                <w:sz w:val="24"/>
                <w:szCs w:val="24"/>
                <w:highlight w:val="none"/>
                <w:lang w:bidi="zh-CN"/>
              </w:rPr>
              <w:t>一个</w:t>
            </w:r>
            <w:r>
              <w:rPr>
                <w:rFonts w:hint="eastAsia" w:ascii="宋体" w:hAnsi="宋体" w:eastAsia="宋体" w:cs="宋体"/>
                <w:color w:val="auto"/>
                <w:sz w:val="24"/>
                <w:szCs w:val="24"/>
                <w:highlight w:val="none"/>
                <w:lang w:val="en-US" w:bidi="zh-CN"/>
              </w:rPr>
              <w:t>为大型国企、事业单位提供法律尽职调查服务项目的，</w:t>
            </w:r>
            <w:r>
              <w:rPr>
                <w:rFonts w:hint="default" w:ascii="宋体" w:hAnsi="宋体" w:eastAsia="宋体" w:cs="宋体"/>
                <w:color w:val="auto"/>
                <w:sz w:val="24"/>
                <w:szCs w:val="24"/>
                <w:highlight w:val="none"/>
                <w:lang w:bidi="zh-CN"/>
              </w:rPr>
              <w:t>得</w:t>
            </w:r>
            <w:r>
              <w:rPr>
                <w:rFonts w:hint="default"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分，满分1</w:t>
            </w:r>
            <w:r>
              <w:rPr>
                <w:rFonts w:ascii="宋体" w:hAnsi="宋体" w:eastAsia="宋体" w:cs="宋体"/>
                <w:color w:val="auto"/>
                <w:sz w:val="24"/>
                <w:szCs w:val="24"/>
                <w:highlight w:val="none"/>
                <w:lang w:bidi="zh-CN"/>
              </w:rPr>
              <w:t>5分。</w:t>
            </w:r>
          </w:p>
          <w:p w14:paraId="4D6A4F0F">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74896E7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4075027B">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0C4C5D0">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1F1945F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06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F7AD02D">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599EB86">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kern w:val="0"/>
                <w:sz w:val="24"/>
                <w:szCs w:val="24"/>
                <w:lang w:val="en-US" w:eastAsia="zh-CN"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B910CA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7644A320">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419B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2EE18B4">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77830CE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6F2655B">
            <w:pPr>
              <w:jc w:val="center"/>
              <w:rPr>
                <w:rFonts w:ascii="宋体" w:hAnsi="宋体" w:eastAsia="宋体" w:cs="宋体"/>
                <w:color w:val="auto"/>
                <w:sz w:val="22"/>
                <w:highlight w:val="none"/>
              </w:rPr>
            </w:pPr>
          </w:p>
        </w:tc>
      </w:tr>
      <w:tr w14:paraId="682BB068">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E60D47">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33535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45BD9E81">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00774F9E">
            <w:pPr>
              <w:rPr>
                <w:rFonts w:ascii="宋体" w:hAnsi="宋体" w:eastAsia="宋体" w:cs="宋体"/>
                <w:b/>
                <w:bCs/>
                <w:color w:val="auto"/>
                <w:sz w:val="22"/>
                <w:highlight w:val="none"/>
              </w:rPr>
            </w:pPr>
          </w:p>
        </w:tc>
      </w:tr>
    </w:tbl>
    <w:p w14:paraId="256C14F0">
      <w:pPr>
        <w:rPr>
          <w:rFonts w:hint="eastAsia" w:ascii="宋体" w:hAnsi="宋体" w:eastAsia="宋体" w:cs="宋体"/>
          <w:color w:val="auto"/>
          <w:sz w:val="24"/>
          <w:szCs w:val="24"/>
          <w:highlight w:val="none"/>
          <w:lang w:bidi="zh-CN"/>
        </w:rPr>
      </w:pPr>
    </w:p>
    <w:p w14:paraId="469A1576">
      <w:pPr>
        <w:pStyle w:val="2"/>
      </w:pPr>
    </w:p>
    <w:p w14:paraId="03EDC2F6">
      <w:pPr>
        <w:rPr>
          <w:color w:val="auto"/>
          <w:highlight w:val="none"/>
        </w:rPr>
      </w:pPr>
    </w:p>
    <w:p w14:paraId="444CCC36">
      <w:pPr>
        <w:rPr>
          <w:color w:val="auto"/>
          <w:highlight w:val="none"/>
        </w:rPr>
      </w:pPr>
      <w:r>
        <w:rPr>
          <w:color w:val="auto"/>
          <w:highlight w:val="none"/>
        </w:rPr>
        <w:br w:type="page"/>
      </w:r>
    </w:p>
    <w:p w14:paraId="4A3EBB71">
      <w:pPr>
        <w:pStyle w:val="44"/>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10"/>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10"/>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10"/>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4" w:name="_Toc30694"/>
      <w:bookmarkStart w:id="5" w:name="_Toc35611516"/>
      <w:bookmarkStart w:id="6" w:name="_Toc31723070"/>
      <w:bookmarkStart w:id="7" w:name="_Toc44229899"/>
      <w:bookmarkStart w:id="8" w:name="_Toc31728084"/>
      <w:bookmarkStart w:id="9" w:name="_Toc35611438"/>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4"/>
      <w:bookmarkEnd w:id="5"/>
      <w:bookmarkEnd w:id="6"/>
      <w:bookmarkEnd w:id="7"/>
      <w:bookmarkEnd w:id="8"/>
      <w:bookmarkEnd w:id="9"/>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10"/>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9"/>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9"/>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10"/>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10"/>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10"/>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2D091EA1">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67DE7AE8">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0" w:leftChars="0" w:firstLine="480" w:firstLineChars="200"/>
        <w:rPr>
          <w:rFonts w:ascii="宋体" w:hAnsi="宋体" w:eastAsia="宋体" w:cs="宋体"/>
          <w:color w:val="auto"/>
          <w:sz w:val="24"/>
          <w:szCs w:val="24"/>
          <w:highlight w:val="none"/>
          <w:lang w:bidi="zh-CN"/>
        </w:rPr>
      </w:pPr>
    </w:p>
    <w:p w14:paraId="579A003F">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2151E3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7"/>
        <w:rPr>
          <w:color w:val="auto"/>
          <w:szCs w:val="28"/>
          <w:highlight w:val="none"/>
        </w:rPr>
      </w:pPr>
    </w:p>
    <w:p w14:paraId="0D450C82">
      <w:pPr>
        <w:pStyle w:val="4"/>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7"/>
        <w:rPr>
          <w:color w:val="auto"/>
          <w:highlight w:val="none"/>
        </w:rPr>
      </w:pPr>
    </w:p>
    <w:p w14:paraId="3BF5500F">
      <w:pPr>
        <w:pStyle w:val="7"/>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3B309A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9"/>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9"/>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1"/>
        <w:widowControl/>
        <w:spacing w:beforeAutospacing="0" w:afterAutospacing="0"/>
        <w:rPr>
          <w:rFonts w:ascii="宋体" w:hAnsi="宋体" w:eastAsia="宋体" w:cs="宋体"/>
          <w:bCs/>
          <w:color w:val="auto"/>
          <w:kern w:val="2"/>
          <w:highlight w:val="none"/>
        </w:rPr>
      </w:pPr>
    </w:p>
    <w:p w14:paraId="79D0B897">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color w:val="auto"/>
          <w:sz w:val="24"/>
          <w:szCs w:val="24"/>
          <w:highlight w:val="none"/>
          <w:u w:val="single"/>
        </w:rPr>
        <w:t>对广西金石房地产开发有限公司开展法律尽职调查及法律意见书服务采购项目</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color w:val="auto"/>
                <w:szCs w:val="21"/>
                <w:highlight w:val="none"/>
                <w:u w:val="none"/>
              </w:rPr>
              <w:t>对广西金石房地产开发有限公司开展法律尽职调查及法律意见书服务采购项目</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4" w:hRule="atLeast"/>
        </w:trPr>
        <w:tc>
          <w:tcPr>
            <w:tcW w:w="648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04275FE0">
      <w:pPr>
        <w:pStyle w:val="21"/>
        <w:widowControl/>
        <w:spacing w:beforeAutospacing="0" w:afterAutospacing="0"/>
        <w:rPr>
          <w:rFonts w:ascii="宋体" w:hAnsi="宋体" w:eastAsia="宋体" w:cs="宋体"/>
          <w:color w:val="auto"/>
          <w:sz w:val="28"/>
          <w:szCs w:val="28"/>
          <w:highlight w:val="none"/>
        </w:rPr>
      </w:pPr>
    </w:p>
    <w:p w14:paraId="2535B556">
      <w:pPr>
        <w:pStyle w:val="10"/>
        <w:rPr>
          <w:color w:val="auto"/>
          <w:highlight w:val="none"/>
        </w:rPr>
      </w:pPr>
    </w:p>
    <w:p w14:paraId="3399A453">
      <w:pPr>
        <w:rPr>
          <w:color w:val="auto"/>
          <w:highlight w:val="none"/>
        </w:rPr>
      </w:pPr>
    </w:p>
    <w:p w14:paraId="6CF675E0">
      <w:pPr>
        <w:pStyle w:val="10"/>
        <w:rPr>
          <w:color w:val="auto"/>
          <w:highlight w:val="none"/>
        </w:rPr>
      </w:pPr>
    </w:p>
    <w:p w14:paraId="6199F81C">
      <w:pPr>
        <w:rPr>
          <w:color w:val="auto"/>
          <w:highlight w:val="none"/>
        </w:rPr>
      </w:pPr>
    </w:p>
    <w:p w14:paraId="34F6ECEB">
      <w:pPr>
        <w:pStyle w:val="10"/>
        <w:rPr>
          <w:color w:val="auto"/>
          <w:highlight w:val="none"/>
        </w:rPr>
      </w:pPr>
    </w:p>
    <w:p w14:paraId="2D988C70">
      <w:pPr>
        <w:rPr>
          <w:color w:val="auto"/>
          <w:highlight w:val="none"/>
        </w:rPr>
      </w:pPr>
    </w:p>
    <w:p w14:paraId="725F507B">
      <w:pPr>
        <w:pStyle w:val="10"/>
        <w:rPr>
          <w:color w:val="auto"/>
          <w:highlight w:val="none"/>
        </w:rPr>
      </w:pPr>
    </w:p>
    <w:p w14:paraId="0A1816A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794F0CEA">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B8BDB28">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6D073AF9">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7"/>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67DE40-7816-43E6-9B91-B528910FFF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5DB1C1EA-C2F3-40E6-8E68-5C957907F6C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4"/>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ZmJlNzliZWMzYWM4ODI2OGQ2MjJkOTI1NDkxYTIifQ=="/>
  </w:docVars>
  <w:rsids>
    <w:rsidRoot w:val="00172A27"/>
    <w:rsid w:val="0002691C"/>
    <w:rsid w:val="00033FC2"/>
    <w:rsid w:val="00080E82"/>
    <w:rsid w:val="00091DB1"/>
    <w:rsid w:val="001112E1"/>
    <w:rsid w:val="001348C9"/>
    <w:rsid w:val="00143CAD"/>
    <w:rsid w:val="001552AD"/>
    <w:rsid w:val="00172A27"/>
    <w:rsid w:val="001B3B65"/>
    <w:rsid w:val="00200AD7"/>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25F75"/>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5252FA"/>
    <w:rsid w:val="088E7380"/>
    <w:rsid w:val="08A25D65"/>
    <w:rsid w:val="08AF5390"/>
    <w:rsid w:val="08CA553B"/>
    <w:rsid w:val="08F7532E"/>
    <w:rsid w:val="092A2EC0"/>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74629"/>
    <w:rsid w:val="0B061635"/>
    <w:rsid w:val="0B0D7385"/>
    <w:rsid w:val="0B4F0EB0"/>
    <w:rsid w:val="0BC243BC"/>
    <w:rsid w:val="0BF24799"/>
    <w:rsid w:val="0C2639B5"/>
    <w:rsid w:val="0C5773D2"/>
    <w:rsid w:val="0C897DF8"/>
    <w:rsid w:val="0C94337F"/>
    <w:rsid w:val="0CA33AF7"/>
    <w:rsid w:val="0CAE5F50"/>
    <w:rsid w:val="0CAF631B"/>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8E0548"/>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BE2542"/>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3BA3996"/>
    <w:rsid w:val="23DD38E0"/>
    <w:rsid w:val="240B137D"/>
    <w:rsid w:val="24352F85"/>
    <w:rsid w:val="244A3359"/>
    <w:rsid w:val="2540519B"/>
    <w:rsid w:val="25414674"/>
    <w:rsid w:val="25483AB1"/>
    <w:rsid w:val="254F010E"/>
    <w:rsid w:val="255816B9"/>
    <w:rsid w:val="2578548A"/>
    <w:rsid w:val="259F57F0"/>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761E2"/>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D71AE"/>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146B4"/>
    <w:rsid w:val="37424475"/>
    <w:rsid w:val="375F68D7"/>
    <w:rsid w:val="376818C6"/>
    <w:rsid w:val="376B2208"/>
    <w:rsid w:val="3784008B"/>
    <w:rsid w:val="37935872"/>
    <w:rsid w:val="37AF1DE5"/>
    <w:rsid w:val="37CD68DF"/>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AE9706A"/>
    <w:rsid w:val="3B1309D9"/>
    <w:rsid w:val="3B1C043E"/>
    <w:rsid w:val="3B27346F"/>
    <w:rsid w:val="3B53176E"/>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107BD"/>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DB2121"/>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A41C10"/>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45842"/>
    <w:rsid w:val="48684EBF"/>
    <w:rsid w:val="487E3345"/>
    <w:rsid w:val="48953C10"/>
    <w:rsid w:val="489839F7"/>
    <w:rsid w:val="48A24101"/>
    <w:rsid w:val="48CE05C5"/>
    <w:rsid w:val="48EE4471"/>
    <w:rsid w:val="48FC638A"/>
    <w:rsid w:val="49007C8C"/>
    <w:rsid w:val="4921484C"/>
    <w:rsid w:val="49276F2E"/>
    <w:rsid w:val="493059DD"/>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BEE392E"/>
    <w:rsid w:val="4C037059"/>
    <w:rsid w:val="4C1D08F9"/>
    <w:rsid w:val="4C40574E"/>
    <w:rsid w:val="4C5A28C7"/>
    <w:rsid w:val="4C7E0836"/>
    <w:rsid w:val="4C8042E4"/>
    <w:rsid w:val="4C897919"/>
    <w:rsid w:val="4C970624"/>
    <w:rsid w:val="4C9D2257"/>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51582C"/>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DB4C0A"/>
    <w:rsid w:val="54F358D6"/>
    <w:rsid w:val="55164B83"/>
    <w:rsid w:val="553E06E6"/>
    <w:rsid w:val="55487179"/>
    <w:rsid w:val="554B26B7"/>
    <w:rsid w:val="555179AA"/>
    <w:rsid w:val="557F7CF1"/>
    <w:rsid w:val="5593631D"/>
    <w:rsid w:val="559714A5"/>
    <w:rsid w:val="55AC06B4"/>
    <w:rsid w:val="55B83DE1"/>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0E5BDE"/>
    <w:rsid w:val="5D1A67DC"/>
    <w:rsid w:val="5D2907BD"/>
    <w:rsid w:val="5D5E786D"/>
    <w:rsid w:val="5D9D64F0"/>
    <w:rsid w:val="5DD90EAC"/>
    <w:rsid w:val="5DF92D85"/>
    <w:rsid w:val="5E007D69"/>
    <w:rsid w:val="5E0400DD"/>
    <w:rsid w:val="5E055233"/>
    <w:rsid w:val="5E3B5FFD"/>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9E327A"/>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192EFC"/>
    <w:rsid w:val="672133A0"/>
    <w:rsid w:val="673E3B37"/>
    <w:rsid w:val="679D028A"/>
    <w:rsid w:val="679D3A25"/>
    <w:rsid w:val="67D8638F"/>
    <w:rsid w:val="6803353F"/>
    <w:rsid w:val="682B7AD3"/>
    <w:rsid w:val="684D07C5"/>
    <w:rsid w:val="685607DF"/>
    <w:rsid w:val="68582403"/>
    <w:rsid w:val="685E563F"/>
    <w:rsid w:val="6898128A"/>
    <w:rsid w:val="689A2236"/>
    <w:rsid w:val="68AC4E83"/>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402060"/>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3837E9"/>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21BB9"/>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700F38"/>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6">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7">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style>
  <w:style w:type="paragraph" w:styleId="3">
    <w:name w:val="toc 7"/>
    <w:basedOn w:val="1"/>
    <w:next w:val="1"/>
    <w:unhideWhenUsed/>
    <w:qFormat/>
    <w:uiPriority w:val="39"/>
    <w:pPr>
      <w:ind w:left="1260"/>
      <w:jc w:val="left"/>
    </w:pPr>
    <w:rPr>
      <w:rFonts w:ascii="Calibri" w:eastAsia="Calibri"/>
      <w:sz w:val="18"/>
      <w:szCs w:val="18"/>
    </w:rPr>
  </w:style>
  <w:style w:type="paragraph" w:styleId="8">
    <w:name w:val="index 8"/>
    <w:basedOn w:val="1"/>
    <w:next w:val="1"/>
    <w:autoRedefine/>
    <w:qFormat/>
    <w:uiPriority w:val="0"/>
    <w:pPr>
      <w:ind w:left="2940"/>
    </w:pPr>
  </w:style>
  <w:style w:type="paragraph" w:styleId="9">
    <w:name w:val="Normal Indent"/>
    <w:basedOn w:val="1"/>
    <w:autoRedefine/>
    <w:qFormat/>
    <w:uiPriority w:val="0"/>
    <w:pPr>
      <w:ind w:firstLine="420"/>
    </w:pPr>
    <w:rPr>
      <w:szCs w:val="20"/>
    </w:rPr>
  </w:style>
  <w:style w:type="paragraph" w:styleId="10">
    <w:name w:val="toa heading"/>
    <w:basedOn w:val="1"/>
    <w:next w:val="1"/>
    <w:autoRedefine/>
    <w:unhideWhenUsed/>
    <w:qFormat/>
    <w:uiPriority w:val="99"/>
    <w:pPr>
      <w:spacing w:before="120"/>
    </w:pPr>
    <w:rPr>
      <w:rFonts w:ascii="Arial" w:hAnsi="Arial"/>
      <w:sz w:val="24"/>
    </w:rPr>
  </w:style>
  <w:style w:type="paragraph" w:styleId="11">
    <w:name w:val="annotation text"/>
    <w:basedOn w:val="1"/>
    <w:link w:val="55"/>
    <w:autoRedefine/>
    <w:qFormat/>
    <w:uiPriority w:val="0"/>
    <w:pPr>
      <w:jc w:val="left"/>
    </w:pPr>
  </w:style>
  <w:style w:type="paragraph" w:styleId="12">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3">
    <w:name w:val="Plain Text"/>
    <w:basedOn w:val="1"/>
    <w:next w:val="14"/>
    <w:autoRedefine/>
    <w:qFormat/>
    <w:uiPriority w:val="0"/>
    <w:rPr>
      <w:rFonts w:ascii="宋体" w:eastAsia="宋体" w:cs="Courier New"/>
      <w:szCs w:val="21"/>
    </w:rPr>
  </w:style>
  <w:style w:type="paragraph" w:styleId="14">
    <w:name w:val="Date"/>
    <w:basedOn w:val="1"/>
    <w:next w:val="1"/>
    <w:autoRedefine/>
    <w:qFormat/>
    <w:uiPriority w:val="0"/>
    <w:pPr>
      <w:ind w:left="100" w:leftChars="2500"/>
    </w:pPr>
  </w:style>
  <w:style w:type="paragraph" w:styleId="15">
    <w:name w:val="Balloon Text"/>
    <w:basedOn w:val="1"/>
    <w:link w:val="54"/>
    <w:autoRedefine/>
    <w:semiHidden/>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autoRedefine/>
    <w:qFormat/>
    <w:uiPriority w:val="0"/>
    <w:pPr>
      <w:ind w:left="1000" w:leftChars="1000"/>
    </w:pPr>
  </w:style>
  <w:style w:type="paragraph" w:styleId="20">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autoRedefine/>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1"/>
    <w:next w:val="11"/>
    <w:link w:val="56"/>
    <w:semiHidden/>
    <w:unhideWhenUsed/>
    <w:qFormat/>
    <w:uiPriority w:val="99"/>
    <w:rPr>
      <w:b/>
      <w:bCs/>
    </w:rPr>
  </w:style>
  <w:style w:type="paragraph" w:styleId="24">
    <w:name w:val="Body Text First Indent"/>
    <w:basedOn w:val="2"/>
    <w:next w:val="19"/>
    <w:autoRedefine/>
    <w:qFormat/>
    <w:uiPriority w:val="0"/>
    <w:pPr>
      <w:ind w:firstLine="420" w:firstLineChars="100"/>
    </w:pPr>
  </w:style>
  <w:style w:type="table" w:styleId="26">
    <w:name w:val="Table Grid"/>
    <w:basedOn w:val="25"/>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autoRedefine/>
    <w:semiHidden/>
    <w:unhideWhenUsed/>
    <w:qFormat/>
    <w:uiPriority w:val="99"/>
    <w:rPr>
      <w:color w:val="800080"/>
      <w:u w:val="single"/>
    </w:rPr>
  </w:style>
  <w:style w:type="character" w:styleId="29">
    <w:name w:val="Hyperlink"/>
    <w:basedOn w:val="27"/>
    <w:autoRedefine/>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autoRedefine/>
    <w:qFormat/>
    <w:uiPriority w:val="99"/>
    <w:rPr>
      <w:sz w:val="18"/>
      <w:szCs w:val="18"/>
    </w:rPr>
  </w:style>
  <w:style w:type="character" w:customStyle="1" w:styleId="33">
    <w:name w:val="页脚 Char"/>
    <w:basedOn w:val="27"/>
    <w:link w:val="16"/>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7"/>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7"/>
    <w:autoRedefine/>
    <w:qFormat/>
    <w:uiPriority w:val="0"/>
    <w:rPr>
      <w:rFonts w:hint="eastAsia" w:ascii="宋体" w:hAnsi="宋体" w:eastAsia="宋体" w:cs="宋体"/>
      <w:color w:val="000000"/>
      <w:sz w:val="32"/>
      <w:szCs w:val="32"/>
      <w:u w:val="none"/>
    </w:rPr>
  </w:style>
  <w:style w:type="character" w:customStyle="1" w:styleId="48">
    <w:name w:val="font31"/>
    <w:basedOn w:val="27"/>
    <w:autoRedefine/>
    <w:qFormat/>
    <w:uiPriority w:val="0"/>
    <w:rPr>
      <w:rFonts w:ascii="宋体" w:hAnsi="宋体" w:eastAsia="宋体" w:cs="宋体"/>
      <w:color w:val="000000"/>
      <w:sz w:val="32"/>
      <w:szCs w:val="32"/>
      <w:u w:val="single"/>
    </w:rPr>
  </w:style>
  <w:style w:type="character" w:customStyle="1" w:styleId="49">
    <w:name w:val="font21"/>
    <w:basedOn w:val="27"/>
    <w:autoRedefine/>
    <w:qFormat/>
    <w:uiPriority w:val="0"/>
    <w:rPr>
      <w:rFonts w:ascii="宋体" w:hAnsi="宋体" w:eastAsia="宋体" w:cs="宋体"/>
      <w:color w:val="000000"/>
      <w:sz w:val="32"/>
      <w:szCs w:val="32"/>
      <w:u w:val="none"/>
    </w:rPr>
  </w:style>
  <w:style w:type="character" w:customStyle="1" w:styleId="50">
    <w:name w:val="font11"/>
    <w:basedOn w:val="27"/>
    <w:autoRedefine/>
    <w:qFormat/>
    <w:uiPriority w:val="0"/>
    <w:rPr>
      <w:rFonts w:ascii="Calibri" w:hAnsi="Calibri" w:cs="Calibri"/>
      <w:color w:val="000000"/>
      <w:sz w:val="32"/>
      <w:szCs w:val="32"/>
      <w:u w:val="none"/>
    </w:rPr>
  </w:style>
  <w:style w:type="character" w:customStyle="1" w:styleId="51">
    <w:name w:val="font01"/>
    <w:basedOn w:val="27"/>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autoRedefine/>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1"/>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 w:type="character" w:customStyle="1" w:styleId="57">
    <w:name w:val="font61"/>
    <w:basedOn w:val="2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22</Pages>
  <Words>68</Words>
  <Characters>72</Characters>
  <Lines>80</Lines>
  <Paragraphs>22</Paragraphs>
  <TotalTime>36</TotalTime>
  <ScaleCrop>false</ScaleCrop>
  <LinksUpToDate>false</LinksUpToDate>
  <CharactersWithSpaces>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GYL</cp:lastModifiedBy>
  <dcterms:modified xsi:type="dcterms:W3CDTF">2026-10-14T07:50:30Z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897586CA2C3F4FC39BF033A399D3AB2F_13</vt:lpwstr>
  </property>
  <property fmtid="{D5CDD505-2E9C-101B-9397-08002B2CF9AE}" pid="4" name="KSOTemplateDocerSaveRecord">
    <vt:lpwstr>eyJoZGlkIjoiMzNlOWI0M2RhNjgwNGJhMDA3ZWI5YzBkZDFhOTgyMjQiLCJ1c2VySWQiOiIyNDUzNjAzOTcifQ==</vt:lpwstr>
  </property>
</Properties>
</file>