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0C449">
      <w:pPr>
        <w:pStyle w:val="5"/>
        <w:rPr>
          <w:color w:val="auto"/>
          <w:highlight w:val="none"/>
        </w:rPr>
      </w:pPr>
    </w:p>
    <w:p w14:paraId="3CE30BE7">
      <w:pPr>
        <w:rPr>
          <w:color w:val="auto"/>
          <w:highlight w:val="none"/>
        </w:rPr>
      </w:pPr>
    </w:p>
    <w:p w14:paraId="32875732">
      <w:pPr>
        <w:pStyle w:val="2"/>
        <w:numPr>
          <w:ilvl w:val="0"/>
          <w:numId w:val="0"/>
        </w:numPr>
        <w:jc w:val="both"/>
        <w:rPr>
          <w:color w:val="auto"/>
          <w:highlight w:val="none"/>
        </w:rPr>
      </w:pPr>
    </w:p>
    <w:p w14:paraId="44EB6A57">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762345B3">
      <w:pPr>
        <w:pStyle w:val="5"/>
        <w:rPr>
          <w:rFonts w:ascii="宋体" w:hAnsi="宋体" w:eastAsia="宋体" w:cs="宋体"/>
          <w:b/>
          <w:bCs/>
          <w:color w:val="auto"/>
          <w:sz w:val="36"/>
          <w:szCs w:val="36"/>
          <w:highlight w:val="none"/>
        </w:rPr>
      </w:pPr>
    </w:p>
    <w:p w14:paraId="31402EE3">
      <w:pPr>
        <w:rPr>
          <w:color w:val="auto"/>
          <w:highlight w:val="none"/>
        </w:rPr>
      </w:pPr>
    </w:p>
    <w:p w14:paraId="4755FF82">
      <w:pPr>
        <w:pStyle w:val="2"/>
        <w:numPr>
          <w:ilvl w:val="0"/>
          <w:numId w:val="0"/>
        </w:numPr>
        <w:jc w:val="both"/>
        <w:rPr>
          <w:color w:val="auto"/>
          <w:highlight w:val="none"/>
        </w:rPr>
      </w:pPr>
    </w:p>
    <w:p w14:paraId="7B30346E">
      <w:pPr>
        <w:rPr>
          <w:color w:val="auto"/>
          <w:highlight w:val="none"/>
        </w:rPr>
      </w:pPr>
    </w:p>
    <w:p w14:paraId="021F3B75">
      <w:pPr>
        <w:rPr>
          <w:rFonts w:ascii="宋体" w:hAnsi="宋体" w:eastAsia="宋体" w:cs="宋体"/>
          <w:b/>
          <w:bCs/>
          <w:color w:val="auto"/>
          <w:sz w:val="36"/>
          <w:szCs w:val="36"/>
          <w:highlight w:val="none"/>
        </w:rPr>
      </w:pPr>
    </w:p>
    <w:p w14:paraId="037415C1">
      <w:pPr>
        <w:rPr>
          <w:rFonts w:ascii="宋体" w:hAnsi="宋体" w:eastAsia="宋体" w:cs="宋体"/>
          <w:b/>
          <w:bCs/>
          <w:color w:val="auto"/>
          <w:sz w:val="36"/>
          <w:szCs w:val="36"/>
          <w:highlight w:val="none"/>
        </w:rPr>
      </w:pPr>
    </w:p>
    <w:p w14:paraId="65A4A158">
      <w:pPr>
        <w:jc w:val="left"/>
        <w:rPr>
          <w:rFonts w:hint="default"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eastAsia="zh-CN"/>
        </w:rPr>
        <w:t>北部湾（钦州）专用汽车生产项目</w:t>
      </w:r>
      <w:r>
        <w:rPr>
          <w:rFonts w:hint="eastAsia" w:ascii="宋体" w:hAnsi="宋体" w:eastAsia="宋体" w:cs="宋体"/>
          <w:b/>
          <w:bCs/>
          <w:color w:val="auto"/>
          <w:sz w:val="36"/>
          <w:szCs w:val="36"/>
          <w:highlight w:val="none"/>
          <w:u w:val="single"/>
          <w:lang w:val="en-US" w:eastAsia="zh-CN"/>
        </w:rPr>
        <w:t>设计及预算编制服务采购</w:t>
      </w:r>
    </w:p>
    <w:p w14:paraId="708AFFB0">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广西自贸区钦保新材料有限公司</w:t>
      </w:r>
    </w:p>
    <w:p w14:paraId="57B5A6FA">
      <w:pPr>
        <w:rPr>
          <w:rFonts w:ascii="宋体" w:hAnsi="宋体" w:eastAsia="宋体" w:cs="宋体"/>
          <w:b/>
          <w:bCs/>
          <w:color w:val="auto"/>
          <w:sz w:val="36"/>
          <w:szCs w:val="36"/>
          <w:highlight w:val="none"/>
        </w:rPr>
      </w:pPr>
    </w:p>
    <w:p w14:paraId="197B32AD">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11</w:t>
      </w:r>
      <w:r>
        <w:rPr>
          <w:rFonts w:hint="eastAsia" w:ascii="宋体" w:hAnsi="宋体" w:eastAsia="宋体" w:cs="宋体"/>
          <w:b/>
          <w:bCs/>
          <w:color w:val="auto"/>
          <w:sz w:val="36"/>
          <w:szCs w:val="36"/>
          <w:highlight w:val="none"/>
        </w:rPr>
        <w:t>月</w:t>
      </w:r>
    </w:p>
    <w:p w14:paraId="7EA55EF4">
      <w:pPr>
        <w:rPr>
          <w:rFonts w:ascii="宋体" w:hAnsi="宋体" w:eastAsia="宋体" w:cs="宋体"/>
          <w:b/>
          <w:bCs/>
          <w:color w:val="auto"/>
          <w:sz w:val="32"/>
          <w:szCs w:val="32"/>
          <w:highlight w:val="none"/>
          <w:shd w:val="clear" w:color="auto" w:fill="FFFFFF"/>
        </w:rPr>
      </w:pPr>
    </w:p>
    <w:p w14:paraId="4B0DDDF7">
      <w:pPr>
        <w:pStyle w:val="47"/>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60D5742F">
      <w:pPr>
        <w:pStyle w:val="47"/>
        <w:spacing w:after="312" w:line="240" w:lineRule="atLeast"/>
        <w:rPr>
          <w:rFonts w:hint="default"/>
          <w:color w:val="auto"/>
          <w:highlight w:val="none"/>
        </w:rPr>
      </w:pPr>
      <w:bookmarkStart w:id="0" w:name="OLE_LINK9"/>
      <w:r>
        <w:rPr>
          <w:color w:val="auto"/>
          <w:highlight w:val="none"/>
        </w:rPr>
        <w:t>第一章  采购公告</w:t>
      </w:r>
    </w:p>
    <w:bookmarkEnd w:id="0"/>
    <w:p w14:paraId="5CAEE768">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北部湾（钦州）专用汽车生产项目</w:t>
      </w:r>
      <w:r>
        <w:rPr>
          <w:rFonts w:hint="eastAsia" w:ascii="宋体" w:hAnsi="宋体" w:eastAsia="宋体" w:cs="宋体"/>
          <w:b w:val="0"/>
          <w:bCs/>
          <w:color w:val="auto"/>
          <w:sz w:val="24"/>
          <w:szCs w:val="24"/>
          <w:highlight w:val="none"/>
          <w:u w:val="none"/>
          <w:lang w:val="en-US" w:eastAsia="zh-CN"/>
        </w:rPr>
        <w:t>设计服务及预算编制项目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30"/>
          <w:rFonts w:hint="eastAsia" w:ascii="宋体" w:hAnsi="宋体" w:eastAsia="宋体" w:cs="宋体"/>
          <w:bCs/>
          <w:color w:val="auto"/>
          <w:sz w:val="24"/>
          <w:szCs w:val="24"/>
          <w:highlight w:val="none"/>
        </w:rPr>
        <w:t>http://www.qzmktjt.com</w:t>
      </w:r>
      <w:r>
        <w:rPr>
          <w:rStyle w:val="30"/>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日17时00分（北京时间）</w:t>
      </w:r>
      <w:r>
        <w:rPr>
          <w:rFonts w:hint="eastAsia" w:ascii="宋体" w:hAnsi="宋体" w:eastAsia="宋体" w:cs="宋体"/>
          <w:bCs/>
          <w:color w:val="auto"/>
          <w:sz w:val="24"/>
          <w:szCs w:val="24"/>
          <w:highlight w:val="none"/>
        </w:rPr>
        <w:t>前提交响应文件。 </w:t>
      </w:r>
    </w:p>
    <w:p w14:paraId="28170793">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76441A1B">
      <w:pPr>
        <w:spacing w:line="240" w:lineRule="atLeast"/>
        <w:ind w:firstLine="480" w:firstLineChars="200"/>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rPr>
        <w:t>项目名称：</w:t>
      </w:r>
      <w:r>
        <w:rPr>
          <w:rFonts w:hint="eastAsia" w:ascii="宋体" w:hAnsi="宋体" w:eastAsia="宋体" w:cs="宋体"/>
          <w:b w:val="0"/>
          <w:bCs/>
          <w:color w:val="auto"/>
          <w:sz w:val="24"/>
          <w:szCs w:val="24"/>
          <w:highlight w:val="none"/>
          <w:u w:val="none"/>
          <w:lang w:val="en-US" w:eastAsia="zh-CN"/>
        </w:rPr>
        <w:t>北部湾（钦州）专用汽车生产项目设计服务及预算编制项目</w:t>
      </w:r>
    </w:p>
    <w:p w14:paraId="6A017AB3">
      <w:pPr>
        <w:pStyle w:val="8"/>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采购方式：询比采购</w:t>
      </w:r>
    </w:p>
    <w:p w14:paraId="3CAAEAD1">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定标方式：满足采购文件的实质性要求，满足采购文件的实质要求，且经评审得分最高的供应商为成交供应商。</w:t>
      </w:r>
    </w:p>
    <w:p w14:paraId="368C26E7">
      <w:pPr>
        <w:spacing w:line="240" w:lineRule="atLeas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bCs/>
          <w:color w:val="auto"/>
          <w:sz w:val="24"/>
          <w:szCs w:val="24"/>
          <w:highlight w:val="none"/>
          <w:lang w:val="en-US" w:eastAsia="zh-CN"/>
        </w:rPr>
        <w:t>捌万贰仟叁佰元整（¥82300.00）</w:t>
      </w:r>
    </w:p>
    <w:p w14:paraId="28FF5800">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自签订合同之日起至本项目竣工验收，其中签订合同之日起15天内提交方案设计和初步设计文件。设计方案和初步设计文件确认后15日内完成施工图设计并提交施工图预算编制文件(送审稿).送审稿经相关部门出县施工图审查意见后，7天内提交施工图正式文件及最终的施工图预算编制文件</w:t>
      </w:r>
      <w:r>
        <w:rPr>
          <w:rFonts w:hint="eastAsia" w:ascii="宋体" w:hAnsi="宋体" w:eastAsia="宋体" w:cs="宋体"/>
          <w:bCs/>
          <w:color w:val="auto"/>
          <w:sz w:val="24"/>
          <w:szCs w:val="24"/>
          <w:highlight w:val="none"/>
          <w:lang w:val="en-US" w:eastAsia="zh-CN"/>
        </w:rPr>
        <w:t>。</w:t>
      </w:r>
    </w:p>
    <w:p w14:paraId="5B6069A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221020D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2AA6D69C">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4EE5822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p>
    <w:p w14:paraId="2716054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28392FEF">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ascii="Times New Roman" w:hAnsi="Times New Roman" w:eastAsia="宋体" w:cs="Times New Roman"/>
          <w:bCs/>
          <w:color w:val="auto"/>
          <w:sz w:val="24"/>
          <w:highlight w:val="none"/>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181849E4">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ascii="宋体" w:hAnsi="宋体" w:eastAsia="宋体" w:cs="宋体"/>
          <w:bCs/>
          <w:color w:val="auto"/>
          <w:sz w:val="24"/>
          <w:highlight w:val="none"/>
        </w:rPr>
        <w:t>4</w:t>
      </w:r>
      <w:r>
        <w:rPr>
          <w:rFonts w:hint="eastAsia" w:ascii="宋体" w:hAnsi="宋体" w:eastAsia="宋体" w:cs="宋体"/>
          <w:bCs/>
          <w:color w:val="auto"/>
          <w:sz w:val="24"/>
          <w:highlight w:val="none"/>
        </w:rPr>
        <w:t>）近</w:t>
      </w:r>
      <w:r>
        <w:rPr>
          <w:rFonts w:ascii="宋体" w:hAnsi="宋体" w:eastAsia="宋体" w:cs="宋体"/>
          <w:bCs/>
          <w:color w:val="auto"/>
          <w:sz w:val="24"/>
          <w:highlight w:val="none"/>
        </w:rPr>
        <w:t>3</w:t>
      </w:r>
      <w:r>
        <w:rPr>
          <w:rFonts w:hint="eastAsia" w:ascii="宋体" w:hAnsi="宋体" w:eastAsia="宋体" w:cs="宋体"/>
          <w:bCs/>
          <w:color w:val="auto"/>
          <w:sz w:val="24"/>
          <w:highlight w:val="none"/>
        </w:rPr>
        <w:t>年内（自202</w:t>
      </w:r>
      <w:r>
        <w:rPr>
          <w:rFonts w:ascii="宋体" w:hAnsi="宋体" w:eastAsia="宋体" w:cs="宋体"/>
          <w:bCs/>
          <w:color w:val="auto"/>
          <w:sz w:val="24"/>
          <w:highlight w:val="none"/>
        </w:rPr>
        <w:t>2</w:t>
      </w:r>
      <w:r>
        <w:rPr>
          <w:rFonts w:hint="eastAsia" w:ascii="宋体" w:hAnsi="宋体" w:eastAsia="宋体" w:cs="宋体"/>
          <w:bCs/>
          <w:color w:val="auto"/>
          <w:sz w:val="24"/>
          <w:highlight w:val="none"/>
        </w:rPr>
        <w:t>年1月1日以来）具有相应或类似的工程业绩，并附上相应的合同复印件，需提供1个及以上的服务业绩。</w:t>
      </w:r>
    </w:p>
    <w:p w14:paraId="140087C1">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AAFD8A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64D6881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44E68110">
      <w:pPr>
        <w:spacing w:line="240" w:lineRule="atLeast"/>
        <w:ind w:firstLine="480" w:firstLineChars="200"/>
        <w:rPr>
          <w:rFonts w:hint="eastAsia"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具备综合资质甲级或建筑行业乙级（或以上）设计资质。</w:t>
      </w:r>
    </w:p>
    <w:p w14:paraId="79E50C8F">
      <w:pPr>
        <w:spacing w:line="240" w:lineRule="atLeas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6.项目负责人须具备国家一级注册建筑师执业资格，并具有中级及以上职称；</w:t>
      </w:r>
    </w:p>
    <w:p w14:paraId="19C19C82">
      <w:pPr>
        <w:spacing w:line="240" w:lineRule="atLeast"/>
        <w:ind w:firstLine="480" w:firstLineChars="200"/>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lang w:val="en-US" w:eastAsia="zh-CN"/>
        </w:rPr>
        <w:t>7.具有良好的商业信誉和健全的财务制度。</w:t>
      </w:r>
    </w:p>
    <w:p w14:paraId="7E4F0D9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286EF9E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 xml:space="preserve"> 11 </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 xml:space="preserve"> 5 </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u w:val="single"/>
        </w:rPr>
        <w:t>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 xml:space="preserve"> 11 </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 xml:space="preserve"> 10 </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0AB2860D">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30"/>
          <w:rFonts w:hint="eastAsia" w:ascii="宋体" w:hAnsi="宋体" w:eastAsia="宋体" w:cs="宋体"/>
          <w:bCs/>
          <w:color w:val="auto"/>
          <w:sz w:val="24"/>
          <w:szCs w:val="24"/>
          <w:highlight w:val="none"/>
        </w:rPr>
        <w:t>//www.qzmktjt.com</w:t>
      </w:r>
      <w:r>
        <w:rPr>
          <w:rStyle w:val="30"/>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593502D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 xml:space="preserve"> 10 </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前（北京时间）自行获取（下载）。</w:t>
      </w:r>
    </w:p>
    <w:p w14:paraId="35D6446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7002CD0B">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51AA7059">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 xml:space="preserve"> 10 </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w:t>
      </w:r>
    </w:p>
    <w:p w14:paraId="20584D28">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rPr>
        <w:t xml:space="preserve">经营管理部-裴炳昌 </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lang w:val="en-US" w:eastAsia="zh-CN"/>
        </w:rPr>
        <w:t>-</w:t>
      </w:r>
      <w:r>
        <w:rPr>
          <w:rFonts w:ascii="Times New Roman" w:hAnsi="Times New Roman" w:eastAsia="宋体" w:cs="Times New Roman"/>
          <w:bCs/>
          <w:color w:val="auto"/>
          <w:sz w:val="24"/>
          <w:szCs w:val="24"/>
          <w:highlight w:val="none"/>
          <w:u w:val="single"/>
        </w:rPr>
        <w:t>58813</w:t>
      </w:r>
      <w:r>
        <w:rPr>
          <w:rFonts w:hint="eastAsia" w:ascii="Times New Roman" w:hAnsi="Times New Roman" w:eastAsia="宋体" w:cs="Times New Roman"/>
          <w:bCs/>
          <w:color w:val="auto"/>
          <w:sz w:val="24"/>
          <w:szCs w:val="24"/>
          <w:highlight w:val="none"/>
          <w:u w:val="single"/>
        </w:rPr>
        <w:t>05</w:t>
      </w:r>
    </w:p>
    <w:p w14:paraId="468FF40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75D9DB68">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72E66D4A">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4DB9DA7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 xml:space="preserve"> 10 </w:t>
      </w:r>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（北京时间）后；</w:t>
      </w:r>
    </w:p>
    <w:p w14:paraId="60D7249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346E84D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32F6CC1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231793E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1AE717D1">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4C66588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6ACEC6AD">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630955A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589278A3">
      <w:pPr>
        <w:pStyle w:val="23"/>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广西自贸区钦保新材料有限公司</w:t>
      </w:r>
    </w:p>
    <w:p w14:paraId="780D69E6">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广西钦州市钦州港区友谊大道1号自贸中心23楼</w:t>
      </w:r>
      <w:r>
        <w:rPr>
          <w:rFonts w:hint="eastAsia" w:ascii="宋体" w:hAnsi="宋体" w:eastAsia="宋体" w:cs="宋体"/>
          <w:bCs/>
          <w:color w:val="auto"/>
          <w:sz w:val="24"/>
          <w:szCs w:val="24"/>
          <w:highlight w:val="none"/>
          <w:u w:val="single"/>
          <w:lang w:val="en-US" w:eastAsia="zh-CN"/>
        </w:rPr>
        <w:t>经营管理部</w:t>
      </w:r>
    </w:p>
    <w:p w14:paraId="7A10A6D3">
      <w:pPr>
        <w:pStyle w:val="23"/>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u w:val="single"/>
          <w:lang w:val="en-US" w:eastAsia="zh-CN"/>
        </w:rPr>
        <w:t>19178759339</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罗泰源</w:t>
      </w:r>
      <w:r>
        <w:rPr>
          <w:rFonts w:hint="eastAsia" w:ascii="宋体" w:hAnsi="宋体" w:eastAsia="宋体" w:cs="宋体"/>
          <w:bCs/>
          <w:color w:val="auto"/>
          <w:szCs w:val="24"/>
          <w:highlight w:val="none"/>
          <w:u w:val="single"/>
        </w:rPr>
        <w:t>）</w:t>
      </w:r>
    </w:p>
    <w:p w14:paraId="6356CEB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7CB2169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15F49E4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08FCFFA2">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（陈哲）</w:t>
      </w:r>
    </w:p>
    <w:p w14:paraId="5EB29067">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BAB1587">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3B8039CC">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40F818A2">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614645EC">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7"/>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4CF9D2FF">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D945">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527069FA">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1F1D">
            <w:pPr>
              <w:widowControl/>
              <w:adjustRightInd w:val="0"/>
              <w:snapToGrid w:val="0"/>
              <w:jc w:val="center"/>
              <w:textAlignment w:val="center"/>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项目地点</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C0FA3">
            <w:pPr>
              <w:pStyle w:val="9"/>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钦州综合保税区棉纺产业园区</w:t>
            </w:r>
          </w:p>
        </w:tc>
      </w:tr>
      <w:tr w14:paraId="0C995239">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C7FE">
            <w:pPr>
              <w:widowControl/>
              <w:adjustRightInd w:val="0"/>
              <w:snapToGrid w:val="0"/>
              <w:jc w:val="center"/>
              <w:textAlignment w:val="center"/>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项目规模</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AAE8">
            <w:pPr>
              <w:pStyle w:val="9"/>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共改造1个车间</w:t>
            </w:r>
          </w:p>
        </w:tc>
      </w:tr>
      <w:tr w14:paraId="1EFEFF56">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A953">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lang w:val="en-US" w:eastAsia="zh-CN"/>
              </w:rPr>
              <w:t>交付</w:t>
            </w:r>
            <w:r>
              <w:rPr>
                <w:rFonts w:hint="eastAsia" w:ascii="宋体" w:hAnsi="宋体" w:eastAsia="宋体" w:cs="宋体"/>
                <w:b/>
                <w:color w:val="auto"/>
                <w:szCs w:val="21"/>
                <w:highlight w:val="none"/>
              </w:rPr>
              <w:t>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BCC0">
            <w:pPr>
              <w:pStyle w:val="9"/>
              <w:rPr>
                <w:rFonts w:ascii="宋体" w:hAnsi="宋体" w:eastAsia="宋体" w:cs="宋体"/>
                <w:color w:val="auto"/>
                <w:kern w:val="0"/>
                <w:sz w:val="22"/>
                <w:highlight w:val="none"/>
              </w:rPr>
            </w:pPr>
            <w:r>
              <w:rPr>
                <w:rFonts w:hint="eastAsia" w:ascii="宋体" w:hAnsi="宋体" w:eastAsia="宋体" w:cs="宋体"/>
                <w:bCs/>
                <w:color w:val="auto"/>
                <w:szCs w:val="21"/>
                <w:highlight w:val="none"/>
              </w:rPr>
              <w:t>签订合同之日起15天内提交方案设计和初步设计文件。设计方案和初步设计文件确认后15日内完成施工图设计并提交施工图预算编制文件(送审稿).送审稿经相关部门出县施工图审查意见后，7天内提交施工图正式文件及最终的施工图预算编制文件</w:t>
            </w:r>
          </w:p>
        </w:tc>
      </w:tr>
      <w:tr w14:paraId="59B0778E">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96F5">
            <w:pPr>
              <w:widowControl/>
              <w:adjustRightInd w:val="0"/>
              <w:snapToGrid w:val="0"/>
              <w:jc w:val="center"/>
              <w:textAlignment w:val="center"/>
              <w:rPr>
                <w:rFonts w:hint="default" w:ascii="宋体" w:hAnsi="宋体" w:eastAsia="宋体" w:cs="宋体"/>
                <w:b/>
                <w:bCs/>
                <w:color w:val="auto"/>
                <w:kern w:val="0"/>
                <w:sz w:val="22"/>
                <w:highlight w:val="none"/>
                <w:lang w:val="en-US" w:eastAsia="zh-CN"/>
              </w:rPr>
            </w:pPr>
            <w:r>
              <w:rPr>
                <w:rFonts w:hint="eastAsia" w:ascii="宋体" w:hAnsi="宋体" w:eastAsia="宋体" w:cs="宋体"/>
                <w:b/>
                <w:bCs/>
                <w:color w:val="auto"/>
                <w:kern w:val="0"/>
                <w:sz w:val="22"/>
                <w:highlight w:val="none"/>
                <w:lang w:val="en-US" w:eastAsia="zh-CN"/>
              </w:rPr>
              <w:t>设计内容</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F614">
            <w:pPr>
              <w:widowControl/>
              <w:adjustRightInd w:val="0"/>
              <w:snapToGrid w:val="0"/>
              <w:jc w:val="left"/>
              <w:textAlignment w:val="center"/>
              <w:rPr>
                <w:rFonts w:hint="default" w:ascii="宋体" w:hAnsi="宋体" w:cs="宋体" w:eastAsiaTheme="minorEastAsia"/>
                <w:color w:val="auto"/>
                <w:kern w:val="0"/>
                <w:sz w:val="22"/>
                <w:highlight w:val="none"/>
                <w:lang w:val="en-US" w:eastAsia="zh-CN"/>
              </w:rPr>
            </w:pPr>
            <w:r>
              <w:rPr>
                <w:rFonts w:hint="eastAsia" w:ascii="宋体" w:hAnsi="宋体" w:eastAsia="宋体" w:cs="宋体"/>
                <w:bCs/>
                <w:color w:val="auto"/>
                <w:kern w:val="2"/>
                <w:sz w:val="21"/>
                <w:szCs w:val="21"/>
                <w:highlight w:val="none"/>
                <w:lang w:val="en-US" w:eastAsia="zh-CN" w:bidi="ar-SA"/>
              </w:rPr>
              <w:t>包括但不限于车间</w:t>
            </w:r>
            <w:r>
              <w:rPr>
                <w:rFonts w:hint="default" w:ascii="宋体" w:hAnsi="宋体" w:eastAsia="宋体" w:cs="宋体"/>
                <w:bCs/>
                <w:color w:val="auto"/>
                <w:kern w:val="2"/>
                <w:sz w:val="21"/>
                <w:szCs w:val="21"/>
                <w:highlight w:val="none"/>
                <w:lang w:val="en-US" w:eastAsia="zh-CN" w:bidi="ar-SA"/>
              </w:rPr>
              <w:t>屋面防水、墙体喷漆、地坪漆等工程。</w:t>
            </w:r>
          </w:p>
        </w:tc>
      </w:tr>
      <w:tr w14:paraId="095AC3E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F70E">
            <w:pPr>
              <w:widowControl/>
              <w:adjustRightInd w:val="0"/>
              <w:snapToGrid w:val="0"/>
              <w:jc w:val="center"/>
              <w:textAlignment w:val="center"/>
              <w:rPr>
                <w:rFonts w:hint="default" w:ascii="宋体" w:hAnsi="宋体" w:eastAsia="宋体" w:cs="宋体"/>
                <w:b/>
                <w:bCs/>
                <w:color w:val="auto"/>
                <w:kern w:val="0"/>
                <w:sz w:val="22"/>
                <w:highlight w:val="none"/>
                <w:lang w:val="en-US" w:eastAsia="zh-CN"/>
              </w:rPr>
            </w:pPr>
            <w:r>
              <w:rPr>
                <w:rFonts w:hint="eastAsia" w:ascii="宋体" w:hAnsi="宋体" w:eastAsia="宋体" w:cs="宋体"/>
                <w:b/>
                <w:bCs/>
                <w:color w:val="auto"/>
                <w:kern w:val="0"/>
                <w:sz w:val="22"/>
                <w:highlight w:val="none"/>
                <w:lang w:val="en-US" w:eastAsia="zh-CN"/>
              </w:rPr>
              <w:t>技术标准与规范</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F5D8">
            <w:pPr>
              <w:widowControl/>
              <w:adjustRightInd w:val="0"/>
              <w:snapToGrid w:val="0"/>
              <w:jc w:val="left"/>
              <w:textAlignment w:val="center"/>
              <w:rPr>
                <w:rFonts w:hint="default"/>
                <w:color w:val="auto"/>
                <w:highlight w:val="none"/>
                <w:lang w:val="en-US" w:eastAsia="zh-CN"/>
              </w:rPr>
            </w:pPr>
            <w:r>
              <w:rPr>
                <w:rFonts w:hint="eastAsia" w:ascii="宋体" w:hAnsi="宋体" w:eastAsia="宋体" w:cs="宋体"/>
                <w:bCs/>
                <w:color w:val="auto"/>
                <w:kern w:val="2"/>
                <w:sz w:val="21"/>
                <w:szCs w:val="21"/>
                <w:highlight w:val="none"/>
                <w:lang w:val="en-US" w:eastAsia="zh-CN" w:bidi="ar-SA"/>
              </w:rPr>
              <w:t>必须遵守的国家和地方设计规范、消防规范、环保等标准要求</w:t>
            </w:r>
          </w:p>
        </w:tc>
      </w:tr>
      <w:tr w14:paraId="56BA79D4">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B8A3">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9F03C">
            <w:pPr>
              <w:widowControl/>
              <w:adjustRightInd w:val="0"/>
              <w:snapToGrid w:val="0"/>
              <w:jc w:val="left"/>
              <w:textAlignment w:val="center"/>
              <w:rPr>
                <w:rFonts w:ascii="宋体" w:hAnsi="宋体" w:eastAsia="宋体" w:cs="宋体"/>
                <w:color w:val="auto"/>
                <w:kern w:val="0"/>
                <w:sz w:val="22"/>
                <w:highlight w:val="none"/>
              </w:rPr>
            </w:pPr>
            <w:r>
              <w:rPr>
                <w:rFonts w:hint="eastAsia" w:ascii="宋体" w:hAnsi="宋体" w:eastAsia="宋体" w:cs="宋体"/>
                <w:bCs/>
                <w:color w:val="auto"/>
                <w:kern w:val="2"/>
                <w:sz w:val="21"/>
                <w:szCs w:val="21"/>
                <w:highlight w:val="none"/>
                <w:lang w:val="en-US" w:eastAsia="zh-CN" w:bidi="ar-SA"/>
              </w:rPr>
              <w:t>供应商完成方案设计和初步设计，7个工作日内采购人支付合同总金额的30%;施工图设计通过施工图审查，完成线上备案工作后，采购人支付合同总金额的60%;</w:t>
            </w:r>
            <w:r>
              <w:rPr>
                <w:rFonts w:hint="eastAsia" w:ascii="宋体" w:hAnsi="宋体" w:eastAsia="宋体" w:cs="宋体"/>
                <w:bCs/>
                <w:color w:val="auto"/>
                <w:szCs w:val="21"/>
                <w:highlight w:val="none"/>
              </w:rPr>
              <w:t>供应商完成施工图预算编制文件，并经采购人委托的第三方造价咨询机构审核通过后7个工作日内，采购人支付</w:t>
            </w:r>
            <w:r>
              <w:rPr>
                <w:rFonts w:hint="eastAsia" w:ascii="宋体" w:hAnsi="宋体" w:eastAsia="宋体" w:cs="宋体"/>
                <w:bCs/>
                <w:color w:val="auto"/>
                <w:kern w:val="2"/>
                <w:sz w:val="21"/>
                <w:szCs w:val="21"/>
                <w:highlight w:val="none"/>
                <w:lang w:val="en-US" w:eastAsia="zh-CN" w:bidi="ar-SA"/>
              </w:rPr>
              <w:t>项目合同总金额的80%;实施完成并验收合格后，采购人一次性支付合同剩余款项即合同总金额的100%。</w:t>
            </w:r>
          </w:p>
        </w:tc>
      </w:tr>
      <w:tr w14:paraId="1D846D7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F7B9">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AD1E6">
            <w:pPr>
              <w:widowControl/>
              <w:adjustRightInd w:val="0"/>
              <w:snapToGrid w:val="0"/>
              <w:jc w:val="left"/>
              <w:textAlignment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无</w:t>
            </w:r>
          </w:p>
        </w:tc>
      </w:tr>
    </w:tbl>
    <w:p w14:paraId="2928A842">
      <w:pPr>
        <w:ind w:firstLine="420"/>
        <w:rPr>
          <w:rFonts w:ascii="宋体" w:hAnsi="宋体" w:eastAsia="宋体" w:cs="宋体"/>
          <w:color w:val="auto"/>
          <w:kern w:val="0"/>
          <w:szCs w:val="21"/>
          <w:highlight w:val="none"/>
          <w:lang w:bidi="zh-CN"/>
        </w:rPr>
      </w:pPr>
    </w:p>
    <w:p w14:paraId="074161A9">
      <w:pPr>
        <w:rPr>
          <w:rFonts w:ascii="宋体" w:hAnsi="宋体" w:eastAsia="宋体" w:cs="宋体"/>
          <w:color w:val="auto"/>
          <w:sz w:val="24"/>
          <w:szCs w:val="24"/>
          <w:highlight w:val="none"/>
          <w:lang w:bidi="zh-CN"/>
        </w:rPr>
      </w:pPr>
    </w:p>
    <w:p w14:paraId="77D016A1">
      <w:pPr>
        <w:rPr>
          <w:color w:val="auto"/>
          <w:highlight w:val="none"/>
        </w:rPr>
      </w:pPr>
      <w:r>
        <w:rPr>
          <w:rFonts w:hint="eastAsia"/>
          <w:color w:val="auto"/>
          <w:highlight w:val="none"/>
        </w:rPr>
        <w:br w:type="page"/>
      </w:r>
    </w:p>
    <w:p w14:paraId="5676FC6C">
      <w:pPr>
        <w:pStyle w:val="47"/>
        <w:spacing w:after="312"/>
        <w:rPr>
          <w:rFonts w:hint="default"/>
          <w:color w:val="auto"/>
          <w:highlight w:val="none"/>
        </w:rPr>
      </w:pPr>
      <w:r>
        <w:rPr>
          <w:color w:val="auto"/>
          <w:highlight w:val="none"/>
        </w:rPr>
        <w:t>第二章  服务商须知</w:t>
      </w:r>
    </w:p>
    <w:p w14:paraId="51541E82">
      <w:pPr>
        <w:pStyle w:val="48"/>
        <w:spacing w:before="156"/>
        <w:rPr>
          <w:rFonts w:hint="default"/>
          <w:color w:val="auto"/>
          <w:highlight w:val="none"/>
        </w:rPr>
      </w:pPr>
      <w:r>
        <w:rPr>
          <w:color w:val="auto"/>
          <w:highlight w:val="none"/>
        </w:rPr>
        <w:t>服务商须知前附表</w:t>
      </w:r>
    </w:p>
    <w:tbl>
      <w:tblPr>
        <w:tblStyle w:val="27"/>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242F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CE59AE0">
            <w:pPr>
              <w:pStyle w:val="14"/>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653F5DEF">
            <w:pPr>
              <w:pStyle w:val="14"/>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4E2A0D2F">
            <w:pPr>
              <w:pStyle w:val="14"/>
              <w:spacing w:line="360" w:lineRule="exact"/>
              <w:jc w:val="center"/>
              <w:rPr>
                <w:rFonts w:hAnsi="宋体" w:cs="宋体"/>
                <w:b/>
                <w:color w:val="auto"/>
                <w:highlight w:val="none"/>
              </w:rPr>
            </w:pPr>
            <w:r>
              <w:rPr>
                <w:rFonts w:hint="eastAsia" w:hAnsi="宋体" w:cs="宋体"/>
                <w:b/>
                <w:color w:val="auto"/>
                <w:highlight w:val="none"/>
              </w:rPr>
              <w:t>详细内容</w:t>
            </w:r>
          </w:p>
        </w:tc>
      </w:tr>
      <w:tr w14:paraId="3F51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C42D2AA">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1711" w:type="dxa"/>
            <w:vAlign w:val="center"/>
          </w:tcPr>
          <w:p w14:paraId="468946BD">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采购人</w:t>
            </w:r>
          </w:p>
        </w:tc>
        <w:tc>
          <w:tcPr>
            <w:tcW w:w="6418" w:type="dxa"/>
            <w:vAlign w:val="center"/>
          </w:tcPr>
          <w:p w14:paraId="6279CEF9">
            <w:pPr>
              <w:pStyle w:val="14"/>
              <w:spacing w:line="360" w:lineRule="exact"/>
              <w:jc w:val="left"/>
              <w:rPr>
                <w:rFonts w:hint="eastAsia" w:ascii="仿宋_GB2312" w:hAnsi="仿宋_GB2312" w:eastAsia="仿宋_GB2312" w:cs="仿宋_GB2312"/>
                <w:bCs/>
                <w:color w:val="auto"/>
                <w:kern w:val="2"/>
                <w:sz w:val="21"/>
                <w:szCs w:val="21"/>
                <w:highlight w:val="none"/>
                <w:lang w:val="en-US" w:eastAsia="zh-CN" w:bidi="ar-SA"/>
              </w:rPr>
            </w:pPr>
            <w:r>
              <w:rPr>
                <w:rFonts w:hint="eastAsia" w:ascii="仿宋_GB2312" w:hAnsi="仿宋_GB2312" w:eastAsia="仿宋_GB2312" w:cs="仿宋_GB2312"/>
                <w:bCs/>
                <w:color w:val="auto"/>
                <w:kern w:val="2"/>
                <w:sz w:val="21"/>
                <w:szCs w:val="21"/>
                <w:highlight w:val="none"/>
                <w:lang w:val="en-US" w:eastAsia="zh-CN" w:bidi="ar-SA"/>
              </w:rPr>
              <w:t>采购人：广西自贸区钦保新材料有限公司</w:t>
            </w:r>
          </w:p>
          <w:p w14:paraId="6A1BA5E0">
            <w:pPr>
              <w:pStyle w:val="14"/>
              <w:spacing w:line="360" w:lineRule="exact"/>
              <w:jc w:val="left"/>
              <w:rPr>
                <w:rFonts w:hint="eastAsia" w:ascii="仿宋_GB2312" w:hAnsi="仿宋_GB2312" w:eastAsia="仿宋_GB2312" w:cs="仿宋_GB2312"/>
                <w:bCs/>
                <w:color w:val="auto"/>
                <w:kern w:val="2"/>
                <w:sz w:val="21"/>
                <w:szCs w:val="21"/>
                <w:highlight w:val="none"/>
                <w:lang w:val="en-US" w:eastAsia="zh-CN" w:bidi="ar-SA"/>
              </w:rPr>
            </w:pPr>
            <w:r>
              <w:rPr>
                <w:rFonts w:hint="eastAsia" w:ascii="仿宋_GB2312" w:hAnsi="仿宋_GB2312" w:eastAsia="仿宋_GB2312" w:cs="仿宋_GB2312"/>
                <w:bCs/>
                <w:color w:val="auto"/>
                <w:kern w:val="2"/>
                <w:sz w:val="21"/>
                <w:szCs w:val="21"/>
                <w:highlight w:val="none"/>
                <w:lang w:val="en-US" w:eastAsia="zh-CN" w:bidi="ar-SA"/>
              </w:rPr>
              <w:t>项目联系人：罗泰源</w:t>
            </w:r>
          </w:p>
          <w:p w14:paraId="1BB462D2">
            <w:pPr>
              <w:pStyle w:val="14"/>
              <w:spacing w:line="360" w:lineRule="exact"/>
              <w:jc w:val="lef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电话：</w:t>
            </w:r>
            <w:r>
              <w:rPr>
                <w:rFonts w:hint="eastAsia" w:ascii="仿宋_GB2312" w:hAnsi="仿宋_GB2312" w:eastAsia="仿宋_GB2312" w:cs="仿宋_GB2312"/>
                <w:bCs/>
                <w:color w:val="auto"/>
                <w:sz w:val="24"/>
                <w:szCs w:val="24"/>
                <w:highlight w:val="none"/>
                <w:u w:val="single"/>
                <w:lang w:val="en-US" w:eastAsia="zh-CN"/>
              </w:rPr>
              <w:t>19178759339</w:t>
            </w:r>
          </w:p>
        </w:tc>
      </w:tr>
      <w:tr w14:paraId="6552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5337B0F">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p>
        </w:tc>
        <w:tc>
          <w:tcPr>
            <w:tcW w:w="1711" w:type="dxa"/>
            <w:vAlign w:val="center"/>
          </w:tcPr>
          <w:p w14:paraId="706920E5">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项目名称</w:t>
            </w:r>
          </w:p>
        </w:tc>
        <w:tc>
          <w:tcPr>
            <w:tcW w:w="6418" w:type="dxa"/>
            <w:vAlign w:val="center"/>
          </w:tcPr>
          <w:p w14:paraId="36B1DA17">
            <w:pPr>
              <w:spacing w:line="400" w:lineRule="exac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Cs/>
                <w:color w:val="auto"/>
                <w:szCs w:val="21"/>
                <w:highlight w:val="none"/>
                <w:lang w:val="en-US" w:eastAsia="zh-CN"/>
              </w:rPr>
              <w:t>北部湾（钦州）专用汽车生产项目</w:t>
            </w:r>
            <w:r>
              <w:rPr>
                <w:rFonts w:hint="eastAsia" w:ascii="仿宋_GB2312" w:hAnsi="仿宋_GB2312" w:eastAsia="仿宋_GB2312" w:cs="仿宋_GB2312"/>
                <w:lang w:val="en-US" w:eastAsia="zh-CN"/>
              </w:rPr>
              <w:t>设计服务项目</w:t>
            </w:r>
          </w:p>
        </w:tc>
      </w:tr>
      <w:tr w14:paraId="0591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AE4DA08">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w:t>
            </w:r>
          </w:p>
        </w:tc>
        <w:tc>
          <w:tcPr>
            <w:tcW w:w="1711" w:type="dxa"/>
            <w:vAlign w:val="center"/>
          </w:tcPr>
          <w:p w14:paraId="588C4907">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采购预算</w:t>
            </w:r>
          </w:p>
        </w:tc>
        <w:tc>
          <w:tcPr>
            <w:tcW w:w="6418" w:type="dxa"/>
            <w:vAlign w:val="center"/>
          </w:tcPr>
          <w:p w14:paraId="4BD55382">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人民币（大写）捌万贰仟叁佰元整（¥82300.00）</w:t>
            </w:r>
          </w:p>
        </w:tc>
      </w:tr>
      <w:tr w14:paraId="0579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94A2A88">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w:t>
            </w:r>
          </w:p>
        </w:tc>
        <w:tc>
          <w:tcPr>
            <w:tcW w:w="1711" w:type="dxa"/>
            <w:vAlign w:val="center"/>
          </w:tcPr>
          <w:p w14:paraId="11E19E7E">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最高限价</w:t>
            </w:r>
          </w:p>
        </w:tc>
        <w:tc>
          <w:tcPr>
            <w:tcW w:w="6418" w:type="dxa"/>
            <w:vAlign w:val="center"/>
          </w:tcPr>
          <w:p w14:paraId="1EE565F5">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人民币（大写）捌万贰仟叁佰元整（¥82300.00）</w:t>
            </w:r>
          </w:p>
        </w:tc>
      </w:tr>
      <w:tr w14:paraId="6970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7BE1EC2">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w:t>
            </w:r>
          </w:p>
        </w:tc>
        <w:tc>
          <w:tcPr>
            <w:tcW w:w="1711" w:type="dxa"/>
            <w:vAlign w:val="center"/>
          </w:tcPr>
          <w:p w14:paraId="0CC03218">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资金来源</w:t>
            </w:r>
          </w:p>
        </w:tc>
        <w:tc>
          <w:tcPr>
            <w:tcW w:w="6418" w:type="dxa"/>
            <w:vAlign w:val="center"/>
          </w:tcPr>
          <w:p w14:paraId="32D65F63">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自有资金</w:t>
            </w:r>
          </w:p>
        </w:tc>
      </w:tr>
      <w:tr w14:paraId="5F96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63D5111">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6</w:t>
            </w:r>
          </w:p>
        </w:tc>
        <w:tc>
          <w:tcPr>
            <w:tcW w:w="1711" w:type="dxa"/>
            <w:vAlign w:val="center"/>
          </w:tcPr>
          <w:p w14:paraId="3A26D450">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采购文件的获取</w:t>
            </w:r>
          </w:p>
        </w:tc>
        <w:tc>
          <w:tcPr>
            <w:tcW w:w="6418" w:type="dxa"/>
            <w:vAlign w:val="center"/>
          </w:tcPr>
          <w:p w14:paraId="4E4F76E5">
            <w:pPr>
              <w:pStyle w:val="14"/>
              <w:spacing w:line="360" w:lineRule="exact"/>
              <w:rPr>
                <w:rFonts w:hint="eastAsia" w:ascii="仿宋_GB2312" w:hAnsi="仿宋_GB2312" w:eastAsia="仿宋_GB2312" w:cs="仿宋_GB2312"/>
                <w:color w:val="auto"/>
                <w:spacing w:val="6"/>
                <w:kern w:val="48"/>
                <w:highlight w:val="none"/>
              </w:rPr>
            </w:pPr>
            <w:r>
              <w:rPr>
                <w:rFonts w:hint="eastAsia" w:ascii="仿宋_GB2312" w:hAnsi="仿宋_GB2312" w:eastAsia="仿宋_GB2312" w:cs="仿宋_GB2312"/>
                <w:color w:val="auto"/>
                <w:highlight w:val="none"/>
              </w:rPr>
              <w:t>服务商在广西自贸区钦州港片区开发投资集团有限责任公司网站</w:t>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"http://www.qbtzjt.com" </w:instrText>
            </w:r>
            <w:r>
              <w:rPr>
                <w:rFonts w:hint="eastAsia" w:ascii="仿宋_GB2312" w:hAnsi="仿宋_GB2312" w:eastAsia="仿宋_GB2312" w:cs="仿宋_GB2312"/>
                <w:color w:val="auto"/>
                <w:highlight w:val="none"/>
              </w:rPr>
              <w:fldChar w:fldCharType="separate"/>
            </w:r>
            <w:r>
              <w:rPr>
                <w:rStyle w:val="30"/>
                <w:rFonts w:hint="eastAsia" w:ascii="仿宋_GB2312" w:hAnsi="仿宋_GB2312" w:eastAsia="仿宋_GB2312" w:cs="仿宋_GB2312"/>
                <w:color w:val="auto"/>
                <w:highlight w:val="none"/>
              </w:rPr>
              <w:t>http://www.qzmktjt.com</w:t>
            </w:r>
            <w:r>
              <w:rPr>
                <w:rStyle w:val="30"/>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t>获取（下载）采购文件</w:t>
            </w:r>
          </w:p>
        </w:tc>
      </w:tr>
      <w:tr w14:paraId="580D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E33D78C">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7</w:t>
            </w:r>
          </w:p>
        </w:tc>
        <w:tc>
          <w:tcPr>
            <w:tcW w:w="1711" w:type="dxa"/>
            <w:vAlign w:val="center"/>
          </w:tcPr>
          <w:p w14:paraId="0B035013">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服务商应具备的资格条件</w:t>
            </w:r>
          </w:p>
        </w:tc>
        <w:tc>
          <w:tcPr>
            <w:tcW w:w="6418" w:type="dxa"/>
            <w:vAlign w:val="center"/>
          </w:tcPr>
          <w:p w14:paraId="7A883D7C">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1.服务商应当具备下列条件：</w:t>
            </w:r>
          </w:p>
          <w:p w14:paraId="11178A34">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（1）国内注册（指按国家有关规定要求注册），具有有效的营业执照。</w:t>
            </w:r>
          </w:p>
          <w:p w14:paraId="34CB56BC">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（2）具有独立承担民事责任的能力；</w:t>
            </w:r>
          </w:p>
          <w:p w14:paraId="3D0EAEE0">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（3）参加采购活动前三年内，在经营活动中没有重大违法记录（由竞标人提供证明或采购人在“信用中国”网站查询）；</w:t>
            </w:r>
          </w:p>
          <w:p w14:paraId="4450B306">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（4）近3年内（自2023年1月1日以来）具有相应或类似的工程业绩，并附上相应的合同复印件，需提供1个及以上的服务业绩。</w:t>
            </w:r>
          </w:p>
          <w:p w14:paraId="6B4F9AB6">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2.单位负责人为同一人或者存在直接控股、管理关系的不同服务商，不得参加同一合同项下的采购活动。</w:t>
            </w:r>
          </w:p>
          <w:p w14:paraId="432FC3AB">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3.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0F656A1D">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4.法律、行政法规规定的其他条件。</w:t>
            </w:r>
          </w:p>
          <w:p w14:paraId="271D1AA6">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5.具备综合资质甲级或建筑行业乙级（或以上）设计资质。</w:t>
            </w:r>
          </w:p>
          <w:p w14:paraId="4CFDAA53">
            <w:pPr>
              <w:spacing w:line="400" w:lineRule="exact"/>
              <w:rPr>
                <w:rFonts w:hint="eastAsia" w:ascii="仿宋_GB2312" w:hAnsi="仿宋_GB2312" w:eastAsia="仿宋_GB2312" w:cs="仿宋_GB2312"/>
                <w:bCs/>
                <w:color w:val="auto"/>
                <w:szCs w:val="21"/>
                <w:highlight w:val="none"/>
                <w:lang w:val="en-US" w:eastAsia="zh-CN"/>
              </w:rPr>
            </w:pPr>
            <w:r>
              <w:rPr>
                <w:rFonts w:hint="eastAsia" w:ascii="仿宋_GB2312" w:hAnsi="仿宋_GB2312" w:eastAsia="仿宋_GB2312" w:cs="仿宋_GB2312"/>
                <w:bCs/>
                <w:color w:val="auto"/>
                <w:szCs w:val="21"/>
                <w:highlight w:val="none"/>
                <w:lang w:val="en-US" w:eastAsia="zh-CN"/>
              </w:rPr>
              <w:t>6.项目负责人须具备国家一级注册建筑师执业资格，并具有中级及以上职称；</w:t>
            </w:r>
          </w:p>
          <w:p w14:paraId="3E51047E">
            <w:pPr>
              <w:spacing w:line="400" w:lineRule="exact"/>
              <w:rPr>
                <w:rFonts w:hint="eastAsia" w:ascii="仿宋_GB2312" w:hAnsi="仿宋_GB2312" w:eastAsia="仿宋_GB2312" w:cs="仿宋_GB2312"/>
                <w:bCs/>
                <w:color w:val="auto"/>
                <w:sz w:val="24"/>
                <w:szCs w:val="24"/>
                <w:highlight w:val="none"/>
                <w:lang w:val="en-US" w:eastAsia="zh-CN"/>
              </w:rPr>
            </w:pPr>
            <w:r>
              <w:rPr>
                <w:rFonts w:hint="eastAsia" w:ascii="仿宋_GB2312" w:hAnsi="仿宋_GB2312" w:eastAsia="仿宋_GB2312" w:cs="仿宋_GB2312"/>
                <w:bCs/>
                <w:color w:val="auto"/>
                <w:szCs w:val="21"/>
                <w:highlight w:val="none"/>
                <w:lang w:val="en-US" w:eastAsia="zh-CN"/>
              </w:rPr>
              <w:t>7.具有良好的商业信誉和健全的财务制度。</w:t>
            </w:r>
          </w:p>
        </w:tc>
      </w:tr>
      <w:tr w14:paraId="4374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1DF699A">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w:t>
            </w:r>
          </w:p>
        </w:tc>
        <w:tc>
          <w:tcPr>
            <w:tcW w:w="1711" w:type="dxa"/>
            <w:vAlign w:val="center"/>
          </w:tcPr>
          <w:p w14:paraId="0C253082">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是否接受联合体竞标</w:t>
            </w:r>
          </w:p>
        </w:tc>
        <w:tc>
          <w:tcPr>
            <w:tcW w:w="6418" w:type="dxa"/>
            <w:vAlign w:val="center"/>
          </w:tcPr>
          <w:p w14:paraId="0C204716">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sym w:font="Wingdings 2" w:char="00A3"/>
            </w:r>
            <w:r>
              <w:rPr>
                <w:rFonts w:hint="eastAsia" w:ascii="仿宋_GB2312" w:hAnsi="仿宋_GB2312" w:eastAsia="仿宋_GB2312" w:cs="仿宋_GB2312"/>
                <w:color w:val="auto"/>
                <w:highlight w:val="none"/>
              </w:rPr>
              <w:t xml:space="preserve">接受联合体竞标  </w:t>
            </w:r>
            <w:r>
              <w:rPr>
                <w:rFonts w:hint="eastAsia" w:ascii="仿宋_GB2312" w:hAnsi="仿宋_GB2312" w:eastAsia="仿宋_GB2312" w:cs="仿宋_GB2312"/>
                <w:color w:val="auto"/>
                <w:highlight w:val="none"/>
              </w:rPr>
              <w:sym w:font="Wingdings 2" w:char="0052"/>
            </w:r>
            <w:r>
              <w:rPr>
                <w:rFonts w:hint="eastAsia" w:ascii="仿宋_GB2312" w:hAnsi="仿宋_GB2312" w:eastAsia="仿宋_GB2312" w:cs="仿宋_GB2312"/>
                <w:color w:val="auto"/>
                <w:highlight w:val="none"/>
              </w:rPr>
              <w:t>不接受联合体竞标</w:t>
            </w:r>
          </w:p>
        </w:tc>
      </w:tr>
      <w:tr w14:paraId="3011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70AF4F4">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9</w:t>
            </w:r>
          </w:p>
        </w:tc>
        <w:tc>
          <w:tcPr>
            <w:tcW w:w="1711" w:type="dxa"/>
            <w:vAlign w:val="center"/>
          </w:tcPr>
          <w:p w14:paraId="0A23E80B">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响应文件份数</w:t>
            </w:r>
          </w:p>
        </w:tc>
        <w:tc>
          <w:tcPr>
            <w:tcW w:w="6418" w:type="dxa"/>
            <w:vAlign w:val="center"/>
          </w:tcPr>
          <w:p w14:paraId="06C94A73">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响应文件：</w:t>
            </w:r>
            <w:r>
              <w:rPr>
                <w:rFonts w:hint="eastAsia" w:ascii="仿宋_GB2312" w:hAnsi="仿宋_GB2312" w:eastAsia="仿宋_GB2312" w:cs="仿宋_GB2312"/>
                <w:b/>
                <w:bCs/>
                <w:color w:val="auto"/>
                <w:highlight w:val="none"/>
              </w:rPr>
              <w:t>正本1份，副本2份</w:t>
            </w:r>
          </w:p>
          <w:p w14:paraId="1924689D">
            <w:pP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6"/>
                <w:kern w:val="48"/>
                <w:szCs w:val="21"/>
                <w:highlight w:val="none"/>
              </w:rPr>
              <w:t>服务商必须在首次</w:t>
            </w:r>
            <w:r>
              <w:rPr>
                <w:rFonts w:hint="eastAsia" w:ascii="仿宋_GB2312" w:hAnsi="仿宋_GB2312" w:eastAsia="仿宋_GB2312" w:cs="仿宋_GB2312"/>
                <w:color w:val="auto"/>
                <w:highlight w:val="none"/>
              </w:rPr>
              <w:t>响应文件提交截止时间</w:t>
            </w:r>
            <w:r>
              <w:rPr>
                <w:rFonts w:hint="eastAsia" w:ascii="仿宋_GB2312" w:hAnsi="仿宋_GB2312" w:eastAsia="仿宋_GB2312" w:cs="仿宋_GB2312"/>
                <w:color w:val="auto"/>
                <w:spacing w:val="6"/>
                <w:kern w:val="48"/>
                <w:szCs w:val="21"/>
                <w:highlight w:val="none"/>
              </w:rPr>
              <w:t>前，将响应文件密封送达指定地点。在首次响应文件提交截止时间后送达的响应文件为无效文件，采购人应当拒收。</w:t>
            </w:r>
          </w:p>
        </w:tc>
      </w:tr>
      <w:tr w14:paraId="45FA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58F38BC">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10</w:t>
            </w:r>
          </w:p>
        </w:tc>
        <w:tc>
          <w:tcPr>
            <w:tcW w:w="1711" w:type="dxa"/>
            <w:vAlign w:val="center"/>
          </w:tcPr>
          <w:p w14:paraId="08C8A966">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评审方法</w:t>
            </w:r>
          </w:p>
        </w:tc>
        <w:tc>
          <w:tcPr>
            <w:tcW w:w="6418" w:type="dxa"/>
            <w:vAlign w:val="center"/>
          </w:tcPr>
          <w:p w14:paraId="0AD0A894">
            <w:pP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满足采购文件的实质性要求，且经评审得分最高的供应商为成交供应商。</w:t>
            </w:r>
          </w:p>
        </w:tc>
      </w:tr>
      <w:tr w14:paraId="0C41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683BFA29">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w:t>
            </w:r>
          </w:p>
        </w:tc>
        <w:tc>
          <w:tcPr>
            <w:tcW w:w="1711" w:type="dxa"/>
            <w:vAlign w:val="center"/>
          </w:tcPr>
          <w:p w14:paraId="740373E7">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竞标有效期</w:t>
            </w:r>
          </w:p>
        </w:tc>
        <w:tc>
          <w:tcPr>
            <w:tcW w:w="6418" w:type="dxa"/>
            <w:vAlign w:val="center"/>
          </w:tcPr>
          <w:p w14:paraId="1A7A6F24">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自竞标截止时间起60天</w:t>
            </w:r>
          </w:p>
        </w:tc>
      </w:tr>
      <w:tr w14:paraId="04EE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B6DB220">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w:t>
            </w:r>
          </w:p>
        </w:tc>
        <w:tc>
          <w:tcPr>
            <w:tcW w:w="1711" w:type="dxa"/>
            <w:vAlign w:val="center"/>
          </w:tcPr>
          <w:p w14:paraId="1EA5549F">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竞标保证金金额</w:t>
            </w:r>
          </w:p>
        </w:tc>
        <w:tc>
          <w:tcPr>
            <w:tcW w:w="6418" w:type="dxa"/>
            <w:vAlign w:val="center"/>
          </w:tcPr>
          <w:p w14:paraId="3B4F9E8E">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6"/>
                <w:kern w:val="48"/>
                <w:highlight w:val="none"/>
              </w:rPr>
              <w:t>无</w:t>
            </w:r>
          </w:p>
        </w:tc>
      </w:tr>
      <w:tr w14:paraId="3FA6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267E04D">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w:t>
            </w:r>
          </w:p>
        </w:tc>
        <w:tc>
          <w:tcPr>
            <w:tcW w:w="1711" w:type="dxa"/>
            <w:vAlign w:val="center"/>
          </w:tcPr>
          <w:p w14:paraId="5CFE163D">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竞标截止时间</w:t>
            </w:r>
          </w:p>
        </w:tc>
        <w:tc>
          <w:tcPr>
            <w:tcW w:w="6418" w:type="dxa"/>
            <w:vAlign w:val="center"/>
          </w:tcPr>
          <w:p w14:paraId="6E25F8BC">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Cs w:val="24"/>
                <w:highlight w:val="none"/>
              </w:rPr>
              <w:t>与第一章公告</w:t>
            </w:r>
            <w:r>
              <w:rPr>
                <w:rFonts w:hint="eastAsia" w:ascii="仿宋_GB2312" w:hAnsi="仿宋_GB2312" w:eastAsia="仿宋_GB2312" w:cs="仿宋_GB2312"/>
                <w:color w:val="auto"/>
                <w:highlight w:val="none"/>
              </w:rPr>
              <w:t>响应文件提交截止时间</w:t>
            </w:r>
            <w:r>
              <w:rPr>
                <w:rFonts w:hint="eastAsia" w:ascii="仿宋_GB2312" w:hAnsi="仿宋_GB2312" w:eastAsia="仿宋_GB2312" w:cs="仿宋_GB2312"/>
                <w:color w:val="auto"/>
                <w:szCs w:val="24"/>
                <w:highlight w:val="none"/>
              </w:rPr>
              <w:t>一致</w:t>
            </w:r>
          </w:p>
        </w:tc>
      </w:tr>
      <w:tr w14:paraId="3549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A7B16DA">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w:t>
            </w:r>
          </w:p>
        </w:tc>
        <w:tc>
          <w:tcPr>
            <w:tcW w:w="1711" w:type="dxa"/>
            <w:vAlign w:val="center"/>
          </w:tcPr>
          <w:p w14:paraId="3D583011">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响应文件提交</w:t>
            </w:r>
          </w:p>
          <w:p w14:paraId="73F68FB9">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截止时间和地点</w:t>
            </w:r>
          </w:p>
        </w:tc>
        <w:tc>
          <w:tcPr>
            <w:tcW w:w="6418" w:type="dxa"/>
            <w:vAlign w:val="center"/>
          </w:tcPr>
          <w:p w14:paraId="22F2BA47">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Cs w:val="24"/>
                <w:highlight w:val="none"/>
              </w:rPr>
              <w:t>与第一章公告</w:t>
            </w:r>
            <w:r>
              <w:rPr>
                <w:rFonts w:hint="eastAsia" w:ascii="仿宋_GB2312" w:hAnsi="仿宋_GB2312" w:eastAsia="仿宋_GB2312" w:cs="仿宋_GB2312"/>
                <w:color w:val="auto"/>
                <w:highlight w:val="none"/>
              </w:rPr>
              <w:t>响应文件提交截止时间、地点</w:t>
            </w:r>
            <w:r>
              <w:rPr>
                <w:rFonts w:hint="eastAsia" w:ascii="仿宋_GB2312" w:hAnsi="仿宋_GB2312" w:eastAsia="仿宋_GB2312" w:cs="仿宋_GB2312"/>
                <w:color w:val="auto"/>
                <w:szCs w:val="24"/>
                <w:highlight w:val="none"/>
              </w:rPr>
              <w:t>一致</w:t>
            </w:r>
          </w:p>
        </w:tc>
      </w:tr>
      <w:tr w14:paraId="563D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5E41DF3">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15</w:t>
            </w:r>
          </w:p>
        </w:tc>
        <w:tc>
          <w:tcPr>
            <w:tcW w:w="1711" w:type="dxa"/>
            <w:vAlign w:val="center"/>
          </w:tcPr>
          <w:p w14:paraId="076949AB">
            <w:pPr>
              <w:pStyle w:val="14"/>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开标时间和地点</w:t>
            </w:r>
          </w:p>
        </w:tc>
        <w:tc>
          <w:tcPr>
            <w:tcW w:w="6418" w:type="dxa"/>
            <w:vAlign w:val="center"/>
          </w:tcPr>
          <w:p w14:paraId="1CF59BC8">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服务商不需要到达开标现场。采购人要求多次报价的，由采购人另行通知所有提交响应文件的竞标人。</w:t>
            </w:r>
          </w:p>
        </w:tc>
      </w:tr>
      <w:tr w14:paraId="2BCA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1308819">
            <w:pPr>
              <w:pStyle w:val="14"/>
              <w:adjustRightInd w:val="0"/>
              <w:spacing w:line="3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16</w:t>
            </w:r>
          </w:p>
        </w:tc>
        <w:tc>
          <w:tcPr>
            <w:tcW w:w="1711" w:type="dxa"/>
            <w:vAlign w:val="center"/>
          </w:tcPr>
          <w:p w14:paraId="253067CD">
            <w:pPr>
              <w:autoSpaceDE w:val="0"/>
              <w:autoSpaceDN w:val="0"/>
              <w:spacing w:line="360" w:lineRule="exact"/>
              <w:jc w:val="center"/>
              <w:rPr>
                <w:rFonts w:hint="eastAsia" w:ascii="仿宋_GB2312" w:hAnsi="仿宋_GB2312" w:eastAsia="仿宋_GB2312" w:cs="仿宋_GB2312"/>
                <w:color w:val="auto"/>
                <w:szCs w:val="20"/>
                <w:highlight w:val="none"/>
              </w:rPr>
            </w:pPr>
            <w:r>
              <w:rPr>
                <w:rFonts w:hint="eastAsia" w:ascii="仿宋_GB2312" w:hAnsi="仿宋_GB2312" w:eastAsia="仿宋_GB2312" w:cs="仿宋_GB2312"/>
                <w:color w:val="auto"/>
                <w:szCs w:val="20"/>
                <w:highlight w:val="none"/>
              </w:rPr>
              <w:t>需要补充的其他内容</w:t>
            </w:r>
          </w:p>
        </w:tc>
        <w:tc>
          <w:tcPr>
            <w:tcW w:w="6418" w:type="dxa"/>
            <w:vAlign w:val="center"/>
          </w:tcPr>
          <w:p w14:paraId="3CE88071">
            <w:pPr>
              <w:pStyle w:val="14"/>
              <w:spacing w:line="36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无</w:t>
            </w:r>
          </w:p>
        </w:tc>
      </w:tr>
    </w:tbl>
    <w:p w14:paraId="41EBFF9A">
      <w:pPr>
        <w:rPr>
          <w:rFonts w:ascii="宋体" w:hAnsi="宋体" w:eastAsia="宋体" w:cs="宋体"/>
          <w:color w:val="auto"/>
          <w:highlight w:val="none"/>
        </w:rPr>
      </w:pPr>
      <w:r>
        <w:rPr>
          <w:rFonts w:hint="eastAsia" w:ascii="宋体" w:hAnsi="宋体" w:eastAsia="宋体" w:cs="宋体"/>
          <w:color w:val="auto"/>
          <w:highlight w:val="none"/>
        </w:rPr>
        <w:br w:type="page"/>
      </w:r>
    </w:p>
    <w:p w14:paraId="5781129A">
      <w:pPr>
        <w:pStyle w:val="48"/>
        <w:spacing w:before="156"/>
        <w:rPr>
          <w:rFonts w:hint="default"/>
          <w:color w:val="auto"/>
          <w:highlight w:val="none"/>
          <w:lang w:bidi="zh-CN"/>
        </w:rPr>
      </w:pPr>
      <w:r>
        <w:rPr>
          <w:color w:val="auto"/>
          <w:highlight w:val="none"/>
        </w:rPr>
        <w:t>一、</w:t>
      </w:r>
      <w:r>
        <w:rPr>
          <w:color w:val="auto"/>
          <w:highlight w:val="none"/>
          <w:lang w:bidi="zh-CN"/>
        </w:rPr>
        <w:t>总则</w:t>
      </w:r>
    </w:p>
    <w:p w14:paraId="4ACFBE5F">
      <w:pPr>
        <w:pStyle w:val="49"/>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0373944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9F91FD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32F601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FA6780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2B77A5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28155D1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00E06B0A">
      <w:pPr>
        <w:pStyle w:val="49"/>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6DD0AF0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30"/>
          <w:rFonts w:ascii="宋体" w:hAnsi="宋体" w:eastAsia="宋体" w:cs="宋体"/>
          <w:color w:val="auto"/>
          <w:sz w:val="24"/>
          <w:szCs w:val="24"/>
          <w:highlight w:val="none"/>
          <w:lang w:bidi="zh-CN"/>
        </w:rPr>
        <w:t>http://www.</w:t>
      </w:r>
      <w:r>
        <w:rPr>
          <w:rStyle w:val="30"/>
          <w:rFonts w:hint="eastAsia" w:ascii="宋体" w:hAnsi="宋体" w:eastAsia="宋体" w:cs="宋体"/>
          <w:color w:val="auto"/>
          <w:sz w:val="24"/>
          <w:szCs w:val="24"/>
          <w:highlight w:val="none"/>
          <w:lang w:bidi="zh-CN"/>
        </w:rPr>
        <w:t>qzmktjt</w:t>
      </w:r>
      <w:r>
        <w:rPr>
          <w:rStyle w:val="30"/>
          <w:rFonts w:ascii="宋体" w:hAnsi="宋体" w:eastAsia="宋体" w:cs="宋体"/>
          <w:color w:val="auto"/>
          <w:sz w:val="24"/>
          <w:szCs w:val="24"/>
          <w:highlight w:val="none"/>
          <w:lang w:bidi="zh-CN"/>
        </w:rPr>
        <w:t>.com</w:t>
      </w:r>
      <w:r>
        <w:rPr>
          <w:rStyle w:val="30"/>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3745B9F7">
      <w:pPr>
        <w:pStyle w:val="49"/>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273420D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28D8101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6A540062">
      <w:pPr>
        <w:pStyle w:val="49"/>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08AAD3DC">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363D61FB">
      <w:pPr>
        <w:pStyle w:val="49"/>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28F9015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24476A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220CBD03">
      <w:pPr>
        <w:pStyle w:val="49"/>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1DBF6F9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40AEFD2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684C8CCB">
      <w:pPr>
        <w:pStyle w:val="49"/>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7C467B49">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6FEBBA0C">
      <w:pPr>
        <w:pStyle w:val="49"/>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328C4AA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56FE7EDE">
      <w:pPr>
        <w:pStyle w:val="49"/>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4F76D76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D05092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0862F2F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371F4C1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61C41D4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4C766CE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6CD9924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6C85209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5C69AFF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2B39FB4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135C07F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010B2AA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00639A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5B9202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16E57BC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7761BCF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5C25681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1560EC9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3ED4B7A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62D4326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D57976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4D49F15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2C4B0CA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6693C0D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0D95D2C4">
      <w:pPr>
        <w:pStyle w:val="49"/>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674CB8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12CB82A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1EB21CB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741BAC5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D76AA5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DAEC8E2">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4DA89E29">
      <w:pPr>
        <w:pStyle w:val="48"/>
        <w:spacing w:before="156"/>
        <w:jc w:val="both"/>
        <w:rPr>
          <w:rFonts w:hint="default"/>
          <w:color w:val="auto"/>
          <w:highlight w:val="none"/>
          <w:lang w:bidi="zh-CN"/>
        </w:rPr>
      </w:pPr>
    </w:p>
    <w:p w14:paraId="3540CE67">
      <w:pPr>
        <w:pStyle w:val="48"/>
        <w:spacing w:before="156"/>
        <w:rPr>
          <w:rFonts w:hint="default"/>
          <w:color w:val="auto"/>
          <w:highlight w:val="none"/>
          <w:lang w:bidi="zh-CN"/>
        </w:rPr>
      </w:pPr>
      <w:r>
        <w:rPr>
          <w:color w:val="auto"/>
          <w:highlight w:val="none"/>
          <w:lang w:bidi="zh-CN"/>
        </w:rPr>
        <w:t>二、响应文件的编制</w:t>
      </w:r>
    </w:p>
    <w:p w14:paraId="143F5A1A">
      <w:pPr>
        <w:pStyle w:val="49"/>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0071054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0DA3CEEE">
      <w:pPr>
        <w:pStyle w:val="49"/>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6DD4DD6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1E0C9E6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1991CE2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40E9A4A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3286E31A">
      <w:pPr>
        <w:pStyle w:val="49"/>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32ADC5AA">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281E321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0F8F95F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3A128F1C">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17580FA8">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58F20D26">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47C9E345">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785D5828">
      <w:pPr>
        <w:pStyle w:val="49"/>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27C33310">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4C0795B0">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5A71BD8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53B54E63">
      <w:pPr>
        <w:pStyle w:val="49"/>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090B36F3">
      <w:pPr>
        <w:pStyle w:val="49"/>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FDB44A0">
      <w:pPr>
        <w:pStyle w:val="47"/>
        <w:spacing w:after="312"/>
        <w:rPr>
          <w:rFonts w:hint="default"/>
          <w:color w:val="auto"/>
          <w:highlight w:val="none"/>
        </w:rPr>
      </w:pPr>
      <w:r>
        <w:rPr>
          <w:color w:val="auto"/>
          <w:highlight w:val="none"/>
        </w:rPr>
        <w:t>第三章 评审办法</w:t>
      </w:r>
    </w:p>
    <w:p w14:paraId="0519024B">
      <w:pPr>
        <w:pStyle w:val="49"/>
        <w:spacing w:before="156" w:after="156"/>
        <w:rPr>
          <w:rFonts w:hint="default"/>
          <w:color w:val="auto"/>
          <w:highlight w:val="none"/>
        </w:rPr>
      </w:pPr>
      <w:r>
        <w:rPr>
          <w:color w:val="auto"/>
          <w:highlight w:val="none"/>
        </w:rPr>
        <w:t>1.评审小组的构成</w:t>
      </w:r>
    </w:p>
    <w:p w14:paraId="38EA674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0022BB94">
      <w:pPr>
        <w:pStyle w:val="49"/>
        <w:spacing w:before="156" w:after="156"/>
        <w:rPr>
          <w:rFonts w:hint="default"/>
          <w:color w:val="auto"/>
          <w:highlight w:val="none"/>
        </w:rPr>
      </w:pPr>
      <w:r>
        <w:rPr>
          <w:color w:val="auto"/>
          <w:highlight w:val="none"/>
        </w:rPr>
        <w:t>2.评审依据</w:t>
      </w:r>
    </w:p>
    <w:p w14:paraId="1A3CCFE1">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1DA6CAC8">
      <w:pPr>
        <w:pStyle w:val="49"/>
        <w:spacing w:before="156" w:after="156"/>
        <w:rPr>
          <w:rFonts w:hint="default"/>
          <w:color w:val="auto"/>
          <w:highlight w:val="none"/>
        </w:rPr>
      </w:pPr>
      <w:r>
        <w:rPr>
          <w:color w:val="auto"/>
          <w:highlight w:val="none"/>
        </w:rPr>
        <w:t>3.评审方法</w:t>
      </w:r>
    </w:p>
    <w:p w14:paraId="1C2C3A44">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1DFE2569">
      <w:pPr>
        <w:pStyle w:val="49"/>
        <w:spacing w:before="156" w:after="156"/>
        <w:rPr>
          <w:rFonts w:hint="default"/>
          <w:color w:val="auto"/>
          <w:highlight w:val="none"/>
        </w:rPr>
      </w:pPr>
      <w:r>
        <w:rPr>
          <w:color w:val="auto"/>
          <w:highlight w:val="none"/>
        </w:rPr>
        <w:t>4.成交候选供应商推荐原则</w:t>
      </w:r>
    </w:p>
    <w:p w14:paraId="1031A0DF">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2E72FC37">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7"/>
        <w:tblW w:w="8899" w:type="dxa"/>
        <w:tblInd w:w="93" w:type="dxa"/>
        <w:tblLayout w:type="autofit"/>
        <w:tblCellMar>
          <w:top w:w="0" w:type="dxa"/>
          <w:left w:w="108" w:type="dxa"/>
          <w:bottom w:w="0" w:type="dxa"/>
          <w:right w:w="108" w:type="dxa"/>
        </w:tblCellMar>
      </w:tblPr>
      <w:tblGrid>
        <w:gridCol w:w="1043"/>
        <w:gridCol w:w="846"/>
        <w:gridCol w:w="5683"/>
        <w:gridCol w:w="1327"/>
      </w:tblGrid>
      <w:tr w14:paraId="005F5465">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1354B05B">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3B862A11">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17101772">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27D64B0">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34D25A18">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9359175">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60</w:t>
            </w:r>
            <w:r>
              <w:rPr>
                <w:rFonts w:hint="eastAsia" w:ascii="黑体" w:hAnsi="宋体" w:eastAsia="黑体" w:cs="黑体"/>
                <w:b/>
                <w:bCs/>
                <w:color w:val="auto"/>
                <w:kern w:val="0"/>
                <w:szCs w:val="21"/>
                <w:highlight w:val="none"/>
                <w:lang w:bidi="ar"/>
              </w:rPr>
              <w:t>分）</w:t>
            </w:r>
          </w:p>
        </w:tc>
      </w:tr>
    </w:tbl>
    <w:p w14:paraId="0F9C43D7"/>
    <w:tbl>
      <w:tblPr>
        <w:tblStyle w:val="27"/>
        <w:tblW w:w="8899" w:type="dxa"/>
        <w:tblInd w:w="93" w:type="dxa"/>
        <w:tblLayout w:type="autofit"/>
        <w:tblCellMar>
          <w:top w:w="0" w:type="dxa"/>
          <w:left w:w="108" w:type="dxa"/>
          <w:bottom w:w="0" w:type="dxa"/>
          <w:right w:w="108" w:type="dxa"/>
        </w:tblCellMar>
      </w:tblPr>
      <w:tblGrid>
        <w:gridCol w:w="1043"/>
        <w:gridCol w:w="846"/>
        <w:gridCol w:w="5683"/>
        <w:gridCol w:w="1327"/>
      </w:tblGrid>
      <w:tr w14:paraId="5EE1362A">
        <w:tblPrEx>
          <w:tblCellMar>
            <w:top w:w="0" w:type="dxa"/>
            <w:left w:w="108" w:type="dxa"/>
            <w:bottom w:w="0" w:type="dxa"/>
            <w:right w:w="108" w:type="dxa"/>
          </w:tblCellMar>
        </w:tblPrEx>
        <w:trPr>
          <w:trHeight w:val="920" w:hRule="atLeast"/>
        </w:trPr>
        <w:tc>
          <w:tcPr>
            <w:tcW w:w="1043" w:type="dxa"/>
            <w:vMerge w:val="restart"/>
            <w:tcBorders>
              <w:top w:val="single" w:color="000000" w:sz="4" w:space="0"/>
              <w:left w:val="single" w:color="000000" w:sz="4" w:space="0"/>
              <w:right w:val="single" w:color="000000" w:sz="4" w:space="0"/>
            </w:tcBorders>
            <w:vAlign w:val="center"/>
          </w:tcPr>
          <w:p w14:paraId="5A7E41D4">
            <w:pPr>
              <w:jc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eastAsia="宋体" w:cs="宋体"/>
                <w:b/>
                <w:bCs/>
                <w:color w:val="auto"/>
                <w:kern w:val="0"/>
                <w:sz w:val="22"/>
                <w:highlight w:val="none"/>
                <w:lang w:val="en-US" w:eastAsia="zh-CN" w:bidi="ar"/>
              </w:rPr>
              <w:t>设计</w:t>
            </w:r>
            <w:r>
              <w:rPr>
                <w:rFonts w:hint="eastAsia" w:ascii="宋体" w:hAnsi="宋体" w:eastAsia="宋体" w:cs="宋体"/>
                <w:b/>
                <w:bCs/>
                <w:color w:val="auto"/>
                <w:kern w:val="0"/>
                <w:sz w:val="22"/>
                <w:highlight w:val="none"/>
                <w:lang w:bidi="ar"/>
              </w:rPr>
              <w:t>方案（</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right w:val="single" w:color="000000" w:sz="4" w:space="0"/>
            </w:tcBorders>
            <w:vAlign w:val="center"/>
          </w:tcPr>
          <w:p w14:paraId="1C995B94">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3A33217D">
            <w:pPr>
              <w:pStyle w:val="23"/>
              <w:widowControl/>
              <w:rPr>
                <w:rFonts w:hint="default" w:ascii="宋体" w:hAnsi="宋体" w:eastAsia="宋体" w:cs="宋体"/>
                <w:color w:val="auto"/>
                <w:sz w:val="22"/>
                <w:highlight w:val="none"/>
                <w:lang w:val="en-US"/>
              </w:rPr>
            </w:pPr>
            <w:r>
              <w:rPr>
                <w:rFonts w:hint="eastAsia" w:ascii="宋体" w:hAnsi="宋体" w:eastAsia="宋体" w:cs="宋体"/>
                <w:color w:val="auto"/>
                <w:kern w:val="2"/>
                <w:sz w:val="21"/>
                <w:szCs w:val="21"/>
                <w:highlight w:val="none"/>
                <w:lang w:val="en-US" w:eastAsia="zh-CN" w:bidi="ar-SA"/>
              </w:rPr>
              <w:t>一档（21-30分）：</w:t>
            </w:r>
            <w:r>
              <w:rPr>
                <w:rFonts w:hint="default" w:ascii="宋体" w:hAnsi="宋体" w:eastAsia="宋体" w:cs="宋体"/>
                <w:color w:val="auto"/>
                <w:kern w:val="2"/>
                <w:sz w:val="21"/>
                <w:szCs w:val="21"/>
                <w:highlight w:val="none"/>
                <w:lang w:val="en-US" w:eastAsia="zh-CN" w:bidi="ar-SA"/>
              </w:rPr>
              <w:t>设计服务方案科学合理，内容详尽有针对性。至少包含对项目所处区域建设条件的分析、对具体设计工作组织实施分析、现状分析、能提出合理化建议，且与采购人前期工作、施工阶段至工程 竣工验收完毕的配合措施合理可行，内容具体深刻，可行性强。整体评价优秀。</w:t>
            </w:r>
          </w:p>
        </w:tc>
        <w:tc>
          <w:tcPr>
            <w:tcW w:w="1327" w:type="dxa"/>
            <w:vMerge w:val="restart"/>
            <w:tcBorders>
              <w:top w:val="single" w:color="000000" w:sz="4" w:space="0"/>
              <w:left w:val="single" w:color="000000" w:sz="4" w:space="0"/>
              <w:right w:val="single" w:color="000000" w:sz="4" w:space="0"/>
            </w:tcBorders>
            <w:vAlign w:val="center"/>
          </w:tcPr>
          <w:p w14:paraId="33F3D134">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1-30分</w:t>
            </w:r>
          </w:p>
        </w:tc>
      </w:tr>
      <w:tr w14:paraId="0B05A1A4">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FFCA62E">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A8D46F6">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1BC2D017">
            <w:pPr>
              <w:pStyle w:val="23"/>
              <w:widowControl/>
              <w:rPr>
                <w:rFonts w:hint="eastAsia" w:ascii="宋体" w:hAnsi="宋体" w:eastAsia="宋体" w:cs="宋体"/>
                <w:color w:val="auto"/>
                <w:sz w:val="22"/>
                <w:highlight w:val="none"/>
                <w:lang w:eastAsia="zh-CN"/>
              </w:rPr>
            </w:pPr>
            <w:r>
              <w:rPr>
                <w:rFonts w:hint="eastAsia" w:ascii="宋体" w:hAnsi="宋体" w:eastAsia="宋体" w:cs="宋体"/>
                <w:color w:val="auto"/>
                <w:kern w:val="2"/>
                <w:sz w:val="21"/>
                <w:szCs w:val="21"/>
                <w:highlight w:val="none"/>
                <w:lang w:val="en-US" w:eastAsia="zh-CN" w:bidi="ar-SA"/>
              </w:rPr>
              <w:t>二档（11-20分）：</w:t>
            </w:r>
            <w:r>
              <w:rPr>
                <w:rFonts w:hint="default" w:ascii="宋体" w:hAnsi="宋体" w:eastAsia="宋体" w:cs="宋体"/>
                <w:color w:val="auto"/>
                <w:kern w:val="2"/>
                <w:sz w:val="21"/>
                <w:szCs w:val="21"/>
                <w:highlight w:val="none"/>
                <w:lang w:val="en-US" w:eastAsia="zh-CN" w:bidi="ar-SA"/>
              </w:rPr>
              <w:t>设计服务方案较合理，内容基本详尽。至少包含对具体设计工作组织实施分析</w:t>
            </w:r>
            <w:r>
              <w:rPr>
                <w:rFonts w:hint="eastAsia" w:ascii="宋体" w:hAnsi="宋体" w:eastAsia="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与采购人前期工作、施工阶段至工程 竣工验收完毕的配合措施可行，整体评价中等</w:t>
            </w:r>
            <w:r>
              <w:rPr>
                <w:rFonts w:hint="eastAsia" w:ascii="宋体" w:hAnsi="宋体" w:eastAsia="宋体" w:cs="宋体"/>
                <w:color w:val="auto"/>
                <w:kern w:val="2"/>
                <w:sz w:val="21"/>
                <w:szCs w:val="21"/>
                <w:highlight w:val="none"/>
                <w:lang w:val="en-US" w:eastAsia="zh-CN" w:bidi="ar-SA"/>
              </w:rPr>
              <w:t>。</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C884931">
            <w:pPr>
              <w:jc w:val="center"/>
              <w:rPr>
                <w:rFonts w:ascii="宋体" w:hAnsi="宋体" w:eastAsia="宋体" w:cs="宋体"/>
                <w:color w:val="auto"/>
                <w:sz w:val="22"/>
                <w:highlight w:val="none"/>
              </w:rPr>
            </w:pPr>
          </w:p>
        </w:tc>
      </w:tr>
      <w:tr w14:paraId="3552FB96">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auto" w:sz="4" w:space="0"/>
              <w:right w:val="single" w:color="000000" w:sz="4" w:space="0"/>
            </w:tcBorders>
            <w:vAlign w:val="center"/>
          </w:tcPr>
          <w:p w14:paraId="6D8B0ECC">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auto" w:sz="4" w:space="0"/>
              <w:right w:val="single" w:color="000000" w:sz="4" w:space="0"/>
            </w:tcBorders>
            <w:vAlign w:val="center"/>
          </w:tcPr>
          <w:p w14:paraId="46EA08AE">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F120C4B">
            <w:pPr>
              <w:pStyle w:val="23"/>
              <w:widowControl/>
              <w:rPr>
                <w:rFonts w:ascii="宋体" w:hAnsi="宋体" w:eastAsia="宋体" w:cs="宋体"/>
                <w:color w:val="auto"/>
                <w:sz w:val="22"/>
                <w:highlight w:val="none"/>
              </w:rPr>
            </w:pPr>
            <w:r>
              <w:rPr>
                <w:rFonts w:hint="eastAsia" w:ascii="宋体" w:hAnsi="宋体" w:eastAsia="宋体" w:cs="宋体"/>
                <w:color w:val="auto"/>
                <w:kern w:val="2"/>
                <w:sz w:val="21"/>
                <w:szCs w:val="21"/>
                <w:highlight w:val="none"/>
                <w:lang w:val="en-US" w:eastAsia="zh-CN" w:bidi="ar-SA"/>
              </w:rPr>
              <w:t>三档（0-10分）：</w:t>
            </w:r>
            <w:r>
              <w:rPr>
                <w:rFonts w:hint="default" w:ascii="宋体" w:hAnsi="宋体" w:eastAsia="宋体" w:cs="宋体"/>
                <w:color w:val="auto"/>
                <w:kern w:val="2"/>
                <w:sz w:val="21"/>
                <w:szCs w:val="21"/>
                <w:highlight w:val="none"/>
                <w:lang w:val="en-US" w:eastAsia="zh-CN" w:bidi="ar-SA"/>
              </w:rPr>
              <w:t>设计服务方案一般，内容简单，对具体设计工作组织实施分析，与采购人前期工作、施工阶段至工程竣工验收完毕的配合措施一般，针对性差，整体评价一般。</w:t>
            </w:r>
          </w:p>
        </w:tc>
        <w:tc>
          <w:tcPr>
            <w:tcW w:w="1327" w:type="dxa"/>
            <w:vMerge w:val="continue"/>
            <w:tcBorders>
              <w:top w:val="single" w:color="000000" w:sz="4" w:space="0"/>
              <w:left w:val="single" w:color="000000" w:sz="4" w:space="0"/>
              <w:bottom w:val="single" w:color="auto" w:sz="4" w:space="0"/>
              <w:right w:val="single" w:color="000000" w:sz="4" w:space="0"/>
            </w:tcBorders>
            <w:vAlign w:val="center"/>
          </w:tcPr>
          <w:p w14:paraId="763EDBD5">
            <w:pPr>
              <w:jc w:val="center"/>
              <w:rPr>
                <w:rFonts w:ascii="宋体" w:hAnsi="宋体" w:eastAsia="宋体" w:cs="宋体"/>
                <w:color w:val="auto"/>
                <w:sz w:val="22"/>
                <w:highlight w:val="none"/>
              </w:rPr>
            </w:pPr>
          </w:p>
        </w:tc>
      </w:tr>
      <w:tr w14:paraId="7584EB1D">
        <w:tblPrEx>
          <w:tblCellMar>
            <w:top w:w="0" w:type="dxa"/>
            <w:left w:w="108" w:type="dxa"/>
            <w:bottom w:w="0" w:type="dxa"/>
            <w:right w:w="108" w:type="dxa"/>
          </w:tblCellMar>
        </w:tblPrEx>
        <w:trPr>
          <w:trHeight w:val="1260" w:hRule="atLeast"/>
        </w:trPr>
        <w:tc>
          <w:tcPr>
            <w:tcW w:w="1043" w:type="dxa"/>
            <w:tcBorders>
              <w:top w:val="single" w:color="auto" w:sz="4" w:space="0"/>
              <w:left w:val="single" w:color="000000" w:sz="4" w:space="0"/>
              <w:bottom w:val="single" w:color="000000" w:sz="4" w:space="0"/>
              <w:right w:val="single" w:color="000000" w:sz="4" w:space="0"/>
            </w:tcBorders>
            <w:vAlign w:val="center"/>
          </w:tcPr>
          <w:p w14:paraId="098C1D55">
            <w:pPr>
              <w:jc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二</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服务相应管理方案</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15</w:t>
            </w:r>
            <w:r>
              <w:rPr>
                <w:rFonts w:hint="eastAsia" w:ascii="宋体" w:hAnsi="宋体" w:eastAsia="宋体" w:cs="宋体"/>
                <w:b/>
                <w:bCs/>
                <w:color w:val="auto"/>
                <w:kern w:val="0"/>
                <w:sz w:val="22"/>
                <w:highlight w:val="none"/>
                <w:lang w:bidi="ar"/>
              </w:rPr>
              <w:t>分）</w:t>
            </w:r>
          </w:p>
        </w:tc>
        <w:tc>
          <w:tcPr>
            <w:tcW w:w="846" w:type="dxa"/>
            <w:tcBorders>
              <w:top w:val="single" w:color="auto" w:sz="4" w:space="0"/>
              <w:left w:val="single" w:color="000000" w:sz="4" w:space="0"/>
              <w:bottom w:val="single" w:color="000000" w:sz="4" w:space="0"/>
              <w:right w:val="single" w:color="000000" w:sz="4" w:space="0"/>
            </w:tcBorders>
            <w:vAlign w:val="center"/>
          </w:tcPr>
          <w:p w14:paraId="59B5193F">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51B26A39">
            <w:pPr>
              <w:pStyle w:val="23"/>
              <w:widowControl/>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要求：</w:t>
            </w:r>
            <w:r>
              <w:rPr>
                <w:rFonts w:hint="default" w:ascii="宋体" w:hAnsi="宋体" w:eastAsia="宋体" w:cs="宋体"/>
                <w:color w:val="auto"/>
                <w:kern w:val="2"/>
                <w:sz w:val="21"/>
                <w:szCs w:val="21"/>
                <w:highlight w:val="none"/>
                <w:lang w:val="en-US" w:eastAsia="zh-CN" w:bidi="ar-SA"/>
              </w:rPr>
              <w:t>服务响应有具体的方案或承诺，响应及时，能够两小时内到达现场，对设计变更有具体控制措施，完全确保项目顺利实施至工程竣工验收完毕。</w:t>
            </w:r>
          </w:p>
          <w:p w14:paraId="7339B7C6">
            <w:pPr>
              <w:pStyle w:val="23"/>
              <w:widowControl/>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一档</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11</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15</w:t>
            </w:r>
            <w:r>
              <w:rPr>
                <w:rFonts w:hint="default" w:ascii="宋体" w:hAnsi="宋体" w:eastAsia="宋体" w:cs="宋体"/>
                <w:color w:val="auto"/>
                <w:kern w:val="2"/>
                <w:sz w:val="21"/>
                <w:szCs w:val="21"/>
                <w:highlight w:val="none"/>
                <w:lang w:val="en-US" w:eastAsia="zh-CN" w:bidi="ar-SA"/>
              </w:rPr>
              <w:t>分）：内容充实，完全满足招标要求。</w:t>
            </w:r>
          </w:p>
          <w:p w14:paraId="1611EFD6">
            <w:pPr>
              <w:pStyle w:val="23"/>
              <w:widowControl/>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二档</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6</w:t>
            </w: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0</w:t>
            </w:r>
            <w:r>
              <w:rPr>
                <w:rFonts w:hint="default" w:ascii="宋体" w:hAnsi="宋体" w:eastAsia="宋体" w:cs="宋体"/>
                <w:color w:val="auto"/>
                <w:kern w:val="2"/>
                <w:sz w:val="21"/>
                <w:szCs w:val="21"/>
                <w:highlight w:val="none"/>
                <w:lang w:val="en-US" w:eastAsia="zh-CN" w:bidi="ar-SA"/>
              </w:rPr>
              <w:t>分）：内容较可行，基本满足招标要求。</w:t>
            </w:r>
          </w:p>
          <w:p w14:paraId="656D320E">
            <w:pPr>
              <w:pStyle w:val="23"/>
              <w:widowControl/>
              <w:rPr>
                <w:rFonts w:ascii="宋体" w:hAnsi="宋体" w:eastAsia="宋体" w:cs="宋体"/>
                <w:b/>
                <w:bCs/>
                <w:color w:val="auto"/>
                <w:sz w:val="22"/>
                <w:highlight w:val="none"/>
              </w:rPr>
            </w:pPr>
            <w:r>
              <w:rPr>
                <w:rFonts w:hint="eastAsia" w:ascii="宋体" w:hAnsi="宋体" w:eastAsia="宋体" w:cs="宋体"/>
                <w:color w:val="auto"/>
                <w:kern w:val="2"/>
                <w:sz w:val="21"/>
                <w:szCs w:val="21"/>
                <w:highlight w:val="none"/>
                <w:lang w:val="en-US" w:eastAsia="zh-CN" w:bidi="ar-SA"/>
              </w:rPr>
              <w:t>三档</w:t>
            </w:r>
            <w:r>
              <w:rPr>
                <w:rFonts w:hint="default" w:ascii="宋体" w:hAnsi="宋体" w:eastAsia="宋体" w:cs="宋体"/>
                <w:color w:val="auto"/>
                <w:kern w:val="2"/>
                <w:sz w:val="21"/>
                <w:szCs w:val="21"/>
                <w:highlight w:val="none"/>
                <w:lang w:val="en-US" w:eastAsia="zh-CN" w:bidi="ar-SA"/>
              </w:rPr>
              <w:t>（0-</w:t>
            </w:r>
            <w:r>
              <w:rPr>
                <w:rFonts w:hint="eastAsia" w:ascii="宋体" w:hAnsi="宋体" w:eastAsia="宋体" w:cs="宋体"/>
                <w:color w:val="auto"/>
                <w:kern w:val="2"/>
                <w:sz w:val="21"/>
                <w:szCs w:val="21"/>
                <w:highlight w:val="none"/>
                <w:lang w:val="en-US" w:eastAsia="zh-CN" w:bidi="ar-SA"/>
              </w:rPr>
              <w:t>5</w:t>
            </w:r>
            <w:r>
              <w:rPr>
                <w:rFonts w:hint="default" w:ascii="宋体" w:hAnsi="宋体" w:eastAsia="宋体" w:cs="宋体"/>
                <w:color w:val="auto"/>
                <w:kern w:val="2"/>
                <w:sz w:val="21"/>
                <w:szCs w:val="21"/>
                <w:highlight w:val="none"/>
                <w:lang w:val="en-US" w:eastAsia="zh-CN" w:bidi="ar-SA"/>
              </w:rPr>
              <w:t>分）：内容简单，</w:t>
            </w:r>
            <w:r>
              <w:rPr>
                <w:rFonts w:hint="eastAsia" w:ascii="宋体" w:hAnsi="宋体" w:eastAsia="宋体" w:cs="宋体"/>
                <w:color w:val="auto"/>
                <w:kern w:val="2"/>
                <w:sz w:val="21"/>
                <w:szCs w:val="21"/>
                <w:highlight w:val="none"/>
                <w:lang w:val="en-US" w:eastAsia="zh-CN" w:bidi="ar-SA"/>
              </w:rPr>
              <w:t>不</w:t>
            </w:r>
            <w:r>
              <w:rPr>
                <w:rFonts w:hint="default" w:ascii="宋体" w:hAnsi="宋体" w:eastAsia="宋体" w:cs="宋体"/>
                <w:color w:val="auto"/>
                <w:kern w:val="2"/>
                <w:sz w:val="21"/>
                <w:szCs w:val="21"/>
                <w:highlight w:val="none"/>
                <w:lang w:val="en-US" w:eastAsia="zh-CN" w:bidi="ar-SA"/>
              </w:rPr>
              <w:t>满足招标要求。</w:t>
            </w:r>
          </w:p>
        </w:tc>
        <w:tc>
          <w:tcPr>
            <w:tcW w:w="1327" w:type="dxa"/>
            <w:tcBorders>
              <w:top w:val="single" w:color="auto" w:sz="4" w:space="0"/>
              <w:left w:val="single" w:color="000000" w:sz="4" w:space="0"/>
              <w:bottom w:val="single" w:color="000000" w:sz="4" w:space="0"/>
              <w:right w:val="single" w:color="000000" w:sz="4" w:space="0"/>
            </w:tcBorders>
            <w:vAlign w:val="center"/>
          </w:tcPr>
          <w:p w14:paraId="6A07C7A1">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1-15分</w:t>
            </w:r>
          </w:p>
        </w:tc>
      </w:tr>
      <w:tr w14:paraId="6A3518B4">
        <w:tblPrEx>
          <w:tblCellMar>
            <w:top w:w="0" w:type="dxa"/>
            <w:left w:w="108" w:type="dxa"/>
            <w:bottom w:w="0" w:type="dxa"/>
            <w:right w:w="108" w:type="dxa"/>
          </w:tblCellMar>
        </w:tblPrEx>
        <w:trPr>
          <w:trHeight w:val="1260" w:hRule="atLeast"/>
        </w:trPr>
        <w:tc>
          <w:tcPr>
            <w:tcW w:w="1043" w:type="dxa"/>
            <w:tcBorders>
              <w:top w:val="single" w:color="auto" w:sz="4" w:space="0"/>
              <w:left w:val="single" w:color="000000" w:sz="4" w:space="0"/>
              <w:bottom w:val="single" w:color="000000" w:sz="4" w:space="0"/>
              <w:right w:val="single" w:color="000000" w:sz="4" w:space="0"/>
            </w:tcBorders>
            <w:vAlign w:val="center"/>
          </w:tcPr>
          <w:p w14:paraId="5A7D6AF3">
            <w:pPr>
              <w:jc w:val="center"/>
              <w:rPr>
                <w:rFonts w:hint="eastAsia" w:ascii="宋体" w:hAnsi="宋体" w:eastAsia="宋体" w:cs="宋体"/>
                <w:b/>
                <w:bCs/>
                <w:color w:val="auto"/>
                <w:kern w:val="0"/>
                <w:sz w:val="22"/>
                <w:highlight w:val="none"/>
                <w:lang w:val="en-US" w:eastAsia="zh-CN" w:bidi="ar"/>
              </w:rPr>
            </w:pPr>
            <w:r>
              <w:rPr>
                <w:rFonts w:hint="eastAsia" w:ascii="宋体" w:hAnsi="宋体" w:eastAsia="宋体" w:cs="宋体"/>
                <w:b/>
                <w:bCs/>
                <w:color w:val="auto"/>
                <w:kern w:val="0"/>
                <w:sz w:val="22"/>
                <w:highlight w:val="none"/>
                <w:lang w:val="en-US" w:eastAsia="zh-CN" w:bidi="ar"/>
              </w:rPr>
              <w:t>（三）拟投入人员情况</w:t>
            </w:r>
          </w:p>
          <w:p w14:paraId="28C3C390">
            <w:pPr>
              <w:jc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val="en-US" w:eastAsia="zh-CN" w:bidi="ar"/>
              </w:rPr>
              <w:t>（15分）</w:t>
            </w:r>
          </w:p>
        </w:tc>
        <w:tc>
          <w:tcPr>
            <w:tcW w:w="846" w:type="dxa"/>
            <w:tcBorders>
              <w:top w:val="single" w:color="auto" w:sz="4" w:space="0"/>
              <w:left w:val="single" w:color="000000" w:sz="4" w:space="0"/>
              <w:bottom w:val="single" w:color="000000" w:sz="4" w:space="0"/>
              <w:right w:val="single" w:color="000000" w:sz="4" w:space="0"/>
            </w:tcBorders>
            <w:vAlign w:val="center"/>
          </w:tcPr>
          <w:p w14:paraId="5904FBF2">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636E2734">
            <w:pPr>
              <w:pStyle w:val="23"/>
              <w:widowControl/>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投人本项目的项目负责人具有高级职称，得5分;拟投入本项目技术人员(不含项目负责人);具有中级职称，每人得3分;本项满分15分.(不重复计算)备注:专业以技术职称证书所填写专业为准，如技术职称证书不填写专业的，则以毕业证书所填专业为准;拟投入人员须提供相关职称证书复印件以及投标人为其缴纳的投标截止之日前近半年连续3个月的社保证明复印件并加盖单位公章，否则不得分。</w:t>
            </w:r>
          </w:p>
        </w:tc>
        <w:tc>
          <w:tcPr>
            <w:tcW w:w="1327" w:type="dxa"/>
            <w:tcBorders>
              <w:top w:val="single" w:color="auto" w:sz="4" w:space="0"/>
              <w:left w:val="single" w:color="000000" w:sz="4" w:space="0"/>
              <w:bottom w:val="single" w:color="000000" w:sz="4" w:space="0"/>
              <w:right w:val="single" w:color="000000" w:sz="4" w:space="0"/>
            </w:tcBorders>
            <w:vAlign w:val="center"/>
          </w:tcPr>
          <w:p w14:paraId="7195073D">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0-15分</w:t>
            </w:r>
          </w:p>
        </w:tc>
      </w:tr>
      <w:tr w14:paraId="66C5E2F0">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6DA2DEDD">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w:t>
            </w:r>
            <w:r>
              <w:rPr>
                <w:rFonts w:hint="eastAsia" w:ascii="黑体" w:hAnsi="宋体" w:eastAsia="黑体" w:cs="黑体"/>
                <w:b/>
                <w:bCs/>
                <w:color w:val="auto"/>
                <w:kern w:val="0"/>
                <w:szCs w:val="21"/>
                <w:highlight w:val="none"/>
                <w:lang w:val="en-US" w:eastAsia="zh-CN" w:bidi="ar"/>
              </w:rPr>
              <w:t>0</w:t>
            </w:r>
            <w:r>
              <w:rPr>
                <w:rFonts w:hint="eastAsia" w:ascii="黑体" w:hAnsi="宋体" w:eastAsia="黑体" w:cs="黑体"/>
                <w:b/>
                <w:bCs/>
                <w:color w:val="auto"/>
                <w:kern w:val="0"/>
                <w:szCs w:val="21"/>
                <w:highlight w:val="none"/>
                <w:lang w:bidi="ar"/>
              </w:rPr>
              <w:t>分）</w:t>
            </w:r>
          </w:p>
        </w:tc>
      </w:tr>
      <w:tr w14:paraId="594FA237">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181B8FBC">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w:t>
            </w:r>
            <w:r>
              <w:rPr>
                <w:rFonts w:hint="eastAsia" w:ascii="宋体" w:hAnsi="宋体" w:eastAsia="宋体" w:cs="宋体"/>
                <w:b/>
                <w:bCs/>
                <w:color w:val="auto"/>
                <w:kern w:val="0"/>
                <w:sz w:val="22"/>
                <w:highlight w:val="none"/>
                <w:lang w:val="en-US" w:eastAsia="zh-CN" w:bidi="ar"/>
              </w:rPr>
              <w:t>0</w:t>
            </w:r>
            <w:r>
              <w:rPr>
                <w:rFonts w:hint="eastAsia" w:ascii="宋体" w:hAnsi="宋体" w:eastAsia="宋体" w:cs="宋体"/>
                <w:b/>
                <w:bCs/>
                <w:color w:val="auto"/>
                <w:kern w:val="0"/>
                <w:sz w:val="22"/>
                <w:highlight w:val="none"/>
                <w:lang w:bidi="ar"/>
              </w:rPr>
              <w:t>分）</w:t>
            </w:r>
          </w:p>
        </w:tc>
        <w:tc>
          <w:tcPr>
            <w:tcW w:w="846" w:type="dxa"/>
            <w:tcBorders>
              <w:top w:val="single" w:color="000000" w:sz="4" w:space="0"/>
              <w:left w:val="single" w:color="000000" w:sz="4" w:space="0"/>
              <w:bottom w:val="single" w:color="000000" w:sz="4" w:space="0"/>
              <w:right w:val="single" w:color="000000" w:sz="4" w:space="0"/>
            </w:tcBorders>
            <w:vAlign w:val="center"/>
          </w:tcPr>
          <w:p w14:paraId="2BD87E14">
            <w:pPr>
              <w:pStyle w:val="23"/>
              <w:widowControl/>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w:t>
            </w:r>
          </w:p>
        </w:tc>
        <w:tc>
          <w:tcPr>
            <w:tcW w:w="5683" w:type="dxa"/>
            <w:tcBorders>
              <w:top w:val="single" w:color="000000" w:sz="4" w:space="0"/>
              <w:left w:val="single" w:color="000000" w:sz="4" w:space="0"/>
              <w:bottom w:val="single" w:color="000000" w:sz="4" w:space="0"/>
              <w:right w:val="single" w:color="000000" w:sz="4" w:space="0"/>
            </w:tcBorders>
            <w:vAlign w:val="center"/>
          </w:tcPr>
          <w:p w14:paraId="3E5D20F2">
            <w:pPr>
              <w:pStyle w:val="23"/>
              <w:widowControl/>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满足资格审查条件后，</w:t>
            </w:r>
            <w:r>
              <w:rPr>
                <w:rFonts w:hint="eastAsia" w:ascii="宋体" w:hAnsi="宋体" w:eastAsia="宋体" w:cs="宋体"/>
                <w:color w:val="auto"/>
                <w:kern w:val="2"/>
                <w:sz w:val="21"/>
                <w:szCs w:val="21"/>
                <w:highlight w:val="none"/>
                <w:lang w:val="en-US" w:eastAsia="zh-CN" w:bidi="ar-SA"/>
              </w:rPr>
              <w:t>增加2022年至2025年房屋建筑类设计项目（合同金额10万元以上）（提供合同书或中标通知书复印件为准）每个5分，满分10分。</w:t>
            </w:r>
          </w:p>
        </w:tc>
        <w:tc>
          <w:tcPr>
            <w:tcW w:w="1327" w:type="dxa"/>
            <w:tcBorders>
              <w:top w:val="single" w:color="000000" w:sz="4" w:space="0"/>
              <w:left w:val="single" w:color="000000" w:sz="4" w:space="0"/>
              <w:bottom w:val="single" w:color="000000" w:sz="4" w:space="0"/>
              <w:right w:val="single" w:color="000000" w:sz="4" w:space="0"/>
            </w:tcBorders>
            <w:vAlign w:val="center"/>
          </w:tcPr>
          <w:p w14:paraId="52A00701">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10</w:t>
            </w:r>
            <w:r>
              <w:rPr>
                <w:rFonts w:hint="eastAsia" w:ascii="宋体" w:hAnsi="宋体" w:eastAsia="宋体" w:cs="宋体"/>
                <w:color w:val="auto"/>
                <w:kern w:val="0"/>
                <w:sz w:val="22"/>
                <w:highlight w:val="none"/>
                <w:lang w:bidi="ar"/>
              </w:rPr>
              <w:t>分</w:t>
            </w:r>
          </w:p>
        </w:tc>
      </w:tr>
      <w:tr w14:paraId="56D37D55">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693CC34C">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三、商务部分（30分）</w:t>
            </w:r>
          </w:p>
        </w:tc>
      </w:tr>
      <w:tr w14:paraId="0FAA31EF">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06E9BC">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5E5FABFA">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5CD2D513">
            <w:pPr>
              <w:widowControl/>
              <w:numPr>
                <w:ilvl w:val="0"/>
                <w:numId w:val="0"/>
              </w:numPr>
              <w:jc w:val="left"/>
              <w:textAlignment w:val="auto"/>
              <w:rPr>
                <w:rFonts w:ascii="宋体" w:hAnsi="宋体" w:eastAsia="宋体" w:cs="宋体"/>
                <w:color w:val="auto"/>
                <w:sz w:val="22"/>
                <w:highlight w:val="none"/>
              </w:rPr>
            </w:pPr>
            <w:r>
              <w:rPr>
                <w:rFonts w:hint="default" w:ascii="宋体" w:hAnsi="宋体" w:eastAsia="宋体" w:cs="宋体"/>
                <w:color w:val="auto"/>
                <w:kern w:val="2"/>
                <w:sz w:val="21"/>
                <w:szCs w:val="21"/>
                <w:highlight w:val="none"/>
                <w:lang w:val="en-US" w:eastAsia="zh-CN" w:bidi="ar-SA"/>
              </w:rPr>
              <w:t>以经评审投标报价的平均值为评标基准价，满分 30分，采用内插法计算，投标人报价每高于评标基准价1%的扣1分，每低于评标基准价1%的扣0.5分，扣完为止，计算出投标人的投标报价得分。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4570D360">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0-3</w:t>
            </w: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分</w:t>
            </w:r>
          </w:p>
        </w:tc>
      </w:tr>
      <w:tr w14:paraId="73AFDF64">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8D3AEF">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533990E">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02AD5292">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C8CF85E">
            <w:pPr>
              <w:jc w:val="center"/>
              <w:rPr>
                <w:rFonts w:ascii="宋体" w:hAnsi="宋体" w:eastAsia="宋体" w:cs="宋体"/>
                <w:color w:val="auto"/>
                <w:sz w:val="22"/>
                <w:highlight w:val="none"/>
              </w:rPr>
            </w:pPr>
          </w:p>
        </w:tc>
      </w:tr>
      <w:tr w14:paraId="0CD84893">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052467A9">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EF94A7F">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5222387F">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6ADFBCC8">
            <w:pPr>
              <w:rPr>
                <w:rFonts w:ascii="宋体" w:hAnsi="宋体" w:eastAsia="宋体" w:cs="宋体"/>
                <w:b/>
                <w:bCs/>
                <w:color w:val="auto"/>
                <w:sz w:val="22"/>
                <w:highlight w:val="none"/>
              </w:rPr>
            </w:pPr>
          </w:p>
        </w:tc>
      </w:tr>
    </w:tbl>
    <w:p w14:paraId="7C883E5F">
      <w:pPr>
        <w:rPr>
          <w:color w:val="auto"/>
          <w:highlight w:val="none"/>
        </w:rPr>
      </w:pPr>
    </w:p>
    <w:p w14:paraId="12F67DEB">
      <w:pPr>
        <w:rPr>
          <w:color w:val="auto"/>
          <w:highlight w:val="none"/>
        </w:rPr>
      </w:pPr>
      <w:r>
        <w:rPr>
          <w:color w:val="auto"/>
          <w:highlight w:val="none"/>
        </w:rPr>
        <w:br w:type="page"/>
      </w:r>
      <w:bookmarkStart w:id="7" w:name="_GoBack"/>
      <w:bookmarkEnd w:id="7"/>
    </w:p>
    <w:p w14:paraId="1AA471CB">
      <w:pPr>
        <w:pStyle w:val="47"/>
        <w:spacing w:after="312"/>
        <w:rPr>
          <w:rFonts w:hint="default"/>
          <w:color w:val="auto"/>
          <w:highlight w:val="none"/>
        </w:rPr>
      </w:pPr>
      <w:r>
        <w:rPr>
          <w:color w:val="auto"/>
          <w:highlight w:val="none"/>
        </w:rPr>
        <w:t>第四章  响应文件格式</w:t>
      </w:r>
    </w:p>
    <w:p w14:paraId="04FBDC6C">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B991D7D">
      <w:pPr>
        <w:rPr>
          <w:rFonts w:ascii="宋体" w:hAnsi="宋体" w:eastAsia="宋体" w:cs="宋体"/>
          <w:b/>
          <w:bCs/>
          <w:color w:val="auto"/>
          <w:sz w:val="32"/>
          <w:szCs w:val="32"/>
          <w:highlight w:val="none"/>
        </w:rPr>
      </w:pPr>
    </w:p>
    <w:p w14:paraId="1D5117EA">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701077F8">
      <w:pPr>
        <w:rPr>
          <w:rFonts w:ascii="宋体" w:hAnsi="宋体" w:eastAsia="宋体" w:cs="宋体"/>
          <w:color w:val="auto"/>
          <w:sz w:val="32"/>
          <w:szCs w:val="32"/>
          <w:highlight w:val="none"/>
        </w:rPr>
      </w:pPr>
    </w:p>
    <w:p w14:paraId="19CB7D58">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4A492134">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16A875DD">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5961014C">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1B21E3BD">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69009D95">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65974629">
      <w:pPr>
        <w:pStyle w:val="8"/>
        <w:rPr>
          <w:rFonts w:ascii="宋体" w:hAnsi="宋体" w:eastAsia="宋体" w:cs="宋体"/>
          <w:color w:val="auto"/>
          <w:sz w:val="30"/>
          <w:szCs w:val="30"/>
          <w:highlight w:val="none"/>
        </w:rPr>
      </w:pPr>
    </w:p>
    <w:p w14:paraId="69C2038C">
      <w:pPr>
        <w:rPr>
          <w:rFonts w:ascii="宋体" w:hAnsi="宋体" w:eastAsia="宋体" w:cs="宋体"/>
          <w:color w:val="auto"/>
          <w:sz w:val="30"/>
          <w:szCs w:val="30"/>
          <w:highlight w:val="none"/>
        </w:rPr>
      </w:pPr>
    </w:p>
    <w:p w14:paraId="4C6FF090">
      <w:pPr>
        <w:pStyle w:val="8"/>
        <w:rPr>
          <w:rFonts w:ascii="宋体" w:hAnsi="宋体" w:eastAsia="宋体" w:cs="宋体"/>
          <w:color w:val="auto"/>
          <w:sz w:val="30"/>
          <w:szCs w:val="30"/>
          <w:highlight w:val="none"/>
        </w:rPr>
      </w:pPr>
    </w:p>
    <w:p w14:paraId="3ADCDC77">
      <w:pPr>
        <w:rPr>
          <w:rFonts w:ascii="宋体" w:hAnsi="宋体" w:eastAsia="宋体" w:cs="宋体"/>
          <w:color w:val="auto"/>
          <w:sz w:val="30"/>
          <w:szCs w:val="30"/>
          <w:highlight w:val="none"/>
        </w:rPr>
      </w:pPr>
    </w:p>
    <w:p w14:paraId="3BA1514B">
      <w:pPr>
        <w:pStyle w:val="8"/>
        <w:rPr>
          <w:color w:val="auto"/>
          <w:highlight w:val="none"/>
        </w:rPr>
      </w:pPr>
    </w:p>
    <w:p w14:paraId="0EDC3CBC">
      <w:pPr>
        <w:rPr>
          <w:color w:val="auto"/>
          <w:highlight w:val="none"/>
        </w:rPr>
      </w:pPr>
    </w:p>
    <w:p w14:paraId="73DD0E31">
      <w:pPr>
        <w:rPr>
          <w:rFonts w:ascii="宋体" w:hAnsi="宋体" w:eastAsia="宋体" w:cs="宋体"/>
          <w:color w:val="auto"/>
          <w:sz w:val="32"/>
          <w:szCs w:val="32"/>
          <w:highlight w:val="none"/>
        </w:rPr>
      </w:pPr>
      <w:bookmarkStart w:id="1" w:name="_Toc31723070"/>
      <w:bookmarkStart w:id="2" w:name="_Toc35611516"/>
      <w:bookmarkStart w:id="3" w:name="_Toc44229899"/>
      <w:bookmarkStart w:id="4" w:name="_Toc31728084"/>
      <w:bookmarkStart w:id="5" w:name="_Toc35611438"/>
      <w:bookmarkStart w:id="6" w:name="_Toc30694"/>
      <w:r>
        <w:rPr>
          <w:rFonts w:hint="eastAsia" w:ascii="宋体" w:hAnsi="宋体" w:eastAsia="宋体" w:cs="宋体"/>
          <w:color w:val="auto"/>
          <w:sz w:val="32"/>
          <w:szCs w:val="32"/>
          <w:highlight w:val="none"/>
        </w:rPr>
        <w:br w:type="page"/>
      </w:r>
    </w:p>
    <w:p w14:paraId="1BA76640">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1"/>
      <w:bookmarkEnd w:id="2"/>
      <w:bookmarkEnd w:id="3"/>
      <w:bookmarkEnd w:id="4"/>
      <w:bookmarkEnd w:id="5"/>
      <w:bookmarkEnd w:id="6"/>
    </w:p>
    <w:p w14:paraId="49B1D8E3">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20492D59">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298F18FB">
      <w:pPr>
        <w:pStyle w:val="8"/>
        <w:rPr>
          <w:rFonts w:ascii="宋体" w:hAnsi="宋体" w:eastAsia="宋体" w:cs="宋体"/>
          <w:color w:val="auto"/>
          <w:sz w:val="32"/>
          <w:szCs w:val="32"/>
          <w:highlight w:val="none"/>
        </w:rPr>
      </w:pPr>
    </w:p>
    <w:p w14:paraId="4DE4C615">
      <w:pPr>
        <w:rPr>
          <w:color w:val="auto"/>
          <w:highlight w:val="none"/>
        </w:rPr>
      </w:pPr>
    </w:p>
    <w:p w14:paraId="130B0306">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180E19F8">
      <w:pPr>
        <w:snapToGrid w:val="0"/>
        <w:spacing w:before="156" w:beforeLines="50" w:after="50" w:line="360" w:lineRule="auto"/>
        <w:rPr>
          <w:rFonts w:ascii="宋体" w:hAnsi="宋体" w:eastAsia="宋体" w:cs="宋体"/>
          <w:bCs/>
          <w:color w:val="auto"/>
          <w:sz w:val="32"/>
          <w:szCs w:val="32"/>
          <w:highlight w:val="none"/>
        </w:rPr>
      </w:pPr>
    </w:p>
    <w:p w14:paraId="29B245F2">
      <w:pPr>
        <w:snapToGrid w:val="0"/>
        <w:spacing w:before="156" w:beforeLines="50" w:after="50" w:line="360" w:lineRule="auto"/>
        <w:rPr>
          <w:rFonts w:ascii="宋体" w:hAnsi="宋体" w:eastAsia="宋体" w:cs="宋体"/>
          <w:bCs/>
          <w:color w:val="auto"/>
          <w:sz w:val="32"/>
          <w:szCs w:val="32"/>
          <w:highlight w:val="none"/>
        </w:rPr>
      </w:pPr>
    </w:p>
    <w:p w14:paraId="1FDA0DD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89CDB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3ABDC7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013445A0">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0FF084C">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632DFE10">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03FD88C">
      <w:pPr>
        <w:pStyle w:val="8"/>
        <w:rPr>
          <w:rFonts w:ascii="宋体" w:hAnsi="宋体" w:eastAsia="宋体" w:cs="宋体"/>
          <w:color w:val="auto"/>
          <w:sz w:val="32"/>
          <w:szCs w:val="32"/>
          <w:highlight w:val="none"/>
        </w:rPr>
      </w:pPr>
    </w:p>
    <w:p w14:paraId="72EAF14C">
      <w:pPr>
        <w:rPr>
          <w:rFonts w:ascii="宋体" w:hAnsi="宋体" w:eastAsia="宋体" w:cs="宋体"/>
          <w:color w:val="auto"/>
          <w:sz w:val="32"/>
          <w:szCs w:val="32"/>
          <w:highlight w:val="none"/>
        </w:rPr>
      </w:pPr>
    </w:p>
    <w:p w14:paraId="4CEB6695">
      <w:pPr>
        <w:pStyle w:val="8"/>
        <w:rPr>
          <w:rFonts w:ascii="宋体" w:hAnsi="宋体" w:eastAsia="宋体" w:cs="宋体"/>
          <w:color w:val="auto"/>
          <w:sz w:val="32"/>
          <w:szCs w:val="32"/>
          <w:highlight w:val="none"/>
        </w:rPr>
      </w:pPr>
    </w:p>
    <w:p w14:paraId="1BC6551E">
      <w:pPr>
        <w:rPr>
          <w:rFonts w:ascii="宋体" w:hAnsi="宋体" w:eastAsia="宋体" w:cs="宋体"/>
          <w:color w:val="auto"/>
          <w:sz w:val="32"/>
          <w:szCs w:val="32"/>
          <w:highlight w:val="none"/>
        </w:rPr>
      </w:pPr>
    </w:p>
    <w:p w14:paraId="01E9B3CC">
      <w:pPr>
        <w:pStyle w:val="8"/>
        <w:rPr>
          <w:rFonts w:ascii="宋体" w:hAnsi="宋体" w:eastAsia="宋体" w:cs="宋体"/>
          <w:color w:val="auto"/>
          <w:sz w:val="32"/>
          <w:szCs w:val="32"/>
          <w:highlight w:val="none"/>
        </w:rPr>
      </w:pPr>
    </w:p>
    <w:p w14:paraId="4D084ADF">
      <w:pPr>
        <w:rPr>
          <w:color w:val="auto"/>
          <w:highlight w:val="none"/>
        </w:rPr>
      </w:pPr>
    </w:p>
    <w:p w14:paraId="76E637CB">
      <w:pPr>
        <w:rPr>
          <w:color w:val="auto"/>
          <w:highlight w:val="none"/>
        </w:rPr>
      </w:pPr>
    </w:p>
    <w:p w14:paraId="79567FA5">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41E43AC0">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1E1AA2B8">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40C714BA">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10773875">
      <w:pPr>
        <w:rPr>
          <w:rFonts w:ascii="宋体" w:hAnsi="宋体" w:eastAsia="宋体" w:cs="宋体"/>
          <w:color w:val="auto"/>
          <w:sz w:val="32"/>
          <w:szCs w:val="32"/>
          <w:highlight w:val="none"/>
        </w:rPr>
      </w:pPr>
    </w:p>
    <w:p w14:paraId="5C3F1B33">
      <w:pPr>
        <w:rPr>
          <w:rFonts w:ascii="宋体" w:hAnsi="宋体" w:eastAsia="宋体" w:cs="宋体"/>
          <w:color w:val="auto"/>
          <w:sz w:val="32"/>
          <w:szCs w:val="32"/>
          <w:highlight w:val="none"/>
        </w:rPr>
      </w:pPr>
    </w:p>
    <w:p w14:paraId="2ED26E0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CE3009">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4C1FB35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7E986030">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00DBEB4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2AD436E4">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72FA404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0FC10F5A">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4681E75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63EA6BF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3A37DC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68175D3A">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2E6EE06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766D0B9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375C796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21CB32D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5EBF4FF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7918BA7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2F631190">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12B61A70">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53720615">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7B11EF6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37E51425">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CFF749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6AE91E7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56B89E5">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03819B4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76DD0D16">
      <w:pPr>
        <w:spacing w:line="240" w:lineRule="atLeast"/>
        <w:ind w:left="4830" w:leftChars="2300" w:firstLine="480" w:firstLineChars="200"/>
        <w:rPr>
          <w:rFonts w:ascii="宋体" w:hAnsi="宋体" w:eastAsia="宋体" w:cs="宋体"/>
          <w:color w:val="auto"/>
          <w:sz w:val="24"/>
          <w:szCs w:val="24"/>
          <w:highlight w:val="none"/>
          <w:lang w:bidi="zh-CN"/>
        </w:rPr>
      </w:pPr>
    </w:p>
    <w:p w14:paraId="47E5C890">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2E2C55CD">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457EE019">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36EC4B6F">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6615509A">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7CC4F8A1">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1A6D1BB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82D607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EEC397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1D933F25">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55803F7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7508BAB8">
      <w:pPr>
        <w:spacing w:line="360" w:lineRule="auto"/>
        <w:ind w:firstLine="560" w:firstLineChars="200"/>
        <w:rPr>
          <w:rFonts w:ascii="宋体" w:hAnsi="宋体" w:eastAsia="宋体" w:cs="宋体"/>
          <w:color w:val="auto"/>
          <w:sz w:val="28"/>
          <w:szCs w:val="28"/>
          <w:highlight w:val="none"/>
        </w:rPr>
      </w:pPr>
    </w:p>
    <w:p w14:paraId="5EEC743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49A2E9B5">
      <w:pPr>
        <w:pStyle w:val="5"/>
        <w:rPr>
          <w:color w:val="auto"/>
          <w:szCs w:val="28"/>
          <w:highlight w:val="none"/>
        </w:rPr>
      </w:pPr>
    </w:p>
    <w:p w14:paraId="302810FE">
      <w:pPr>
        <w:pStyle w:val="2"/>
        <w:numPr>
          <w:ilvl w:val="0"/>
          <w:numId w:val="0"/>
        </w:numPr>
        <w:jc w:val="both"/>
        <w:rPr>
          <w:color w:val="auto"/>
          <w:highlight w:val="none"/>
        </w:rPr>
      </w:pPr>
    </w:p>
    <w:p w14:paraId="120114C9">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19BABE9C">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6CEED82">
      <w:pPr>
        <w:pStyle w:val="5"/>
        <w:rPr>
          <w:color w:val="auto"/>
          <w:highlight w:val="none"/>
        </w:rPr>
      </w:pPr>
    </w:p>
    <w:p w14:paraId="769C823C">
      <w:pPr>
        <w:pStyle w:val="5"/>
        <w:rPr>
          <w:color w:val="auto"/>
          <w:highlight w:val="none"/>
        </w:rPr>
      </w:pPr>
    </w:p>
    <w:p w14:paraId="264D3EB4">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2BBD79DF">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3738E6C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65846DB">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017FD70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1F1780D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502A0A9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328298E8">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0598F848">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4B0832A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37566CF6">
      <w:pPr>
        <w:spacing w:line="360" w:lineRule="auto"/>
        <w:ind w:firstLine="560" w:firstLineChars="200"/>
        <w:rPr>
          <w:rFonts w:ascii="宋体" w:hAnsi="宋体" w:eastAsia="宋体" w:cs="宋体"/>
          <w:color w:val="auto"/>
          <w:sz w:val="28"/>
          <w:szCs w:val="28"/>
          <w:highlight w:val="none"/>
        </w:rPr>
      </w:pPr>
    </w:p>
    <w:p w14:paraId="1E49697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2E89635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4822BFE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3AEE912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62711D0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39EF6DA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23258887">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4DE36DC6">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04EFD310">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E547379">
      <w:pPr>
        <w:snapToGrid w:val="0"/>
        <w:spacing w:before="156" w:beforeLines="50" w:after="50" w:line="360" w:lineRule="auto"/>
        <w:rPr>
          <w:rFonts w:ascii="宋体" w:hAnsi="宋体" w:eastAsia="宋体" w:cs="宋体"/>
          <w:color w:val="auto"/>
          <w:sz w:val="32"/>
          <w:szCs w:val="32"/>
          <w:highlight w:val="none"/>
        </w:rPr>
      </w:pPr>
    </w:p>
    <w:p w14:paraId="6D33423E">
      <w:pPr>
        <w:snapToGrid w:val="0"/>
        <w:spacing w:before="156" w:beforeLines="50" w:after="50" w:line="360" w:lineRule="auto"/>
        <w:rPr>
          <w:rFonts w:ascii="宋体" w:hAnsi="宋体" w:eastAsia="宋体" w:cs="宋体"/>
          <w:color w:val="auto"/>
          <w:sz w:val="32"/>
          <w:szCs w:val="32"/>
          <w:highlight w:val="none"/>
        </w:rPr>
      </w:pPr>
    </w:p>
    <w:p w14:paraId="5C55AC78">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7A9AE023">
      <w:pPr>
        <w:snapToGrid w:val="0"/>
        <w:spacing w:before="156" w:beforeLines="50" w:after="50" w:line="360" w:lineRule="auto"/>
        <w:rPr>
          <w:rFonts w:ascii="宋体" w:hAnsi="宋体" w:eastAsia="宋体" w:cs="宋体"/>
          <w:bCs/>
          <w:color w:val="auto"/>
          <w:sz w:val="32"/>
          <w:szCs w:val="32"/>
          <w:highlight w:val="none"/>
        </w:rPr>
      </w:pPr>
    </w:p>
    <w:p w14:paraId="42178281">
      <w:pPr>
        <w:snapToGrid w:val="0"/>
        <w:spacing w:before="156" w:beforeLines="50" w:after="50" w:line="360" w:lineRule="auto"/>
        <w:rPr>
          <w:rFonts w:ascii="宋体" w:hAnsi="宋体" w:eastAsia="宋体" w:cs="宋体"/>
          <w:bCs/>
          <w:color w:val="auto"/>
          <w:sz w:val="32"/>
          <w:szCs w:val="32"/>
          <w:highlight w:val="none"/>
        </w:rPr>
      </w:pPr>
    </w:p>
    <w:p w14:paraId="27601A33">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5E4BD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11741004">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5F14FF21">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F060430">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78C37B9B">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4667FF78">
      <w:pPr>
        <w:rPr>
          <w:color w:val="auto"/>
          <w:highlight w:val="none"/>
        </w:rPr>
      </w:pPr>
    </w:p>
    <w:p w14:paraId="60949A08">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0DA05FAC">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51D8F95D">
      <w:pPr>
        <w:rPr>
          <w:color w:val="auto"/>
          <w:highlight w:val="none"/>
        </w:rPr>
      </w:pPr>
      <w:r>
        <w:rPr>
          <w:rFonts w:hint="eastAsia" w:ascii="宋体" w:hAnsi="宋体" w:eastAsia="宋体" w:cs="宋体"/>
          <w:color w:val="auto"/>
          <w:sz w:val="32"/>
          <w:szCs w:val="32"/>
          <w:highlight w:val="none"/>
        </w:rPr>
        <w:br w:type="page"/>
      </w:r>
    </w:p>
    <w:p w14:paraId="1E1CA75F">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0403C045">
      <w:pPr>
        <w:pStyle w:val="23"/>
        <w:widowControl/>
        <w:spacing w:beforeAutospacing="0" w:afterAutospacing="0"/>
        <w:rPr>
          <w:rFonts w:ascii="宋体" w:hAnsi="宋体" w:eastAsia="宋体" w:cs="宋体"/>
          <w:bCs/>
          <w:color w:val="auto"/>
          <w:kern w:val="2"/>
          <w:highlight w:val="none"/>
        </w:rPr>
      </w:pPr>
    </w:p>
    <w:p w14:paraId="431A81DB">
      <w:pPr>
        <w:adjustRightInd w:val="0"/>
        <w:snapToGrid w:val="0"/>
        <w:spacing w:line="240" w:lineRule="atLeas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北部湾（钦州）专用汽车生产项目设计服务项目</w:t>
      </w:r>
    </w:p>
    <w:tbl>
      <w:tblPr>
        <w:tblStyle w:val="27"/>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129B8525">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27A77">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2DD73">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65DC7">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A68FE">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929DA">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B35EB">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备注</w:t>
            </w:r>
          </w:p>
        </w:tc>
      </w:tr>
      <w:tr w14:paraId="6009D306">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91BB7">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C9903">
            <w:pPr>
              <w:widowControl/>
              <w:jc w:val="center"/>
              <w:textAlignment w:val="center"/>
              <w:rPr>
                <w:rFonts w:hint="default" w:ascii="宋体" w:hAnsi="宋体" w:eastAsia="宋体" w:cs="宋体"/>
                <w:color w:val="auto"/>
                <w:szCs w:val="21"/>
                <w:highlight w:val="none"/>
                <w:lang w:val="en-US"/>
              </w:rPr>
            </w:pPr>
            <w:r>
              <w:rPr>
                <w:rFonts w:hint="eastAsia" w:ascii="宋体" w:hAnsi="宋体" w:eastAsia="宋体" w:cs="宋体"/>
                <w:bCs/>
                <w:color w:val="auto"/>
                <w:szCs w:val="21"/>
                <w:highlight w:val="none"/>
                <w:lang w:val="en-US" w:eastAsia="zh-CN"/>
              </w:rPr>
              <w:t>项目设计费及招标预算编制</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ABC73">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500F6">
            <w:pPr>
              <w:widowControl/>
              <w:jc w:val="center"/>
              <w:textAlignment w:val="center"/>
              <w:rPr>
                <w:rFonts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3DEBB">
            <w:pPr>
              <w:widowControl/>
              <w:jc w:val="center"/>
              <w:textAlignment w:val="center"/>
              <w:rPr>
                <w:rFonts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934A4">
            <w:pPr>
              <w:widowControl/>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报价已包含全部项目费用</w:t>
            </w:r>
          </w:p>
        </w:tc>
      </w:tr>
      <w:tr w14:paraId="746E41D0">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7D872">
            <w:pPr>
              <w:jc w:val="center"/>
              <w:rPr>
                <w:rFonts w:ascii="宋体" w:hAnsi="宋体" w:eastAsia="宋体" w:cs="宋体"/>
                <w:color w:val="auto"/>
                <w:szCs w:val="21"/>
                <w:highlight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70537">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40C8A">
            <w:pPr>
              <w:jc w:val="center"/>
              <w:rPr>
                <w:rFonts w:ascii="宋体" w:hAnsi="宋体" w:eastAsia="宋体" w:cs="宋体"/>
                <w:color w:val="auto"/>
                <w:szCs w:val="21"/>
                <w:highlight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A8EEA">
            <w:pPr>
              <w:widowControl/>
              <w:jc w:val="center"/>
              <w:textAlignment w:val="center"/>
              <w:rPr>
                <w:rFonts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573BB">
            <w:pPr>
              <w:widowControl/>
              <w:jc w:val="center"/>
              <w:textAlignment w:val="center"/>
              <w:rPr>
                <w:rFonts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F085D">
            <w:pPr>
              <w:widowControl/>
              <w:jc w:val="center"/>
              <w:textAlignment w:val="center"/>
              <w:rPr>
                <w:rFonts w:ascii="宋体" w:hAnsi="宋体" w:eastAsia="宋体" w:cs="宋体"/>
                <w:color w:val="auto"/>
                <w:szCs w:val="21"/>
                <w:highlight w:val="none"/>
              </w:rPr>
            </w:pPr>
            <w:r>
              <w:rPr>
                <w:rStyle w:val="50"/>
                <w:rFonts w:hint="default"/>
                <w:color w:val="auto"/>
                <w:sz w:val="21"/>
                <w:szCs w:val="21"/>
                <w:highlight w:val="none"/>
                <w:lang w:bidi="ar"/>
              </w:rPr>
              <w:t>含</w:t>
            </w:r>
            <w:r>
              <w:rPr>
                <w:rStyle w:val="51"/>
                <w:color w:val="auto"/>
                <w:sz w:val="21"/>
                <w:szCs w:val="21"/>
                <w:highlight w:val="none"/>
                <w:lang w:bidi="ar"/>
              </w:rPr>
              <w:t xml:space="preserve">    </w:t>
            </w:r>
            <w:r>
              <w:rPr>
                <w:rStyle w:val="52"/>
                <w:color w:val="auto"/>
                <w:sz w:val="21"/>
                <w:szCs w:val="21"/>
                <w:highlight w:val="none"/>
                <w:lang w:bidi="ar"/>
              </w:rPr>
              <w:t>%增值税专用发票</w:t>
            </w:r>
          </w:p>
        </w:tc>
      </w:tr>
    </w:tbl>
    <w:p w14:paraId="4EC41CB8">
      <w:pPr>
        <w:pStyle w:val="23"/>
        <w:widowControl/>
        <w:spacing w:beforeAutospacing="0" w:afterAutospacing="0"/>
        <w:rPr>
          <w:rFonts w:ascii="宋体" w:hAnsi="宋体" w:eastAsia="宋体" w:cs="宋体"/>
          <w:color w:val="auto"/>
          <w:sz w:val="28"/>
          <w:szCs w:val="28"/>
          <w:highlight w:val="none"/>
        </w:rPr>
      </w:pPr>
    </w:p>
    <w:p w14:paraId="4003F077">
      <w:pPr>
        <w:pStyle w:val="8"/>
        <w:rPr>
          <w:color w:val="auto"/>
          <w:highlight w:val="none"/>
        </w:rPr>
      </w:pPr>
    </w:p>
    <w:p w14:paraId="23B80594">
      <w:pPr>
        <w:rPr>
          <w:color w:val="auto"/>
          <w:highlight w:val="none"/>
        </w:rPr>
      </w:pPr>
    </w:p>
    <w:p w14:paraId="65B5A970">
      <w:pPr>
        <w:pStyle w:val="8"/>
        <w:rPr>
          <w:color w:val="auto"/>
          <w:highlight w:val="none"/>
        </w:rPr>
      </w:pPr>
    </w:p>
    <w:p w14:paraId="3377922A">
      <w:pPr>
        <w:rPr>
          <w:color w:val="auto"/>
          <w:highlight w:val="none"/>
        </w:rPr>
      </w:pPr>
    </w:p>
    <w:p w14:paraId="6BA4D3DB">
      <w:pPr>
        <w:pStyle w:val="8"/>
        <w:rPr>
          <w:color w:val="auto"/>
          <w:highlight w:val="none"/>
        </w:rPr>
      </w:pPr>
    </w:p>
    <w:p w14:paraId="66D12869">
      <w:pPr>
        <w:rPr>
          <w:color w:val="auto"/>
          <w:highlight w:val="none"/>
        </w:rPr>
      </w:pPr>
    </w:p>
    <w:p w14:paraId="128BA986">
      <w:pPr>
        <w:pStyle w:val="8"/>
        <w:rPr>
          <w:color w:val="auto"/>
          <w:highlight w:val="none"/>
        </w:rPr>
      </w:pPr>
    </w:p>
    <w:p w14:paraId="1C99D271">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法定代表人或者委托代理人（签字或盖章）： </w:t>
      </w:r>
    </w:p>
    <w:p w14:paraId="2C2D26A6">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D954E77">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联系电话：</w:t>
      </w:r>
      <w:r>
        <w:rPr>
          <w:rFonts w:hint="eastAsia" w:ascii="宋体" w:hAnsi="宋体" w:eastAsia="宋体" w:cs="宋体"/>
          <w:color w:val="auto"/>
          <w:sz w:val="28"/>
          <w:szCs w:val="28"/>
          <w:highlight w:val="none"/>
        </w:rPr>
        <w:t xml:space="preserve">     </w:t>
      </w:r>
    </w:p>
    <w:p w14:paraId="26F03C71">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2C472806">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62A1C0EE">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52D1E313">
      <w:pPr>
        <w:pStyle w:val="5"/>
        <w:rPr>
          <w:color w:val="auto"/>
          <w:highlight w:val="none"/>
        </w:rPr>
      </w:pPr>
      <w:r>
        <w:rPr>
          <w:rFonts w:hint="eastAsia" w:ascii="宋体" w:hAnsi="宋体" w:eastAsia="宋体" w:cs="宋体"/>
          <w:color w:val="auto"/>
          <w:sz w:val="32"/>
          <w:szCs w:val="32"/>
          <w:highlight w:val="none"/>
        </w:rPr>
        <w:t>（格式自拟）</w:t>
      </w:r>
    </w:p>
    <w:p w14:paraId="427C91F8">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26A76F-05DB-4C70-AF44-0904CC3A32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349BA347-1B01-4D67-8A87-B1E33FC9CFC2}"/>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9EFA42F2-CA81-4555-B1FD-6F7EC5D0A47B}"/>
  </w:font>
  <w:font w:name="Wingdings 2">
    <w:panose1 w:val="05020102010507070707"/>
    <w:charset w:val="02"/>
    <w:family w:val="roman"/>
    <w:pitch w:val="default"/>
    <w:sig w:usb0="00000000" w:usb1="00000000" w:usb2="00000000" w:usb3="00000000" w:csb0="80000000" w:csb1="00000000"/>
    <w:embedRegular r:id="rId4" w:fontKey="{11CBECAC-9791-429A-AD63-DD62D9ACF1AF}"/>
  </w:font>
  <w:font w:name="微软雅黑">
    <w:panose1 w:val="020B0503020204020204"/>
    <w:charset w:val="86"/>
    <w:family w:val="auto"/>
    <w:pitch w:val="default"/>
    <w:sig w:usb0="80000287" w:usb1="2ACF3C50" w:usb2="00000016" w:usb3="00000000" w:csb0="0004001F" w:csb1="00000000"/>
  </w:font>
  <w:font w:name="WPSEMBED1">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51398">
    <w:pPr>
      <w:pStyle w:val="1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3F788DCA">
                          <w:pPr>
                            <w:pStyle w:val="17"/>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3F788DCA">
                    <w:pPr>
                      <w:pStyle w:val="17"/>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48F6"/>
    <w:rsid w:val="0002691C"/>
    <w:rsid w:val="00033FC2"/>
    <w:rsid w:val="00037F91"/>
    <w:rsid w:val="00080E82"/>
    <w:rsid w:val="00091DB1"/>
    <w:rsid w:val="001112E1"/>
    <w:rsid w:val="001348C9"/>
    <w:rsid w:val="00143CAD"/>
    <w:rsid w:val="001552AD"/>
    <w:rsid w:val="00172A27"/>
    <w:rsid w:val="001B3B65"/>
    <w:rsid w:val="001D465E"/>
    <w:rsid w:val="00286F24"/>
    <w:rsid w:val="002872AF"/>
    <w:rsid w:val="00295BA7"/>
    <w:rsid w:val="0031304A"/>
    <w:rsid w:val="003366B3"/>
    <w:rsid w:val="00354F96"/>
    <w:rsid w:val="0036000A"/>
    <w:rsid w:val="00377E77"/>
    <w:rsid w:val="003B76EC"/>
    <w:rsid w:val="00420463"/>
    <w:rsid w:val="004A602D"/>
    <w:rsid w:val="004B1E74"/>
    <w:rsid w:val="005079B0"/>
    <w:rsid w:val="0052334A"/>
    <w:rsid w:val="00544AAF"/>
    <w:rsid w:val="00566818"/>
    <w:rsid w:val="0059123D"/>
    <w:rsid w:val="00597EC8"/>
    <w:rsid w:val="005C1B0C"/>
    <w:rsid w:val="006226B5"/>
    <w:rsid w:val="006A5CDE"/>
    <w:rsid w:val="006B4864"/>
    <w:rsid w:val="00741910"/>
    <w:rsid w:val="007607C0"/>
    <w:rsid w:val="007B37AE"/>
    <w:rsid w:val="007B3BCE"/>
    <w:rsid w:val="007D1079"/>
    <w:rsid w:val="00821502"/>
    <w:rsid w:val="0083536D"/>
    <w:rsid w:val="008374CD"/>
    <w:rsid w:val="008B0AC4"/>
    <w:rsid w:val="008D0B0D"/>
    <w:rsid w:val="008E179E"/>
    <w:rsid w:val="008E5D90"/>
    <w:rsid w:val="008F2DC4"/>
    <w:rsid w:val="00953FA3"/>
    <w:rsid w:val="009603D8"/>
    <w:rsid w:val="009D0774"/>
    <w:rsid w:val="009D0B42"/>
    <w:rsid w:val="00A41BA4"/>
    <w:rsid w:val="00A80975"/>
    <w:rsid w:val="00AC0202"/>
    <w:rsid w:val="00AC7889"/>
    <w:rsid w:val="00B510FC"/>
    <w:rsid w:val="00B605B9"/>
    <w:rsid w:val="00B8322B"/>
    <w:rsid w:val="00BB5D34"/>
    <w:rsid w:val="00BC1C70"/>
    <w:rsid w:val="00BE1512"/>
    <w:rsid w:val="00C2762F"/>
    <w:rsid w:val="00C42871"/>
    <w:rsid w:val="00C576EF"/>
    <w:rsid w:val="00CA21A2"/>
    <w:rsid w:val="00CC37FE"/>
    <w:rsid w:val="00CF7C15"/>
    <w:rsid w:val="00D10D38"/>
    <w:rsid w:val="00D13EFD"/>
    <w:rsid w:val="00D20F5D"/>
    <w:rsid w:val="00D27823"/>
    <w:rsid w:val="00D64575"/>
    <w:rsid w:val="00D91B2E"/>
    <w:rsid w:val="00E46B90"/>
    <w:rsid w:val="00E72A2E"/>
    <w:rsid w:val="00E9257F"/>
    <w:rsid w:val="00EA0057"/>
    <w:rsid w:val="00F20589"/>
    <w:rsid w:val="00F25B78"/>
    <w:rsid w:val="01692279"/>
    <w:rsid w:val="0187206E"/>
    <w:rsid w:val="018B2C0E"/>
    <w:rsid w:val="01B11A47"/>
    <w:rsid w:val="01E75868"/>
    <w:rsid w:val="02CD67D2"/>
    <w:rsid w:val="02DB5955"/>
    <w:rsid w:val="02FD74D4"/>
    <w:rsid w:val="0331291F"/>
    <w:rsid w:val="033C11D8"/>
    <w:rsid w:val="033C3DF5"/>
    <w:rsid w:val="033C6DC8"/>
    <w:rsid w:val="035641C4"/>
    <w:rsid w:val="03604CAA"/>
    <w:rsid w:val="036A4F1F"/>
    <w:rsid w:val="039247BD"/>
    <w:rsid w:val="03A03587"/>
    <w:rsid w:val="03A65568"/>
    <w:rsid w:val="03B7546F"/>
    <w:rsid w:val="03BA5B02"/>
    <w:rsid w:val="03C12537"/>
    <w:rsid w:val="03CB1065"/>
    <w:rsid w:val="03D210FC"/>
    <w:rsid w:val="03ED7150"/>
    <w:rsid w:val="03F352D2"/>
    <w:rsid w:val="040F5D64"/>
    <w:rsid w:val="0417795F"/>
    <w:rsid w:val="044E5E4A"/>
    <w:rsid w:val="04501B95"/>
    <w:rsid w:val="04806B11"/>
    <w:rsid w:val="048D68B6"/>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F7532E"/>
    <w:rsid w:val="093E5D0F"/>
    <w:rsid w:val="09560051"/>
    <w:rsid w:val="0957698D"/>
    <w:rsid w:val="095920CF"/>
    <w:rsid w:val="098715B8"/>
    <w:rsid w:val="0999550E"/>
    <w:rsid w:val="09BC6592"/>
    <w:rsid w:val="09CE6744"/>
    <w:rsid w:val="09EF20F3"/>
    <w:rsid w:val="09F938DF"/>
    <w:rsid w:val="0A135D35"/>
    <w:rsid w:val="0A195A3E"/>
    <w:rsid w:val="0A2D06BF"/>
    <w:rsid w:val="0A434AD7"/>
    <w:rsid w:val="0A875AA6"/>
    <w:rsid w:val="0A9C2B56"/>
    <w:rsid w:val="0AB27E22"/>
    <w:rsid w:val="0AD74629"/>
    <w:rsid w:val="0B061635"/>
    <w:rsid w:val="0B0D7385"/>
    <w:rsid w:val="0B2526C9"/>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DEE2D3E"/>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7173C"/>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0D4AE9"/>
    <w:rsid w:val="14162842"/>
    <w:rsid w:val="14443604"/>
    <w:rsid w:val="144C726A"/>
    <w:rsid w:val="14516A37"/>
    <w:rsid w:val="14694C0A"/>
    <w:rsid w:val="147075B1"/>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772FE"/>
    <w:rsid w:val="16783AEC"/>
    <w:rsid w:val="169137DC"/>
    <w:rsid w:val="16A73FF1"/>
    <w:rsid w:val="16CA640B"/>
    <w:rsid w:val="16CE2DF1"/>
    <w:rsid w:val="16F2389F"/>
    <w:rsid w:val="171528BF"/>
    <w:rsid w:val="171C08C4"/>
    <w:rsid w:val="175244AC"/>
    <w:rsid w:val="17555A0A"/>
    <w:rsid w:val="175F32E3"/>
    <w:rsid w:val="176A0626"/>
    <w:rsid w:val="176A6CA5"/>
    <w:rsid w:val="176B3553"/>
    <w:rsid w:val="177F7607"/>
    <w:rsid w:val="179C3018"/>
    <w:rsid w:val="17B579B0"/>
    <w:rsid w:val="17BC51A7"/>
    <w:rsid w:val="17DA4A5F"/>
    <w:rsid w:val="17E22F5C"/>
    <w:rsid w:val="17EE5248"/>
    <w:rsid w:val="17F3167D"/>
    <w:rsid w:val="17FB04B8"/>
    <w:rsid w:val="180C45FF"/>
    <w:rsid w:val="189C4D3A"/>
    <w:rsid w:val="18A81AF8"/>
    <w:rsid w:val="18B117B0"/>
    <w:rsid w:val="18DA1C61"/>
    <w:rsid w:val="18EF1C33"/>
    <w:rsid w:val="18F97167"/>
    <w:rsid w:val="1910640B"/>
    <w:rsid w:val="19150AB5"/>
    <w:rsid w:val="194F5560"/>
    <w:rsid w:val="195E16BF"/>
    <w:rsid w:val="197E1219"/>
    <w:rsid w:val="19BC275F"/>
    <w:rsid w:val="19BF644E"/>
    <w:rsid w:val="19D84033"/>
    <w:rsid w:val="19E3397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AD4238"/>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DC76CA8"/>
    <w:rsid w:val="1E0E3740"/>
    <w:rsid w:val="1E2C54FA"/>
    <w:rsid w:val="1E553EB9"/>
    <w:rsid w:val="1E5F7E7F"/>
    <w:rsid w:val="1E6E5790"/>
    <w:rsid w:val="1E927AF2"/>
    <w:rsid w:val="1EB44C9D"/>
    <w:rsid w:val="1ECC77A3"/>
    <w:rsid w:val="1EF652E1"/>
    <w:rsid w:val="1F2B0E21"/>
    <w:rsid w:val="1F49071C"/>
    <w:rsid w:val="1F793F7F"/>
    <w:rsid w:val="1F836367"/>
    <w:rsid w:val="1F861028"/>
    <w:rsid w:val="1F8F0CAF"/>
    <w:rsid w:val="1FA2571F"/>
    <w:rsid w:val="1FAA5CB8"/>
    <w:rsid w:val="1FC26BB2"/>
    <w:rsid w:val="1FFD492A"/>
    <w:rsid w:val="20096994"/>
    <w:rsid w:val="200F54C2"/>
    <w:rsid w:val="205A54F3"/>
    <w:rsid w:val="209F2924"/>
    <w:rsid w:val="20AB19CA"/>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3E62A9"/>
    <w:rsid w:val="2370420F"/>
    <w:rsid w:val="2376450E"/>
    <w:rsid w:val="237A23D8"/>
    <w:rsid w:val="23871813"/>
    <w:rsid w:val="23B20C73"/>
    <w:rsid w:val="240B137D"/>
    <w:rsid w:val="24352F85"/>
    <w:rsid w:val="244A3359"/>
    <w:rsid w:val="2540519B"/>
    <w:rsid w:val="25414674"/>
    <w:rsid w:val="25483AB1"/>
    <w:rsid w:val="254F010E"/>
    <w:rsid w:val="255319AC"/>
    <w:rsid w:val="255810D1"/>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4E137C"/>
    <w:rsid w:val="28CD6169"/>
    <w:rsid w:val="28DC55F4"/>
    <w:rsid w:val="28EC413F"/>
    <w:rsid w:val="290E5506"/>
    <w:rsid w:val="291E415D"/>
    <w:rsid w:val="295E666C"/>
    <w:rsid w:val="295F1C81"/>
    <w:rsid w:val="297B5976"/>
    <w:rsid w:val="298160F4"/>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955D60"/>
    <w:rsid w:val="2CC72354"/>
    <w:rsid w:val="2CE17AF6"/>
    <w:rsid w:val="2D0E3DF0"/>
    <w:rsid w:val="2D104000"/>
    <w:rsid w:val="2D336BD6"/>
    <w:rsid w:val="2D562DA3"/>
    <w:rsid w:val="2D814792"/>
    <w:rsid w:val="2D881545"/>
    <w:rsid w:val="2DA61B83"/>
    <w:rsid w:val="2DB253D5"/>
    <w:rsid w:val="2DD16068"/>
    <w:rsid w:val="2DFD7E4B"/>
    <w:rsid w:val="2E275983"/>
    <w:rsid w:val="2E3D30D7"/>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C761EF"/>
    <w:rsid w:val="37EA44E4"/>
    <w:rsid w:val="381905E0"/>
    <w:rsid w:val="382376F9"/>
    <w:rsid w:val="382F1738"/>
    <w:rsid w:val="38504E49"/>
    <w:rsid w:val="38587290"/>
    <w:rsid w:val="389D7EB4"/>
    <w:rsid w:val="38B5247B"/>
    <w:rsid w:val="38EE2D91"/>
    <w:rsid w:val="390126DC"/>
    <w:rsid w:val="390D6580"/>
    <w:rsid w:val="391D3D3D"/>
    <w:rsid w:val="39230C42"/>
    <w:rsid w:val="394E4416"/>
    <w:rsid w:val="3A0D6EFA"/>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3C0F95"/>
    <w:rsid w:val="3C7F0083"/>
    <w:rsid w:val="3CDA47D1"/>
    <w:rsid w:val="3CDB1427"/>
    <w:rsid w:val="3D124BBA"/>
    <w:rsid w:val="3D983929"/>
    <w:rsid w:val="3DA052F4"/>
    <w:rsid w:val="3DC634B9"/>
    <w:rsid w:val="3E025954"/>
    <w:rsid w:val="3E0717A5"/>
    <w:rsid w:val="3E074FEE"/>
    <w:rsid w:val="3E2855B5"/>
    <w:rsid w:val="3E311C5D"/>
    <w:rsid w:val="3E670DCC"/>
    <w:rsid w:val="3E8F57BC"/>
    <w:rsid w:val="3EC07CB0"/>
    <w:rsid w:val="3ED34E21"/>
    <w:rsid w:val="3EE12565"/>
    <w:rsid w:val="3F27385C"/>
    <w:rsid w:val="3F305F4A"/>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D42B6"/>
    <w:rsid w:val="480C0B93"/>
    <w:rsid w:val="48445842"/>
    <w:rsid w:val="48684EBF"/>
    <w:rsid w:val="487E3345"/>
    <w:rsid w:val="488F1FF5"/>
    <w:rsid w:val="48953C10"/>
    <w:rsid w:val="489839F7"/>
    <w:rsid w:val="48A24101"/>
    <w:rsid w:val="48EE4471"/>
    <w:rsid w:val="48FC638A"/>
    <w:rsid w:val="49007C8C"/>
    <w:rsid w:val="49276F2E"/>
    <w:rsid w:val="49495117"/>
    <w:rsid w:val="49630D4C"/>
    <w:rsid w:val="497203CF"/>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CA21697"/>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EB11A9"/>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35CA5"/>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E06E6"/>
    <w:rsid w:val="554B26B7"/>
    <w:rsid w:val="555179AA"/>
    <w:rsid w:val="557F7CF1"/>
    <w:rsid w:val="5593631D"/>
    <w:rsid w:val="559714A5"/>
    <w:rsid w:val="55AC06B4"/>
    <w:rsid w:val="55C93475"/>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881C80"/>
    <w:rsid w:val="5BBB2BB0"/>
    <w:rsid w:val="5BF6163D"/>
    <w:rsid w:val="5BFB3952"/>
    <w:rsid w:val="5C0476C3"/>
    <w:rsid w:val="5C324AB7"/>
    <w:rsid w:val="5C6137C8"/>
    <w:rsid w:val="5C725F5D"/>
    <w:rsid w:val="5C8C5A76"/>
    <w:rsid w:val="5CDF36D0"/>
    <w:rsid w:val="5CE255E1"/>
    <w:rsid w:val="5CEB086F"/>
    <w:rsid w:val="5D1A67DC"/>
    <w:rsid w:val="5D2907BD"/>
    <w:rsid w:val="5D5E786D"/>
    <w:rsid w:val="5D9D64F0"/>
    <w:rsid w:val="5DB40419"/>
    <w:rsid w:val="5DD90EAC"/>
    <w:rsid w:val="5DF11062"/>
    <w:rsid w:val="5DF92D85"/>
    <w:rsid w:val="5E007D69"/>
    <w:rsid w:val="5E0400DD"/>
    <w:rsid w:val="5E055233"/>
    <w:rsid w:val="5E6827D5"/>
    <w:rsid w:val="5E7E224A"/>
    <w:rsid w:val="5E7F7D22"/>
    <w:rsid w:val="5E8C26A7"/>
    <w:rsid w:val="5EC01341"/>
    <w:rsid w:val="5EC6544C"/>
    <w:rsid w:val="5EDB5F93"/>
    <w:rsid w:val="5F0454F9"/>
    <w:rsid w:val="5F2171B4"/>
    <w:rsid w:val="5F316B07"/>
    <w:rsid w:val="5F507BA7"/>
    <w:rsid w:val="5F857DDD"/>
    <w:rsid w:val="5F865FED"/>
    <w:rsid w:val="5F9F13B6"/>
    <w:rsid w:val="5FA304F0"/>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B83291"/>
    <w:rsid w:val="61CB5160"/>
    <w:rsid w:val="61FB69A8"/>
    <w:rsid w:val="62194C86"/>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4F548B"/>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2133A0"/>
    <w:rsid w:val="673E3B37"/>
    <w:rsid w:val="679B7A44"/>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6A3F4B"/>
    <w:rsid w:val="6C865790"/>
    <w:rsid w:val="6C872F15"/>
    <w:rsid w:val="6CA40DC2"/>
    <w:rsid w:val="6CBB39A4"/>
    <w:rsid w:val="6CBF4F2D"/>
    <w:rsid w:val="6CD05DCC"/>
    <w:rsid w:val="6D0205BA"/>
    <w:rsid w:val="6D845474"/>
    <w:rsid w:val="6DBE774E"/>
    <w:rsid w:val="6DE61751"/>
    <w:rsid w:val="6DE96CB8"/>
    <w:rsid w:val="6DF167E1"/>
    <w:rsid w:val="6E193BD8"/>
    <w:rsid w:val="6E273E46"/>
    <w:rsid w:val="6E62103A"/>
    <w:rsid w:val="6E6260C9"/>
    <w:rsid w:val="6EC448E0"/>
    <w:rsid w:val="6ECE341F"/>
    <w:rsid w:val="6F520964"/>
    <w:rsid w:val="6F5C60D4"/>
    <w:rsid w:val="6F61718C"/>
    <w:rsid w:val="6F627207"/>
    <w:rsid w:val="6F8A62CB"/>
    <w:rsid w:val="6F8C3A16"/>
    <w:rsid w:val="6FCB54AF"/>
    <w:rsid w:val="6FD2187C"/>
    <w:rsid w:val="70005BAF"/>
    <w:rsid w:val="70081862"/>
    <w:rsid w:val="701E024F"/>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5924B0"/>
    <w:rsid w:val="7262704F"/>
    <w:rsid w:val="727F38FA"/>
    <w:rsid w:val="72950D1B"/>
    <w:rsid w:val="72993A93"/>
    <w:rsid w:val="72AD4AD8"/>
    <w:rsid w:val="72BD2D0C"/>
    <w:rsid w:val="72CD4069"/>
    <w:rsid w:val="7348765D"/>
    <w:rsid w:val="73642249"/>
    <w:rsid w:val="737F7858"/>
    <w:rsid w:val="73B02321"/>
    <w:rsid w:val="73E65158"/>
    <w:rsid w:val="74045844"/>
    <w:rsid w:val="741541E5"/>
    <w:rsid w:val="742749F8"/>
    <w:rsid w:val="7431655B"/>
    <w:rsid w:val="744427E5"/>
    <w:rsid w:val="74A2511E"/>
    <w:rsid w:val="74E20DD2"/>
    <w:rsid w:val="750A3A77"/>
    <w:rsid w:val="751F4274"/>
    <w:rsid w:val="757165DA"/>
    <w:rsid w:val="75CA5D3F"/>
    <w:rsid w:val="75E023B5"/>
    <w:rsid w:val="75F220E9"/>
    <w:rsid w:val="75F5392A"/>
    <w:rsid w:val="761C62F6"/>
    <w:rsid w:val="76273A62"/>
    <w:rsid w:val="763A1EE2"/>
    <w:rsid w:val="76416F80"/>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6320"/>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974AEF"/>
    <w:rsid w:val="7AA01263"/>
    <w:rsid w:val="7ABA6020"/>
    <w:rsid w:val="7ACC5B10"/>
    <w:rsid w:val="7AD31C0E"/>
    <w:rsid w:val="7ADD20DA"/>
    <w:rsid w:val="7AE7386B"/>
    <w:rsid w:val="7AFD2B2A"/>
    <w:rsid w:val="7B113279"/>
    <w:rsid w:val="7B2C5641"/>
    <w:rsid w:val="7B31273F"/>
    <w:rsid w:val="7B4A5C67"/>
    <w:rsid w:val="7B5A1EE3"/>
    <w:rsid w:val="7B60022D"/>
    <w:rsid w:val="7B6479D0"/>
    <w:rsid w:val="7B87206D"/>
    <w:rsid w:val="7BFB3417"/>
    <w:rsid w:val="7BFC2507"/>
    <w:rsid w:val="7BFE11AF"/>
    <w:rsid w:val="7C1A2DA4"/>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AD7090"/>
    <w:rsid w:val="7FB23A4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8"/>
    <w:autoRedefine/>
    <w:qFormat/>
    <w:uiPriority w:val="0"/>
    <w:pPr>
      <w:jc w:val="left"/>
    </w:p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autoRedefine/>
    <w:qFormat/>
    <w:uiPriority w:val="0"/>
  </w:style>
  <w:style w:type="paragraph" w:styleId="12">
    <w:name w:val="Body Text Indent"/>
    <w:basedOn w:val="1"/>
    <w:next w:val="13"/>
    <w:qFormat/>
    <w:uiPriority w:val="0"/>
    <w:pPr>
      <w:ind w:firstLine="830" w:firstLineChars="352"/>
    </w:pPr>
    <w:rPr>
      <w:rFonts w:ascii="仿宋_GB2312" w:eastAsia="仿宋_GB2312"/>
      <w:kern w:val="0"/>
      <w:sz w:val="32"/>
      <w:szCs w:val="20"/>
    </w:rPr>
  </w:style>
  <w:style w:type="paragraph" w:styleId="13">
    <w:name w:val="envelope return"/>
    <w:basedOn w:val="1"/>
    <w:unhideWhenUsed/>
    <w:qFormat/>
    <w:uiPriority w:val="0"/>
    <w:pPr>
      <w:snapToGrid w:val="0"/>
    </w:pPr>
    <w:rPr>
      <w:rFonts w:ascii="Arial" w:hAnsi="Arial"/>
    </w:rPr>
  </w:style>
  <w:style w:type="paragraph" w:styleId="14">
    <w:name w:val="Plain Text"/>
    <w:basedOn w:val="1"/>
    <w:next w:val="15"/>
    <w:autoRedefine/>
    <w:qFormat/>
    <w:uiPriority w:val="0"/>
    <w:rPr>
      <w:rFonts w:ascii="宋体" w:eastAsia="宋体" w:cs="Courier New"/>
      <w:szCs w:val="21"/>
    </w:rPr>
  </w:style>
  <w:style w:type="paragraph" w:styleId="15">
    <w:name w:val="Date"/>
    <w:basedOn w:val="1"/>
    <w:next w:val="1"/>
    <w:autoRedefine/>
    <w:qFormat/>
    <w:uiPriority w:val="0"/>
    <w:pPr>
      <w:ind w:left="100" w:leftChars="2500"/>
    </w:pPr>
  </w:style>
  <w:style w:type="paragraph" w:styleId="16">
    <w:name w:val="Balloon Text"/>
    <w:basedOn w:val="1"/>
    <w:link w:val="57"/>
    <w:autoRedefine/>
    <w:semiHidden/>
    <w:unhideWhenUsed/>
    <w:qFormat/>
    <w:uiPriority w:val="99"/>
    <w:rPr>
      <w:sz w:val="18"/>
      <w:szCs w:val="18"/>
    </w:rPr>
  </w:style>
  <w:style w:type="paragraph" w:styleId="17">
    <w:name w:val="footer"/>
    <w:basedOn w:val="1"/>
    <w:link w:val="36"/>
    <w:autoRedefine/>
    <w:unhideWhenUsed/>
    <w:qFormat/>
    <w:uiPriority w:val="99"/>
    <w:pPr>
      <w:tabs>
        <w:tab w:val="center" w:pos="4153"/>
        <w:tab w:val="right" w:pos="8306"/>
      </w:tabs>
      <w:snapToGrid w:val="0"/>
      <w:jc w:val="left"/>
    </w:pPr>
    <w:rPr>
      <w:sz w:val="18"/>
      <w:szCs w:val="18"/>
    </w:rPr>
  </w:style>
  <w:style w:type="paragraph" w:styleId="18">
    <w:name w:val="header"/>
    <w:basedOn w:val="1"/>
    <w:next w:val="1"/>
    <w:link w:val="3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20">
    <w:name w:val="toc 6"/>
    <w:basedOn w:val="1"/>
    <w:next w:val="1"/>
    <w:autoRedefine/>
    <w:qFormat/>
    <w:uiPriority w:val="0"/>
    <w:pPr>
      <w:ind w:left="1000" w:leftChars="1000"/>
    </w:pPr>
  </w:style>
  <w:style w:type="paragraph" w:styleId="21">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2">
    <w:name w:val="HTML Preformatted"/>
    <w:basedOn w:val="1"/>
    <w:qFormat/>
    <w:uiPriority w:val="0"/>
    <w:pPr>
      <w:jc w:val="left"/>
    </w:pPr>
    <w:rPr>
      <w:rFonts w:hint="eastAsia" w:ascii="宋体" w:hAnsi="宋体" w:eastAsia="宋体" w:cs="宋体"/>
      <w:kern w:val="0"/>
      <w:sz w:val="24"/>
      <w:szCs w:val="24"/>
      <w:lang w:val="en-US" w:eastAsia="zh-CN" w:bidi="ar"/>
    </w:rPr>
  </w:style>
  <w:style w:type="paragraph" w:styleId="23">
    <w:name w:val="Normal (Web)"/>
    <w:basedOn w:val="1"/>
    <w:autoRedefine/>
    <w:qFormat/>
    <w:uiPriority w:val="0"/>
    <w:pPr>
      <w:spacing w:beforeAutospacing="1" w:afterAutospacing="1"/>
      <w:jc w:val="left"/>
    </w:pPr>
    <w:rPr>
      <w:rFonts w:cs="Times New Roman"/>
      <w:kern w:val="0"/>
      <w:sz w:val="24"/>
    </w:rPr>
  </w:style>
  <w:style w:type="paragraph" w:styleId="24">
    <w:name w:val="Title"/>
    <w:basedOn w:val="1"/>
    <w:next w:val="1"/>
    <w:qFormat/>
    <w:uiPriority w:val="10"/>
    <w:pPr>
      <w:spacing w:before="240" w:after="60"/>
      <w:jc w:val="center"/>
      <w:outlineLvl w:val="0"/>
    </w:pPr>
    <w:rPr>
      <w:rFonts w:ascii="Cambria" w:hAnsi="Cambria"/>
      <w:b/>
      <w:bCs/>
      <w:sz w:val="32"/>
      <w:szCs w:val="32"/>
    </w:rPr>
  </w:style>
  <w:style w:type="paragraph" w:styleId="25">
    <w:name w:val="annotation subject"/>
    <w:basedOn w:val="9"/>
    <w:next w:val="9"/>
    <w:link w:val="59"/>
    <w:semiHidden/>
    <w:unhideWhenUsed/>
    <w:qFormat/>
    <w:uiPriority w:val="99"/>
    <w:rPr>
      <w:b/>
      <w:bCs/>
    </w:rPr>
  </w:style>
  <w:style w:type="paragraph" w:styleId="26">
    <w:name w:val="Body Text First Indent"/>
    <w:basedOn w:val="11"/>
    <w:next w:val="20"/>
    <w:autoRedefine/>
    <w:qFormat/>
    <w:uiPriority w:val="0"/>
    <w:pPr>
      <w:ind w:firstLine="420" w:firstLineChars="100"/>
    </w:pPr>
  </w:style>
  <w:style w:type="table" w:styleId="28">
    <w:name w:val="Table Grid"/>
    <w:basedOn w:val="27"/>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FollowedHyperlink"/>
    <w:basedOn w:val="29"/>
    <w:autoRedefine/>
    <w:semiHidden/>
    <w:unhideWhenUsed/>
    <w:qFormat/>
    <w:uiPriority w:val="99"/>
    <w:rPr>
      <w:color w:val="800080"/>
      <w:u w:val="single"/>
    </w:rPr>
  </w:style>
  <w:style w:type="character" w:styleId="31">
    <w:name w:val="Hyperlink"/>
    <w:basedOn w:val="29"/>
    <w:autoRedefine/>
    <w:semiHidden/>
    <w:unhideWhenUsed/>
    <w:qFormat/>
    <w:uiPriority w:val="99"/>
    <w:rPr>
      <w:color w:val="0000FF"/>
      <w:u w:val="single"/>
    </w:rPr>
  </w:style>
  <w:style w:type="character" w:styleId="32">
    <w:name w:val="annotation reference"/>
    <w:basedOn w:val="29"/>
    <w:semiHidden/>
    <w:unhideWhenUsed/>
    <w:qFormat/>
    <w:uiPriority w:val="99"/>
    <w:rPr>
      <w:sz w:val="21"/>
      <w:szCs w:val="21"/>
    </w:rPr>
  </w:style>
  <w:style w:type="paragraph" w:customStyle="1" w:styleId="33">
    <w:name w:val="表格文字"/>
    <w:basedOn w:val="12"/>
    <w:qFormat/>
    <w:uiPriority w:val="0"/>
    <w:pPr>
      <w:spacing w:before="25" w:after="25"/>
      <w:jc w:val="left"/>
    </w:pPr>
    <w:rPr>
      <w:bCs/>
      <w:spacing w:val="10"/>
      <w:sz w:val="24"/>
    </w:rPr>
  </w:style>
  <w:style w:type="paragraph" w:customStyle="1" w:styleId="34">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5">
    <w:name w:val="页眉 字符"/>
    <w:basedOn w:val="29"/>
    <w:link w:val="18"/>
    <w:autoRedefine/>
    <w:qFormat/>
    <w:uiPriority w:val="99"/>
    <w:rPr>
      <w:sz w:val="18"/>
      <w:szCs w:val="18"/>
    </w:rPr>
  </w:style>
  <w:style w:type="character" w:customStyle="1" w:styleId="36">
    <w:name w:val="页脚 字符"/>
    <w:basedOn w:val="29"/>
    <w:link w:val="17"/>
    <w:autoRedefine/>
    <w:qFormat/>
    <w:uiPriority w:val="99"/>
    <w:rPr>
      <w:sz w:val="18"/>
      <w:szCs w:val="18"/>
    </w:rPr>
  </w:style>
  <w:style w:type="paragraph" w:styleId="37">
    <w:name w:val="List Paragraph"/>
    <w:basedOn w:val="1"/>
    <w:autoRedefine/>
    <w:qFormat/>
    <w:uiPriority w:val="34"/>
    <w:pPr>
      <w:ind w:firstLine="420" w:firstLineChars="200"/>
    </w:pPr>
    <w:rPr>
      <w:rFonts w:ascii="Calibri" w:hAnsi="Calibri" w:eastAsia="宋体" w:cs="Times New Roman"/>
    </w:rPr>
  </w:style>
  <w:style w:type="paragraph" w:customStyle="1" w:styleId="38">
    <w:name w:val="p16"/>
    <w:autoRedefine/>
    <w:qFormat/>
    <w:uiPriority w:val="0"/>
    <w:pPr>
      <w:jc w:val="both"/>
    </w:pPr>
    <w:rPr>
      <w:rFonts w:ascii="宋体" w:hAnsi="宋体" w:eastAsia="宋体" w:cs="宋体"/>
      <w:color w:val="000000"/>
      <w:lang w:val="en-US" w:eastAsia="zh-CN" w:bidi="ar-SA"/>
    </w:rPr>
  </w:style>
  <w:style w:type="paragraph" w:customStyle="1" w:styleId="39">
    <w:name w:val="Table Paragraph"/>
    <w:basedOn w:val="1"/>
    <w:autoRedefine/>
    <w:qFormat/>
    <w:uiPriority w:val="1"/>
  </w:style>
  <w:style w:type="paragraph" w:customStyle="1" w:styleId="40">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41">
    <w:name w:val="表格文字115"/>
    <w:basedOn w:val="1"/>
    <w:autoRedefine/>
    <w:qFormat/>
    <w:uiPriority w:val="0"/>
    <w:rPr>
      <w:bCs/>
      <w:spacing w:val="10"/>
      <w:kern w:val="0"/>
      <w:sz w:val="24"/>
    </w:rPr>
  </w:style>
  <w:style w:type="paragraph" w:customStyle="1" w:styleId="42">
    <w:name w:val="p0"/>
    <w:basedOn w:val="1"/>
    <w:autoRedefine/>
    <w:qFormat/>
    <w:uiPriority w:val="0"/>
    <w:pPr>
      <w:widowControl/>
    </w:pPr>
    <w:rPr>
      <w:kern w:val="0"/>
      <w:szCs w:val="21"/>
    </w:rPr>
  </w:style>
  <w:style w:type="character" w:customStyle="1" w:styleId="43">
    <w:name w:val="apple-converted-space"/>
    <w:basedOn w:val="29"/>
    <w:autoRedefine/>
    <w:qFormat/>
    <w:uiPriority w:val="0"/>
  </w:style>
  <w:style w:type="paragraph" w:customStyle="1" w:styleId="44">
    <w:name w:val="默认段落字体 Para Char Char Char Char Char Char Char"/>
    <w:basedOn w:val="1"/>
    <w:autoRedefine/>
    <w:qFormat/>
    <w:uiPriority w:val="0"/>
    <w:pPr>
      <w:adjustRightInd w:val="0"/>
      <w:spacing w:line="360" w:lineRule="auto"/>
    </w:pPr>
  </w:style>
  <w:style w:type="paragraph" w:customStyle="1" w:styleId="45">
    <w:name w:val="首行缩进"/>
    <w:basedOn w:val="1"/>
    <w:autoRedefine/>
    <w:qFormat/>
    <w:uiPriority w:val="0"/>
    <w:pPr>
      <w:ind w:firstLine="480" w:firstLineChars="200"/>
    </w:pPr>
    <w:rPr>
      <w:szCs w:val="20"/>
    </w:rPr>
  </w:style>
  <w:style w:type="paragraph" w:styleId="46">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7">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8">
    <w:name w:val="采购二"/>
    <w:basedOn w:val="47"/>
    <w:autoRedefine/>
    <w:qFormat/>
    <w:uiPriority w:val="0"/>
    <w:pPr>
      <w:spacing w:beforeLines="50" w:afterLines="0"/>
    </w:pPr>
    <w:rPr>
      <w:sz w:val="28"/>
      <w:szCs w:val="28"/>
    </w:rPr>
  </w:style>
  <w:style w:type="paragraph" w:customStyle="1" w:styleId="49">
    <w:name w:val="采购三"/>
    <w:basedOn w:val="48"/>
    <w:autoRedefine/>
    <w:qFormat/>
    <w:uiPriority w:val="0"/>
    <w:pPr>
      <w:spacing w:afterLines="50" w:line="240" w:lineRule="auto"/>
      <w:jc w:val="left"/>
    </w:pPr>
    <w:rPr>
      <w:sz w:val="24"/>
      <w:lang w:bidi="zh-CN"/>
    </w:rPr>
  </w:style>
  <w:style w:type="character" w:customStyle="1" w:styleId="50">
    <w:name w:val="font51"/>
    <w:basedOn w:val="29"/>
    <w:autoRedefine/>
    <w:qFormat/>
    <w:uiPriority w:val="0"/>
    <w:rPr>
      <w:rFonts w:hint="eastAsia" w:ascii="宋体" w:hAnsi="宋体" w:eastAsia="宋体" w:cs="宋体"/>
      <w:color w:val="000000"/>
      <w:sz w:val="32"/>
      <w:szCs w:val="32"/>
      <w:u w:val="none"/>
    </w:rPr>
  </w:style>
  <w:style w:type="character" w:customStyle="1" w:styleId="51">
    <w:name w:val="font31"/>
    <w:basedOn w:val="29"/>
    <w:autoRedefine/>
    <w:qFormat/>
    <w:uiPriority w:val="0"/>
    <w:rPr>
      <w:rFonts w:ascii="宋体" w:hAnsi="宋体" w:eastAsia="宋体" w:cs="宋体"/>
      <w:color w:val="000000"/>
      <w:sz w:val="32"/>
      <w:szCs w:val="32"/>
      <w:u w:val="single"/>
    </w:rPr>
  </w:style>
  <w:style w:type="character" w:customStyle="1" w:styleId="52">
    <w:name w:val="font21"/>
    <w:basedOn w:val="29"/>
    <w:autoRedefine/>
    <w:qFormat/>
    <w:uiPriority w:val="0"/>
    <w:rPr>
      <w:rFonts w:ascii="宋体" w:hAnsi="宋体" w:eastAsia="宋体" w:cs="宋体"/>
      <w:color w:val="000000"/>
      <w:sz w:val="32"/>
      <w:szCs w:val="32"/>
      <w:u w:val="none"/>
    </w:rPr>
  </w:style>
  <w:style w:type="character" w:customStyle="1" w:styleId="53">
    <w:name w:val="font11"/>
    <w:basedOn w:val="29"/>
    <w:autoRedefine/>
    <w:qFormat/>
    <w:uiPriority w:val="0"/>
    <w:rPr>
      <w:rFonts w:ascii="Calibri" w:hAnsi="Calibri" w:cs="Calibri"/>
      <w:color w:val="000000"/>
      <w:sz w:val="32"/>
      <w:szCs w:val="32"/>
      <w:u w:val="none"/>
    </w:rPr>
  </w:style>
  <w:style w:type="character" w:customStyle="1" w:styleId="54">
    <w:name w:val="font01"/>
    <w:basedOn w:val="29"/>
    <w:autoRedefine/>
    <w:qFormat/>
    <w:uiPriority w:val="0"/>
    <w:rPr>
      <w:rFonts w:hint="eastAsia" w:ascii="宋体" w:hAnsi="宋体" w:eastAsia="宋体" w:cs="宋体"/>
      <w:color w:val="000000"/>
      <w:sz w:val="20"/>
      <w:szCs w:val="20"/>
      <w:u w:val="none"/>
    </w:rPr>
  </w:style>
  <w:style w:type="paragraph" w:customStyle="1" w:styleId="55">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6">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7">
    <w:name w:val="批注框文本 字符"/>
    <w:basedOn w:val="29"/>
    <w:link w:val="16"/>
    <w:autoRedefine/>
    <w:semiHidden/>
    <w:qFormat/>
    <w:uiPriority w:val="99"/>
    <w:rPr>
      <w:rFonts w:asciiTheme="minorHAnsi" w:hAnsiTheme="minorHAnsi" w:eastAsiaTheme="minorEastAsia" w:cstheme="minorBidi"/>
      <w:kern w:val="2"/>
      <w:sz w:val="18"/>
      <w:szCs w:val="18"/>
    </w:rPr>
  </w:style>
  <w:style w:type="character" w:customStyle="1" w:styleId="58">
    <w:name w:val="批注文字 字符"/>
    <w:basedOn w:val="29"/>
    <w:link w:val="9"/>
    <w:qFormat/>
    <w:uiPriority w:val="0"/>
    <w:rPr>
      <w:rFonts w:asciiTheme="minorHAnsi" w:hAnsiTheme="minorHAnsi" w:eastAsiaTheme="minorEastAsia" w:cstheme="minorBidi"/>
      <w:kern w:val="2"/>
      <w:sz w:val="21"/>
      <w:szCs w:val="22"/>
    </w:rPr>
  </w:style>
  <w:style w:type="character" w:customStyle="1" w:styleId="59">
    <w:name w:val="批注主题 字符"/>
    <w:basedOn w:val="58"/>
    <w:link w:val="25"/>
    <w:semiHidden/>
    <w:qFormat/>
    <w:uiPriority w:val="99"/>
    <w:rPr>
      <w:rFonts w:asciiTheme="minorHAnsi" w:hAnsiTheme="minorHAnsi" w:eastAsiaTheme="minorEastAsia" w:cstheme="minorBidi"/>
      <w:b/>
      <w:bCs/>
      <w:kern w:val="2"/>
      <w:sz w:val="21"/>
      <w:szCs w:val="22"/>
    </w:rPr>
  </w:style>
  <w:style w:type="paragraph" w:customStyle="1" w:styleId="60">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1">
    <w:name w:val="修订2"/>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1054</Words>
  <Characters>1176</Characters>
  <Lines>76</Lines>
  <Paragraphs>21</Paragraphs>
  <TotalTime>20</TotalTime>
  <ScaleCrop>false</ScaleCrop>
  <LinksUpToDate>false</LinksUpToDate>
  <CharactersWithSpaces>1201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cp:lastModifiedBy>
  <dcterms:modified xsi:type="dcterms:W3CDTF">2026-11-05T03:29:22Z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27DA972687664B908B8B2D2A00E69B76_13</vt:lpwstr>
  </property>
  <property fmtid="{D5CDD505-2E9C-101B-9397-08002B2CF9AE}" pid="4" name="KSOTemplateDocerSaveRecord">
    <vt:lpwstr>eyJoZGlkIjoiZTgyNzE4ZmM3YzhmOWIwYzI0NDJkNTQzNjEyYTFmZDYiLCJ1c2VySWQiOiI2Nzc3MjA5MzUifQ==</vt:lpwstr>
  </property>
</Properties>
</file>